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4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6"/>
        <w:gridCol w:w="1341"/>
        <w:gridCol w:w="1343"/>
      </w:tblGrid>
      <w:tr w:rsidR="00675C78" w14:paraId="59BDD4F7" w14:textId="77777777" w:rsidTr="00675C78">
        <w:trPr>
          <w:trHeight w:val="1800"/>
          <w:jc w:val="center"/>
        </w:trPr>
        <w:tc>
          <w:tcPr>
            <w:tcW w:w="6840" w:type="dxa"/>
          </w:tcPr>
          <w:p w14:paraId="3B11AD6C" w14:textId="77777777" w:rsidR="00675C78" w:rsidRDefault="00675C78" w:rsidP="003D4D93">
            <w:pPr>
              <w:pStyle w:val="Title"/>
              <w:pBdr>
                <w:bottom w:val="none" w:sz="0" w:space="0" w:color="auto"/>
              </w:pBdr>
              <w:rPr>
                <w:szCs w:val="22"/>
              </w:rPr>
            </w:pPr>
            <w:r>
              <w:rPr>
                <w:noProof/>
              </w:rPr>
              <w:drawing>
                <wp:inline distT="0" distB="0" distL="0" distR="0" wp14:anchorId="123CFDC8" wp14:editId="48E0A53E">
                  <wp:extent cx="1536192" cy="729350"/>
                  <wp:effectExtent l="0" t="0" r="6985" b="0"/>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rotWithShape="1">
                          <a:blip r:embed="rId12">
                            <a:extLst>
                              <a:ext uri="{28A0092B-C50C-407E-A947-70E740481C1C}">
                                <a14:useLocalDpi xmlns:a14="http://schemas.microsoft.com/office/drawing/2010/main" val="0"/>
                              </a:ext>
                            </a:extLst>
                          </a:blip>
                          <a:srcRect l="12507" r="12430"/>
                          <a:stretch/>
                        </pic:blipFill>
                        <pic:spPr bwMode="auto">
                          <a:xfrm>
                            <a:off x="0" y="0"/>
                            <a:ext cx="1569338" cy="745087"/>
                          </a:xfrm>
                          <a:prstGeom prst="rect">
                            <a:avLst/>
                          </a:prstGeom>
                          <a:ln>
                            <a:noFill/>
                          </a:ln>
                          <a:extLst>
                            <a:ext uri="{53640926-AAD7-44D8-BBD7-CCE9431645EC}">
                              <a14:shadowObscured xmlns:a14="http://schemas.microsoft.com/office/drawing/2010/main"/>
                            </a:ext>
                          </a:extLst>
                        </pic:spPr>
                      </pic:pic>
                    </a:graphicData>
                  </a:graphic>
                </wp:inline>
              </w:drawing>
            </w:r>
          </w:p>
        </w:tc>
        <w:tc>
          <w:tcPr>
            <w:tcW w:w="1260" w:type="dxa"/>
          </w:tcPr>
          <w:p w14:paraId="37CDE2BB" w14:textId="2E9E9526" w:rsidR="00675C78" w:rsidRDefault="00675C78" w:rsidP="00675C78">
            <w:pPr>
              <w:spacing w:before="20" w:after="20"/>
              <w:jc w:val="center"/>
              <w:rPr>
                <w:rFonts w:cs="Arial"/>
                <w:b/>
                <w:szCs w:val="22"/>
              </w:rPr>
            </w:pPr>
            <w:r>
              <w:rPr>
                <w:noProof/>
              </w:rPr>
              <w:drawing>
                <wp:inline distT="0" distB="0" distL="0" distR="0" wp14:anchorId="14CCABD3" wp14:editId="0AE8690A">
                  <wp:extent cx="714375" cy="952500"/>
                  <wp:effectExtent l="0" t="0" r="0" b="0"/>
                  <wp:docPr id="2002063428" name="Picture 2002063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14375" cy="952500"/>
                          </a:xfrm>
                          <a:prstGeom prst="rect">
                            <a:avLst/>
                          </a:prstGeom>
                        </pic:spPr>
                      </pic:pic>
                    </a:graphicData>
                  </a:graphic>
                </wp:inline>
              </w:drawing>
            </w:r>
          </w:p>
        </w:tc>
        <w:tc>
          <w:tcPr>
            <w:tcW w:w="1350" w:type="dxa"/>
          </w:tcPr>
          <w:p w14:paraId="78546BF0" w14:textId="2E932EBB" w:rsidR="00675C78" w:rsidRDefault="00675C78" w:rsidP="00675C78">
            <w:pPr>
              <w:spacing w:before="20" w:after="20"/>
              <w:jc w:val="center"/>
              <w:rPr>
                <w:rFonts w:cs="Arial"/>
                <w:b/>
                <w:szCs w:val="22"/>
              </w:rPr>
            </w:pPr>
            <w:bookmarkStart w:id="0" w:name="_Hlk31538443"/>
            <w:r>
              <w:rPr>
                <w:rFonts w:cs="Arial"/>
                <w:b/>
                <w:noProof/>
                <w:szCs w:val="22"/>
              </w:rPr>
              <w:drawing>
                <wp:inline distT="0" distB="0" distL="0" distR="0" wp14:anchorId="2C419735" wp14:editId="33646C15">
                  <wp:extent cx="481330" cy="926465"/>
                  <wp:effectExtent l="0" t="0" r="0" b="698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81330" cy="926465"/>
                          </a:xfrm>
                          <a:prstGeom prst="rect">
                            <a:avLst/>
                          </a:prstGeom>
                          <a:noFill/>
                        </pic:spPr>
                      </pic:pic>
                    </a:graphicData>
                  </a:graphic>
                </wp:inline>
              </w:drawing>
            </w:r>
          </w:p>
        </w:tc>
      </w:tr>
      <w:bookmarkEnd w:id="0"/>
    </w:tbl>
    <w:p w14:paraId="226A0665" w14:textId="77777777" w:rsidR="00C361FA" w:rsidRPr="00CF1169" w:rsidRDefault="00C361FA" w:rsidP="00C361FA">
      <w:pPr>
        <w:jc w:val="center"/>
        <w:rPr>
          <w:rFonts w:cs="Arial"/>
          <w:b/>
          <w:szCs w:val="22"/>
        </w:rPr>
      </w:pPr>
    </w:p>
    <w:p w14:paraId="3E7C35C1" w14:textId="7D8996C5" w:rsidR="00E3519C" w:rsidRPr="00CF1169" w:rsidRDefault="00E1433A" w:rsidP="00231A45">
      <w:pPr>
        <w:spacing w:after="240"/>
        <w:jc w:val="center"/>
        <w:rPr>
          <w:rFonts w:cs="Arial"/>
          <w:b/>
          <w:szCs w:val="22"/>
        </w:rPr>
      </w:pPr>
      <w:r w:rsidRPr="00CF1169">
        <w:rPr>
          <w:rFonts w:cs="Arial"/>
          <w:b/>
          <w:szCs w:val="22"/>
        </w:rPr>
        <w:t>United Nations Development Programme</w:t>
      </w:r>
    </w:p>
    <w:p w14:paraId="3E26FF4F" w14:textId="271A7AD8" w:rsidR="00E9286A" w:rsidRPr="002926D7" w:rsidRDefault="001754B1" w:rsidP="002926D7">
      <w:pPr>
        <w:jc w:val="center"/>
        <w:rPr>
          <w:rFonts w:cs="Arial"/>
          <w:b/>
          <w:szCs w:val="22"/>
        </w:rPr>
      </w:pPr>
      <w:r w:rsidRPr="002926D7">
        <w:rPr>
          <w:rFonts w:cs="Arial"/>
          <w:b/>
          <w:szCs w:val="22"/>
        </w:rPr>
        <w:t xml:space="preserve">Project Document </w:t>
      </w:r>
    </w:p>
    <w:p w14:paraId="791D5D80" w14:textId="5F10889B" w:rsidR="000230A3" w:rsidRPr="002926D7" w:rsidRDefault="000230A3" w:rsidP="002926D7">
      <w:pPr>
        <w:jc w:val="center"/>
        <w:rPr>
          <w:rFonts w:cs="Arial"/>
          <w:b/>
          <w:szCs w:val="22"/>
        </w:rPr>
      </w:pPr>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1080"/>
        <w:gridCol w:w="1170"/>
        <w:gridCol w:w="1800"/>
        <w:gridCol w:w="90"/>
        <w:gridCol w:w="2790"/>
      </w:tblGrid>
      <w:tr w:rsidR="00B270EB" w:rsidRPr="002926D7" w14:paraId="266A3836" w14:textId="77777777" w:rsidTr="7CB58970">
        <w:trPr>
          <w:trHeight w:val="395"/>
          <w:jc w:val="center"/>
        </w:trPr>
        <w:tc>
          <w:tcPr>
            <w:tcW w:w="9355" w:type="dxa"/>
            <w:gridSpan w:val="6"/>
          </w:tcPr>
          <w:p w14:paraId="651309C2" w14:textId="12498FBB" w:rsidR="00B270EB" w:rsidRPr="002926D7" w:rsidRDefault="00235AE4" w:rsidP="002926D7">
            <w:pPr>
              <w:spacing w:after="120"/>
              <w:jc w:val="left"/>
              <w:rPr>
                <w:rFonts w:asciiTheme="minorHAnsi" w:hAnsiTheme="minorHAnsi" w:cstheme="minorHAnsi"/>
                <w:bCs/>
                <w:color w:val="000000"/>
                <w:szCs w:val="20"/>
              </w:rPr>
            </w:pPr>
            <w:r w:rsidRPr="002926D7">
              <w:rPr>
                <w:rFonts w:asciiTheme="minorHAnsi" w:hAnsiTheme="minorHAnsi" w:cstheme="minorHAnsi"/>
                <w:b/>
                <w:szCs w:val="20"/>
              </w:rPr>
              <w:t>Project title:</w:t>
            </w:r>
            <w:r w:rsidR="00A93C3E" w:rsidRPr="002926D7">
              <w:rPr>
                <w:rFonts w:asciiTheme="minorHAnsi" w:hAnsiTheme="minorHAnsi" w:cstheme="minorHAnsi"/>
                <w:b/>
                <w:szCs w:val="20"/>
              </w:rPr>
              <w:t xml:space="preserve"> </w:t>
            </w:r>
            <w:r w:rsidR="00675C78" w:rsidRPr="002926D7">
              <w:rPr>
                <w:rFonts w:cs="Arial"/>
                <w:bCs/>
                <w:szCs w:val="20"/>
              </w:rPr>
              <w:t>Eighth Operational Phase of the GEF Small Grants Programme (Part 1) – SGP OP8</w:t>
            </w:r>
            <w:r w:rsidR="00206C78" w:rsidRPr="002926D7">
              <w:rPr>
                <w:rFonts w:cs="Arial"/>
                <w:bCs/>
                <w:szCs w:val="20"/>
              </w:rPr>
              <w:t>-</w:t>
            </w:r>
            <w:r w:rsidR="002C62B3" w:rsidRPr="002926D7">
              <w:rPr>
                <w:rFonts w:cs="Arial"/>
                <w:bCs/>
                <w:szCs w:val="20"/>
              </w:rPr>
              <w:t>Part 1</w:t>
            </w:r>
          </w:p>
        </w:tc>
      </w:tr>
      <w:tr w:rsidR="008F17B9" w:rsidRPr="002926D7" w14:paraId="034B8EC7" w14:textId="77777777" w:rsidTr="00675C78">
        <w:trPr>
          <w:trHeight w:val="827"/>
          <w:jc w:val="center"/>
        </w:trPr>
        <w:tc>
          <w:tcPr>
            <w:tcW w:w="2425" w:type="dxa"/>
          </w:tcPr>
          <w:p w14:paraId="21B32687" w14:textId="6A50E4A9" w:rsidR="008F17B9" w:rsidRPr="002926D7" w:rsidRDefault="008F17B9" w:rsidP="002926D7">
            <w:pPr>
              <w:spacing w:after="60"/>
              <w:jc w:val="left"/>
              <w:rPr>
                <w:rFonts w:cs="Arial"/>
                <w:b/>
                <w:szCs w:val="20"/>
              </w:rPr>
            </w:pPr>
            <w:r w:rsidRPr="002926D7">
              <w:rPr>
                <w:rFonts w:cs="Arial"/>
                <w:b/>
                <w:szCs w:val="20"/>
              </w:rPr>
              <w:t>Countries:</w:t>
            </w:r>
          </w:p>
          <w:p w14:paraId="53FB3633" w14:textId="59A45FC8" w:rsidR="00420AEB" w:rsidRPr="002926D7" w:rsidRDefault="00675C78" w:rsidP="002926D7">
            <w:pPr>
              <w:spacing w:after="60"/>
              <w:jc w:val="left"/>
              <w:rPr>
                <w:rFonts w:cs="Arial"/>
                <w:bCs/>
                <w:szCs w:val="20"/>
              </w:rPr>
            </w:pPr>
            <w:r w:rsidRPr="002926D7">
              <w:rPr>
                <w:rFonts w:cs="Arial"/>
                <w:bCs/>
                <w:szCs w:val="20"/>
              </w:rPr>
              <w:t xml:space="preserve">99 countries (refer to </w:t>
            </w:r>
            <w:r w:rsidRPr="002926D7">
              <w:rPr>
                <w:rFonts w:cs="Arial"/>
                <w:b/>
                <w:szCs w:val="20"/>
              </w:rPr>
              <w:t>Annex 2</w:t>
            </w:r>
            <w:r w:rsidRPr="002926D7">
              <w:rPr>
                <w:rFonts w:cs="Arial"/>
                <w:bCs/>
                <w:szCs w:val="20"/>
              </w:rPr>
              <w:t>)</w:t>
            </w:r>
          </w:p>
        </w:tc>
        <w:tc>
          <w:tcPr>
            <w:tcW w:w="4050" w:type="dxa"/>
            <w:gridSpan w:val="3"/>
          </w:tcPr>
          <w:p w14:paraId="319469D1" w14:textId="77777777" w:rsidR="008F17B9" w:rsidRPr="002926D7" w:rsidRDefault="008F17B9" w:rsidP="002926D7">
            <w:pPr>
              <w:spacing w:after="60"/>
              <w:jc w:val="left"/>
              <w:rPr>
                <w:rFonts w:cs="Arial"/>
                <w:b/>
                <w:szCs w:val="20"/>
              </w:rPr>
            </w:pPr>
            <w:r w:rsidRPr="002926D7">
              <w:rPr>
                <w:rFonts w:cs="Arial"/>
                <w:b/>
                <w:szCs w:val="20"/>
              </w:rPr>
              <w:t>Implementing Partner</w:t>
            </w:r>
            <w:r w:rsidR="00871AD6" w:rsidRPr="002926D7">
              <w:rPr>
                <w:rFonts w:cs="Arial"/>
                <w:b/>
                <w:szCs w:val="20"/>
              </w:rPr>
              <w:t xml:space="preserve"> (GEF Executing Entity)</w:t>
            </w:r>
            <w:r w:rsidRPr="002926D7">
              <w:rPr>
                <w:rFonts w:cs="Arial"/>
                <w:b/>
                <w:szCs w:val="20"/>
              </w:rPr>
              <w:t>:</w:t>
            </w:r>
          </w:p>
          <w:p w14:paraId="675B2069" w14:textId="7D2D4F37" w:rsidR="00DB34C9" w:rsidRPr="002926D7" w:rsidRDefault="00675C78" w:rsidP="002926D7">
            <w:pPr>
              <w:spacing w:after="120"/>
              <w:jc w:val="left"/>
              <w:rPr>
                <w:rStyle w:val="Hyperlink"/>
                <w:rFonts w:cs="Arial"/>
                <w:color w:val="auto"/>
                <w:u w:val="none"/>
              </w:rPr>
            </w:pPr>
            <w:r w:rsidRPr="002926D7">
              <w:rPr>
                <w:color w:val="000000" w:themeColor="text1"/>
              </w:rPr>
              <w:t>UNDP</w:t>
            </w:r>
          </w:p>
        </w:tc>
        <w:tc>
          <w:tcPr>
            <w:tcW w:w="2880" w:type="dxa"/>
            <w:gridSpan w:val="2"/>
          </w:tcPr>
          <w:p w14:paraId="5BBDA23D" w14:textId="77777777" w:rsidR="008F17B9" w:rsidRPr="002926D7" w:rsidRDefault="008F17B9" w:rsidP="002926D7">
            <w:pPr>
              <w:spacing w:after="60"/>
              <w:jc w:val="left"/>
              <w:rPr>
                <w:rFonts w:cs="Arial"/>
                <w:i/>
                <w:szCs w:val="20"/>
              </w:rPr>
            </w:pPr>
            <w:r w:rsidRPr="002926D7">
              <w:rPr>
                <w:rFonts w:cs="Arial"/>
                <w:b/>
                <w:szCs w:val="20"/>
              </w:rPr>
              <w:t>Execution Modality</w:t>
            </w:r>
            <w:r w:rsidRPr="002926D7">
              <w:rPr>
                <w:rFonts w:cs="Arial"/>
                <w:i/>
                <w:szCs w:val="20"/>
              </w:rPr>
              <w:t xml:space="preserve">: </w:t>
            </w:r>
          </w:p>
          <w:p w14:paraId="2DF74CD7" w14:textId="52F0D541" w:rsidR="00DB34C9" w:rsidRPr="002926D7" w:rsidRDefault="00552C78" w:rsidP="002926D7">
            <w:pPr>
              <w:spacing w:after="120"/>
              <w:jc w:val="left"/>
              <w:rPr>
                <w:rFonts w:cs="Arial"/>
              </w:rPr>
            </w:pPr>
            <w:r w:rsidRPr="002926D7">
              <w:rPr>
                <w:rFonts w:cs="Arial"/>
              </w:rPr>
              <w:t>Global direct implementation modality (Global DIM)</w:t>
            </w:r>
          </w:p>
        </w:tc>
      </w:tr>
      <w:tr w:rsidR="0077088A" w:rsidRPr="002926D7" w14:paraId="1ACDB75F" w14:textId="77777777" w:rsidTr="7CB58970">
        <w:trPr>
          <w:jc w:val="center"/>
        </w:trPr>
        <w:tc>
          <w:tcPr>
            <w:tcW w:w="9355" w:type="dxa"/>
            <w:gridSpan w:val="6"/>
          </w:tcPr>
          <w:p w14:paraId="5ECCFBDF" w14:textId="31A8F703" w:rsidR="0077088A" w:rsidRPr="002926D7" w:rsidRDefault="0077088A" w:rsidP="002926D7">
            <w:pPr>
              <w:spacing w:after="40"/>
              <w:jc w:val="left"/>
              <w:rPr>
                <w:rFonts w:cs="Arial"/>
                <w:i/>
                <w:szCs w:val="20"/>
              </w:rPr>
            </w:pPr>
            <w:r w:rsidRPr="002926D7">
              <w:rPr>
                <w:rFonts w:cs="Arial"/>
                <w:b/>
                <w:szCs w:val="20"/>
              </w:rPr>
              <w:t>Co</w:t>
            </w:r>
            <w:r w:rsidR="0022541B" w:rsidRPr="002926D7">
              <w:rPr>
                <w:rFonts w:cs="Arial"/>
                <w:b/>
                <w:szCs w:val="20"/>
              </w:rPr>
              <w:t xml:space="preserve">ntributing </w:t>
            </w:r>
            <w:r w:rsidRPr="002926D7">
              <w:rPr>
                <w:rFonts w:cs="Arial"/>
                <w:b/>
                <w:szCs w:val="20"/>
              </w:rPr>
              <w:t>Outcome</w:t>
            </w:r>
            <w:r w:rsidRPr="002926D7">
              <w:rPr>
                <w:rFonts w:cs="Arial"/>
                <w:i/>
                <w:szCs w:val="20"/>
              </w:rPr>
              <w:t xml:space="preserve">: </w:t>
            </w:r>
          </w:p>
          <w:p w14:paraId="04B12464" w14:textId="20E74D6F" w:rsidR="000D29EA" w:rsidRPr="002926D7" w:rsidRDefault="001B4BD9" w:rsidP="002926D7">
            <w:pPr>
              <w:spacing w:after="40"/>
              <w:rPr>
                <w:szCs w:val="20"/>
              </w:rPr>
            </w:pPr>
            <w:r w:rsidRPr="002926D7">
              <w:rPr>
                <w:szCs w:val="20"/>
              </w:rPr>
              <w:t xml:space="preserve">Aligned with </w:t>
            </w:r>
            <w:r w:rsidRPr="002926D7">
              <w:rPr>
                <w:b/>
                <w:bCs/>
                <w:szCs w:val="20"/>
              </w:rPr>
              <w:t xml:space="preserve">UNDP Strategic Plan (2022-2025) </w:t>
            </w:r>
            <w:r w:rsidRPr="002926D7">
              <w:rPr>
                <w:szCs w:val="20"/>
              </w:rPr>
              <w:t>Output Signature Solution #4 (Environment); contributing to UNDP SP Result 4.1: Natural resources protected and managed to enhance sustainable productivity and livelihoods; and Result 4.2: Public and private investment mechanisms mobilized for biodiversity, water, oceans, and climate solutions.</w:t>
            </w:r>
          </w:p>
        </w:tc>
      </w:tr>
      <w:tr w:rsidR="0077088A" w:rsidRPr="002926D7" w14:paraId="3521882F" w14:textId="77777777" w:rsidTr="7CB58970">
        <w:trPr>
          <w:trHeight w:val="611"/>
          <w:jc w:val="center"/>
        </w:trPr>
        <w:tc>
          <w:tcPr>
            <w:tcW w:w="4675" w:type="dxa"/>
            <w:gridSpan w:val="3"/>
          </w:tcPr>
          <w:p w14:paraId="35BD51E0" w14:textId="77777777" w:rsidR="00DB34C9" w:rsidRPr="002926D7" w:rsidRDefault="0077088A" w:rsidP="002926D7">
            <w:pPr>
              <w:spacing w:after="60"/>
              <w:jc w:val="left"/>
              <w:rPr>
                <w:rFonts w:cs="Arial"/>
                <w:b/>
                <w:szCs w:val="20"/>
              </w:rPr>
            </w:pPr>
            <w:r w:rsidRPr="002926D7">
              <w:rPr>
                <w:rFonts w:cs="Arial"/>
                <w:b/>
                <w:szCs w:val="20"/>
              </w:rPr>
              <w:t>UNDP Social and Environmental Screening Category:</w:t>
            </w:r>
          </w:p>
          <w:p w14:paraId="610073F8" w14:textId="58636185" w:rsidR="00BC149F" w:rsidRPr="002926D7" w:rsidRDefault="004A3EB9" w:rsidP="002926D7">
            <w:pPr>
              <w:spacing w:after="120"/>
              <w:jc w:val="left"/>
              <w:rPr>
                <w:rFonts w:cs="Arial"/>
                <w:szCs w:val="20"/>
              </w:rPr>
            </w:pPr>
            <w:r w:rsidRPr="002926D7">
              <w:rPr>
                <w:rFonts w:cs="Arial"/>
                <w:bCs/>
                <w:szCs w:val="20"/>
              </w:rPr>
              <w:t>Moderate</w:t>
            </w:r>
          </w:p>
        </w:tc>
        <w:tc>
          <w:tcPr>
            <w:tcW w:w="4680" w:type="dxa"/>
            <w:gridSpan w:val="3"/>
          </w:tcPr>
          <w:p w14:paraId="43A48EE5" w14:textId="77777777" w:rsidR="00DB34C9" w:rsidRPr="002926D7" w:rsidRDefault="0077088A" w:rsidP="002926D7">
            <w:pPr>
              <w:spacing w:after="60"/>
              <w:jc w:val="left"/>
              <w:rPr>
                <w:rFonts w:cs="Arial"/>
                <w:b/>
                <w:szCs w:val="20"/>
              </w:rPr>
            </w:pPr>
            <w:r w:rsidRPr="002926D7">
              <w:rPr>
                <w:rFonts w:cs="Arial"/>
                <w:b/>
                <w:szCs w:val="20"/>
              </w:rPr>
              <w:t xml:space="preserve">UNDP Gender Marker: </w:t>
            </w:r>
          </w:p>
          <w:p w14:paraId="696DD216" w14:textId="3AFAD405" w:rsidR="003E0CDB" w:rsidRPr="002926D7" w:rsidRDefault="00420AEB" w:rsidP="002926D7">
            <w:pPr>
              <w:spacing w:after="120"/>
              <w:jc w:val="left"/>
              <w:rPr>
                <w:i/>
              </w:rPr>
            </w:pPr>
            <w:r w:rsidRPr="002926D7">
              <w:rPr>
                <w:rFonts w:cs="Arial"/>
                <w:bCs/>
                <w:szCs w:val="20"/>
              </w:rPr>
              <w:t>GEN2</w:t>
            </w:r>
          </w:p>
        </w:tc>
      </w:tr>
      <w:tr w:rsidR="0077088A" w:rsidRPr="002926D7" w14:paraId="57A3A4A9" w14:textId="77777777" w:rsidTr="7CB58970">
        <w:trPr>
          <w:jc w:val="center"/>
        </w:trPr>
        <w:tc>
          <w:tcPr>
            <w:tcW w:w="4675" w:type="dxa"/>
            <w:gridSpan w:val="3"/>
          </w:tcPr>
          <w:p w14:paraId="62724605" w14:textId="08A48F49" w:rsidR="0053772A" w:rsidRPr="002926D7" w:rsidRDefault="003D0BA2" w:rsidP="002926D7">
            <w:pPr>
              <w:spacing w:after="120"/>
              <w:jc w:val="left"/>
              <w:rPr>
                <w:rFonts w:cs="Arial"/>
                <w:b/>
                <w:bCs/>
                <w:lang w:eastAsia="zh-CN"/>
              </w:rPr>
            </w:pPr>
            <w:r w:rsidRPr="002926D7">
              <w:rPr>
                <w:rFonts w:cs="Arial"/>
                <w:b/>
                <w:bCs/>
              </w:rPr>
              <w:t xml:space="preserve">Quantum </w:t>
            </w:r>
            <w:r w:rsidR="00BE3632" w:rsidRPr="002926D7">
              <w:rPr>
                <w:rFonts w:cs="Arial"/>
                <w:b/>
                <w:bCs/>
                <w:lang w:eastAsia="zh-CN"/>
              </w:rPr>
              <w:t xml:space="preserve">Award </w:t>
            </w:r>
            <w:r w:rsidR="00133018" w:rsidRPr="002926D7">
              <w:rPr>
                <w:rFonts w:cs="Arial"/>
                <w:b/>
                <w:bCs/>
                <w:lang w:eastAsia="zh-CN"/>
              </w:rPr>
              <w:t>ID</w:t>
            </w:r>
            <w:r w:rsidR="0053772A" w:rsidRPr="002926D7">
              <w:rPr>
                <w:rFonts w:cs="Arial"/>
                <w:b/>
                <w:bCs/>
              </w:rPr>
              <w:t>:</w:t>
            </w:r>
            <w:r w:rsidR="0077088A" w:rsidRPr="002926D7">
              <w:rPr>
                <w:rFonts w:cs="Arial"/>
                <w:b/>
                <w:bCs/>
              </w:rPr>
              <w:t xml:space="preserve"> </w:t>
            </w:r>
            <w:r w:rsidR="003B2FDF" w:rsidRPr="002926D7">
              <w:rPr>
                <w:rFonts w:cs="Arial"/>
                <w:bCs/>
                <w:szCs w:val="20"/>
              </w:rPr>
              <w:t>1210267</w:t>
            </w:r>
          </w:p>
        </w:tc>
        <w:tc>
          <w:tcPr>
            <w:tcW w:w="4680" w:type="dxa"/>
            <w:gridSpan w:val="3"/>
          </w:tcPr>
          <w:p w14:paraId="54F50A94" w14:textId="454AEB11" w:rsidR="0077088A" w:rsidRPr="002926D7" w:rsidRDefault="63007289" w:rsidP="002926D7">
            <w:pPr>
              <w:spacing w:after="120"/>
              <w:jc w:val="left"/>
              <w:rPr>
                <w:rFonts w:cs="Arial"/>
                <w:b/>
                <w:bCs/>
              </w:rPr>
            </w:pPr>
            <w:r w:rsidRPr="002926D7">
              <w:rPr>
                <w:rFonts w:cs="Arial"/>
                <w:b/>
                <w:bCs/>
              </w:rPr>
              <w:t>Quantum</w:t>
            </w:r>
            <w:r w:rsidR="0077088A" w:rsidRPr="002926D7">
              <w:rPr>
                <w:rFonts w:cs="Arial"/>
                <w:b/>
                <w:bCs/>
              </w:rPr>
              <w:t xml:space="preserve"> </w:t>
            </w:r>
            <w:r w:rsidR="00BE3632" w:rsidRPr="002926D7">
              <w:rPr>
                <w:rFonts w:cs="Arial"/>
                <w:b/>
                <w:bCs/>
              </w:rPr>
              <w:t>Project</w:t>
            </w:r>
            <w:r w:rsidR="00133018" w:rsidRPr="002926D7">
              <w:rPr>
                <w:rFonts w:cs="Arial"/>
                <w:b/>
                <w:bCs/>
                <w:lang w:eastAsia="zh-CN"/>
              </w:rPr>
              <w:t xml:space="preserve"> ID</w:t>
            </w:r>
            <w:r w:rsidR="0077088A" w:rsidRPr="002926D7">
              <w:rPr>
                <w:rFonts w:cs="Arial"/>
                <w:b/>
                <w:bCs/>
              </w:rPr>
              <w:t xml:space="preserve">: </w:t>
            </w:r>
            <w:r w:rsidR="003B2FDF" w:rsidRPr="002926D7">
              <w:rPr>
                <w:rFonts w:cs="Arial"/>
                <w:bCs/>
                <w:szCs w:val="20"/>
              </w:rPr>
              <w:t>01001602</w:t>
            </w:r>
          </w:p>
        </w:tc>
      </w:tr>
      <w:tr w:rsidR="0077088A" w:rsidRPr="002926D7" w14:paraId="1DF4F63F" w14:textId="77777777" w:rsidTr="7CB58970">
        <w:trPr>
          <w:jc w:val="center"/>
        </w:trPr>
        <w:tc>
          <w:tcPr>
            <w:tcW w:w="4675" w:type="dxa"/>
            <w:gridSpan w:val="3"/>
          </w:tcPr>
          <w:p w14:paraId="3BF0B984" w14:textId="167172B7" w:rsidR="0077088A" w:rsidRPr="002926D7" w:rsidRDefault="0077088A" w:rsidP="002926D7">
            <w:pPr>
              <w:spacing w:after="120"/>
              <w:jc w:val="left"/>
              <w:rPr>
                <w:rFonts w:cs="Arial"/>
                <w:szCs w:val="20"/>
              </w:rPr>
            </w:pPr>
            <w:r w:rsidRPr="002926D7">
              <w:rPr>
                <w:rFonts w:cs="Arial"/>
                <w:b/>
                <w:szCs w:val="20"/>
              </w:rPr>
              <w:t>UNDP</w:t>
            </w:r>
            <w:r w:rsidR="003D0BA2" w:rsidRPr="002926D7">
              <w:rPr>
                <w:rFonts w:cs="Arial"/>
                <w:b/>
                <w:szCs w:val="20"/>
              </w:rPr>
              <w:t xml:space="preserve"> </w:t>
            </w:r>
            <w:r w:rsidRPr="002926D7">
              <w:rPr>
                <w:rFonts w:cs="Arial"/>
                <w:b/>
                <w:szCs w:val="20"/>
              </w:rPr>
              <w:t>PIMS ID</w:t>
            </w:r>
            <w:r w:rsidR="0089430E" w:rsidRPr="002926D7">
              <w:rPr>
                <w:rFonts w:cs="Arial"/>
                <w:b/>
                <w:szCs w:val="20"/>
              </w:rPr>
              <w:t xml:space="preserve"> number</w:t>
            </w:r>
            <w:r w:rsidRPr="002926D7">
              <w:rPr>
                <w:rFonts w:cs="Arial"/>
                <w:b/>
                <w:szCs w:val="20"/>
              </w:rPr>
              <w:t xml:space="preserve">: </w:t>
            </w:r>
            <w:r w:rsidR="003D0BA2" w:rsidRPr="002926D7">
              <w:rPr>
                <w:rFonts w:cs="Arial"/>
                <w:bCs/>
                <w:szCs w:val="20"/>
              </w:rPr>
              <w:t>9520</w:t>
            </w:r>
          </w:p>
        </w:tc>
        <w:tc>
          <w:tcPr>
            <w:tcW w:w="4680" w:type="dxa"/>
            <w:gridSpan w:val="3"/>
          </w:tcPr>
          <w:p w14:paraId="1D09D9CB" w14:textId="6D549838" w:rsidR="0077088A" w:rsidRPr="002926D7" w:rsidRDefault="0077088A" w:rsidP="002926D7">
            <w:pPr>
              <w:spacing w:after="120"/>
              <w:jc w:val="left"/>
              <w:rPr>
                <w:rFonts w:cs="Arial"/>
                <w:szCs w:val="20"/>
              </w:rPr>
            </w:pPr>
            <w:r w:rsidRPr="002926D7">
              <w:rPr>
                <w:rFonts w:cs="Arial"/>
                <w:b/>
                <w:szCs w:val="20"/>
              </w:rPr>
              <w:t>GEF</w:t>
            </w:r>
            <w:r w:rsidR="00ED625F" w:rsidRPr="002926D7">
              <w:rPr>
                <w:rFonts w:cs="Arial"/>
                <w:b/>
                <w:szCs w:val="20"/>
              </w:rPr>
              <w:t xml:space="preserve"> Project </w:t>
            </w:r>
            <w:r w:rsidRPr="002926D7">
              <w:rPr>
                <w:rFonts w:cs="Arial"/>
                <w:b/>
                <w:szCs w:val="20"/>
              </w:rPr>
              <w:t>ID</w:t>
            </w:r>
            <w:r w:rsidR="0089430E" w:rsidRPr="002926D7">
              <w:rPr>
                <w:rFonts w:cs="Arial"/>
                <w:b/>
                <w:szCs w:val="20"/>
              </w:rPr>
              <w:t xml:space="preserve"> number</w:t>
            </w:r>
            <w:r w:rsidRPr="002926D7">
              <w:rPr>
                <w:rFonts w:cs="Arial"/>
                <w:b/>
                <w:szCs w:val="20"/>
              </w:rPr>
              <w:t>:</w:t>
            </w:r>
            <w:r w:rsidR="004339B3" w:rsidRPr="002926D7">
              <w:rPr>
                <w:rFonts w:cs="Arial"/>
                <w:b/>
                <w:szCs w:val="20"/>
              </w:rPr>
              <w:t xml:space="preserve"> </w:t>
            </w:r>
            <w:r w:rsidR="003D0BA2" w:rsidRPr="002926D7">
              <w:rPr>
                <w:rFonts w:cs="Arial"/>
                <w:bCs/>
                <w:szCs w:val="20"/>
              </w:rPr>
              <w:t>11285</w:t>
            </w:r>
          </w:p>
        </w:tc>
      </w:tr>
      <w:tr w:rsidR="00CA6792" w:rsidRPr="002926D7" w14:paraId="286A8DAD" w14:textId="77777777" w:rsidTr="7CB58970">
        <w:trPr>
          <w:trHeight w:val="350"/>
          <w:jc w:val="center"/>
        </w:trPr>
        <w:tc>
          <w:tcPr>
            <w:tcW w:w="9355" w:type="dxa"/>
            <w:gridSpan w:val="6"/>
          </w:tcPr>
          <w:p w14:paraId="59979CE3" w14:textId="3420A579" w:rsidR="00CA6792" w:rsidRPr="002926D7" w:rsidRDefault="268E251D" w:rsidP="002926D7">
            <w:pPr>
              <w:spacing w:after="120"/>
              <w:jc w:val="left"/>
              <w:rPr>
                <w:rFonts w:cs="Arial"/>
              </w:rPr>
            </w:pPr>
            <w:r w:rsidRPr="002926D7">
              <w:rPr>
                <w:rFonts w:cs="Arial"/>
                <w:b/>
                <w:bCs/>
              </w:rPr>
              <w:t>LPAC meeting date</w:t>
            </w:r>
            <w:r w:rsidR="4A29EA53" w:rsidRPr="002926D7">
              <w:rPr>
                <w:rFonts w:cs="Arial"/>
                <w:b/>
                <w:bCs/>
              </w:rPr>
              <w:t>:</w:t>
            </w:r>
            <w:r w:rsidR="59DFEFAA" w:rsidRPr="002926D7">
              <w:rPr>
                <w:rFonts w:cs="Arial"/>
                <w:b/>
                <w:bCs/>
              </w:rPr>
              <w:t xml:space="preserve"> </w:t>
            </w:r>
            <w:r w:rsidR="00E518B7" w:rsidRPr="002926D7">
              <w:rPr>
                <w:rFonts w:cs="Arial"/>
              </w:rPr>
              <w:t>Expected 29 March 2024</w:t>
            </w:r>
          </w:p>
        </w:tc>
      </w:tr>
      <w:tr w:rsidR="0007025D" w:rsidRPr="002926D7" w14:paraId="52295732" w14:textId="77777777" w:rsidTr="7CB58970">
        <w:trPr>
          <w:trHeight w:val="350"/>
          <w:jc w:val="center"/>
        </w:trPr>
        <w:tc>
          <w:tcPr>
            <w:tcW w:w="9355" w:type="dxa"/>
            <w:gridSpan w:val="6"/>
          </w:tcPr>
          <w:p w14:paraId="1AC9FE31" w14:textId="74609564" w:rsidR="0007025D" w:rsidRPr="002926D7" w:rsidRDefault="008800E4" w:rsidP="002926D7">
            <w:pPr>
              <w:spacing w:after="120"/>
              <w:jc w:val="left"/>
              <w:rPr>
                <w:rFonts w:cs="Arial"/>
              </w:rPr>
            </w:pPr>
            <w:r w:rsidRPr="002926D7">
              <w:rPr>
                <w:rFonts w:cs="Arial"/>
                <w:b/>
                <w:bCs/>
              </w:rPr>
              <w:t>Latest possible date to s</w:t>
            </w:r>
            <w:r w:rsidR="0007025D" w:rsidRPr="002926D7">
              <w:rPr>
                <w:rFonts w:cs="Arial"/>
                <w:b/>
                <w:bCs/>
              </w:rPr>
              <w:t>ubmi</w:t>
            </w:r>
            <w:r w:rsidRPr="002926D7">
              <w:rPr>
                <w:rFonts w:cs="Arial"/>
                <w:b/>
                <w:bCs/>
              </w:rPr>
              <w:t>t</w:t>
            </w:r>
            <w:r w:rsidR="0007025D" w:rsidRPr="002926D7">
              <w:rPr>
                <w:rFonts w:cs="Arial"/>
                <w:b/>
                <w:bCs/>
              </w:rPr>
              <w:t xml:space="preserve"> to GEF: </w:t>
            </w:r>
            <w:r w:rsidR="00E518B7" w:rsidRPr="002926D7">
              <w:rPr>
                <w:rFonts w:cs="Browallia New"/>
                <w:lang w:bidi="th-TH"/>
              </w:rPr>
              <w:t>29 June 2024</w:t>
            </w:r>
          </w:p>
        </w:tc>
      </w:tr>
      <w:tr w:rsidR="008800E4" w:rsidRPr="002926D7" w14:paraId="67FA75FB" w14:textId="77777777" w:rsidTr="7CB58970">
        <w:trPr>
          <w:trHeight w:val="350"/>
          <w:jc w:val="center"/>
        </w:trPr>
        <w:tc>
          <w:tcPr>
            <w:tcW w:w="9355" w:type="dxa"/>
            <w:gridSpan w:val="6"/>
          </w:tcPr>
          <w:p w14:paraId="1702F840" w14:textId="25A21B08" w:rsidR="008800E4" w:rsidRPr="002926D7" w:rsidRDefault="47E5D634" w:rsidP="002926D7">
            <w:pPr>
              <w:spacing w:after="120"/>
              <w:jc w:val="left"/>
              <w:rPr>
                <w:rFonts w:cs="Arial"/>
              </w:rPr>
            </w:pPr>
            <w:r w:rsidRPr="002926D7">
              <w:rPr>
                <w:rFonts w:cs="Arial"/>
                <w:b/>
                <w:bCs/>
              </w:rPr>
              <w:t xml:space="preserve">Latest possible CEO endorsement date: </w:t>
            </w:r>
            <w:r w:rsidR="00E518B7" w:rsidRPr="002926D7">
              <w:rPr>
                <w:rFonts w:cs="Browallia New"/>
                <w:lang w:bidi="th-TH"/>
              </w:rPr>
              <w:t>29 December 2024</w:t>
            </w:r>
          </w:p>
        </w:tc>
      </w:tr>
      <w:tr w:rsidR="00CE4433" w:rsidRPr="002926D7" w14:paraId="4C40D498" w14:textId="77777777" w:rsidTr="7CB58970">
        <w:trPr>
          <w:trHeight w:val="503"/>
          <w:jc w:val="center"/>
        </w:trPr>
        <w:tc>
          <w:tcPr>
            <w:tcW w:w="9355" w:type="dxa"/>
            <w:gridSpan w:val="6"/>
          </w:tcPr>
          <w:p w14:paraId="7D62A42A" w14:textId="5A3F71F4" w:rsidR="00CE4433" w:rsidRPr="002926D7" w:rsidRDefault="59E6090F" w:rsidP="002926D7">
            <w:pPr>
              <w:spacing w:after="120"/>
              <w:jc w:val="left"/>
              <w:rPr>
                <w:rFonts w:cs="Arial"/>
                <w:b/>
                <w:bCs/>
              </w:rPr>
            </w:pPr>
            <w:r w:rsidRPr="002926D7">
              <w:rPr>
                <w:rFonts w:cs="Arial"/>
                <w:b/>
                <w:bCs/>
              </w:rPr>
              <w:t xml:space="preserve">Project duration in months: </w:t>
            </w:r>
            <w:r w:rsidR="003D0BA2" w:rsidRPr="002926D7">
              <w:rPr>
                <w:rFonts w:cs="Arial"/>
              </w:rPr>
              <w:t>48</w:t>
            </w:r>
            <w:r w:rsidR="00124A96" w:rsidRPr="002926D7">
              <w:rPr>
                <w:rFonts w:cs="Arial"/>
              </w:rPr>
              <w:t xml:space="preserve"> </w:t>
            </w:r>
          </w:p>
        </w:tc>
      </w:tr>
      <w:tr w:rsidR="0077088A" w:rsidRPr="002926D7" w14:paraId="621CFD58" w14:textId="77777777" w:rsidTr="7CB58970">
        <w:trPr>
          <w:trHeight w:val="503"/>
          <w:jc w:val="center"/>
        </w:trPr>
        <w:tc>
          <w:tcPr>
            <w:tcW w:w="4675" w:type="dxa"/>
            <w:gridSpan w:val="3"/>
          </w:tcPr>
          <w:p w14:paraId="0E8D0A02" w14:textId="164845BB" w:rsidR="0077088A" w:rsidRPr="002926D7" w:rsidRDefault="768AD348" w:rsidP="002926D7">
            <w:pPr>
              <w:spacing w:after="120"/>
              <w:jc w:val="left"/>
              <w:rPr>
                <w:rFonts w:cs="Arial"/>
              </w:rPr>
            </w:pPr>
            <w:r w:rsidRPr="002926D7">
              <w:rPr>
                <w:rFonts w:cs="Arial"/>
                <w:b/>
                <w:bCs/>
              </w:rPr>
              <w:t xml:space="preserve">Planned start date: </w:t>
            </w:r>
            <w:r w:rsidR="00F624F5" w:rsidRPr="002926D7">
              <w:rPr>
                <w:rFonts w:cs="Arial"/>
              </w:rPr>
              <w:t>01 July 2024</w:t>
            </w:r>
          </w:p>
        </w:tc>
        <w:tc>
          <w:tcPr>
            <w:tcW w:w="4680" w:type="dxa"/>
            <w:gridSpan w:val="3"/>
          </w:tcPr>
          <w:p w14:paraId="53C5B0D0" w14:textId="30840D49" w:rsidR="0077088A" w:rsidRPr="002926D7" w:rsidRDefault="768AD348" w:rsidP="002926D7">
            <w:pPr>
              <w:spacing w:after="120"/>
              <w:jc w:val="left"/>
              <w:rPr>
                <w:rFonts w:cs="Arial"/>
              </w:rPr>
            </w:pPr>
            <w:r w:rsidRPr="002926D7">
              <w:rPr>
                <w:rFonts w:cs="Arial"/>
                <w:b/>
                <w:bCs/>
              </w:rPr>
              <w:t xml:space="preserve">Planned </w:t>
            </w:r>
            <w:r w:rsidR="5E5E2959" w:rsidRPr="002926D7">
              <w:rPr>
                <w:rFonts w:cs="Arial"/>
                <w:b/>
                <w:bCs/>
              </w:rPr>
              <w:t>completion</w:t>
            </w:r>
            <w:r w:rsidR="005E6595" w:rsidRPr="002926D7">
              <w:rPr>
                <w:rFonts w:cs="Arial"/>
                <w:b/>
                <w:bCs/>
              </w:rPr>
              <w:t xml:space="preserve"> </w:t>
            </w:r>
            <w:r w:rsidRPr="002926D7">
              <w:rPr>
                <w:rFonts w:cs="Arial"/>
                <w:b/>
                <w:bCs/>
              </w:rPr>
              <w:t xml:space="preserve">date: </w:t>
            </w:r>
            <w:r w:rsidR="00F624F5" w:rsidRPr="002926D7">
              <w:rPr>
                <w:rFonts w:cs="Arial"/>
              </w:rPr>
              <w:t>30 June 2028</w:t>
            </w:r>
          </w:p>
        </w:tc>
      </w:tr>
      <w:tr w:rsidR="003B2FDF" w:rsidRPr="002926D7" w14:paraId="55F4B41B" w14:textId="77777777" w:rsidTr="7CB58970">
        <w:trPr>
          <w:jc w:val="center"/>
        </w:trPr>
        <w:tc>
          <w:tcPr>
            <w:tcW w:w="4675" w:type="dxa"/>
            <w:gridSpan w:val="3"/>
          </w:tcPr>
          <w:p w14:paraId="0D2FF462" w14:textId="6C72A26C" w:rsidR="003B2FDF" w:rsidRPr="002926D7" w:rsidRDefault="003B2FDF" w:rsidP="002926D7">
            <w:pPr>
              <w:spacing w:after="120"/>
              <w:jc w:val="left"/>
              <w:rPr>
                <w:rFonts w:cs="Arial"/>
              </w:rPr>
            </w:pPr>
            <w:r w:rsidRPr="002926D7">
              <w:rPr>
                <w:rFonts w:cs="Arial"/>
                <w:b/>
                <w:bCs/>
              </w:rPr>
              <w:t xml:space="preserve">Expected date of Mid-Term Review (MTR) submission to the GEF: </w:t>
            </w:r>
            <w:r w:rsidRPr="002926D7">
              <w:rPr>
                <w:rFonts w:cs="Arial"/>
              </w:rPr>
              <w:t>30 September 2026</w:t>
            </w:r>
          </w:p>
        </w:tc>
        <w:tc>
          <w:tcPr>
            <w:tcW w:w="4680" w:type="dxa"/>
            <w:gridSpan w:val="3"/>
          </w:tcPr>
          <w:p w14:paraId="03BF1E29" w14:textId="018FA7F7" w:rsidR="003B2FDF" w:rsidRPr="002926D7" w:rsidRDefault="003B2FDF" w:rsidP="002926D7">
            <w:pPr>
              <w:spacing w:after="120"/>
              <w:jc w:val="left"/>
              <w:rPr>
                <w:rFonts w:cs="Arial"/>
              </w:rPr>
            </w:pPr>
            <w:r w:rsidRPr="002926D7">
              <w:rPr>
                <w:rFonts w:cs="Arial"/>
                <w:b/>
                <w:bCs/>
              </w:rPr>
              <w:t xml:space="preserve">Expected date of Terminal evaluation (TE) submission to the GEF: </w:t>
            </w:r>
            <w:r w:rsidRPr="002926D7">
              <w:rPr>
                <w:rFonts w:cs="Arial"/>
              </w:rPr>
              <w:t>30 April 2028</w:t>
            </w:r>
          </w:p>
        </w:tc>
      </w:tr>
      <w:tr w:rsidR="0E0DC9E3" w:rsidRPr="002926D7" w14:paraId="77EF3315" w14:textId="77777777" w:rsidTr="7CB58970">
        <w:trPr>
          <w:trHeight w:val="300"/>
          <w:jc w:val="center"/>
        </w:trPr>
        <w:tc>
          <w:tcPr>
            <w:tcW w:w="4675" w:type="dxa"/>
            <w:gridSpan w:val="3"/>
          </w:tcPr>
          <w:p w14:paraId="660B1C43" w14:textId="6C3AA13D" w:rsidR="003D0BA2" w:rsidRPr="002926D7" w:rsidRDefault="0C61EEC5" w:rsidP="002926D7">
            <w:pPr>
              <w:jc w:val="left"/>
              <w:rPr>
                <w:rFonts w:cs="Arial"/>
                <w:b/>
                <w:bCs/>
              </w:rPr>
            </w:pPr>
            <w:r w:rsidRPr="002926D7">
              <w:rPr>
                <w:rFonts w:cs="Arial"/>
                <w:b/>
                <w:bCs/>
              </w:rPr>
              <w:t xml:space="preserve">Expected Operational Closure Date: </w:t>
            </w:r>
            <w:r w:rsidR="00F624F5" w:rsidRPr="002926D7">
              <w:rPr>
                <w:rFonts w:cs="Arial"/>
              </w:rPr>
              <w:t>31 March 2029</w:t>
            </w:r>
          </w:p>
          <w:p w14:paraId="35C0CA31" w14:textId="5B46C284" w:rsidR="1E0AEC65" w:rsidRPr="002926D7" w:rsidRDefault="1E77D73E" w:rsidP="002926D7">
            <w:pPr>
              <w:jc w:val="left"/>
              <w:rPr>
                <w:rFonts w:eastAsia="Calibri" w:cs="Calibri"/>
                <w:i/>
                <w:iCs/>
              </w:rPr>
            </w:pPr>
            <w:r w:rsidRPr="002926D7">
              <w:rPr>
                <w:rFonts w:eastAsia="Calibri" w:cs="Calibri"/>
                <w:b/>
                <w:bCs/>
                <w:i/>
                <w:iCs/>
              </w:rPr>
              <w:t>Note that Operational Closure must take place within 9 months from the project completion date</w:t>
            </w:r>
            <w:r w:rsidRPr="002926D7">
              <w:rPr>
                <w:rFonts w:eastAsia="Calibri" w:cs="Calibri"/>
                <w:i/>
                <w:iCs/>
              </w:rPr>
              <w:t>.</w:t>
            </w:r>
          </w:p>
        </w:tc>
        <w:tc>
          <w:tcPr>
            <w:tcW w:w="4680" w:type="dxa"/>
            <w:gridSpan w:val="3"/>
          </w:tcPr>
          <w:p w14:paraId="11A3E3BA" w14:textId="4F191E03" w:rsidR="003D0BA2" w:rsidRPr="002926D7" w:rsidRDefault="1E0AEC65" w:rsidP="002926D7">
            <w:pPr>
              <w:jc w:val="left"/>
              <w:rPr>
                <w:rFonts w:cs="Arial"/>
                <w:b/>
                <w:bCs/>
              </w:rPr>
            </w:pPr>
            <w:r w:rsidRPr="002926D7">
              <w:rPr>
                <w:rFonts w:cs="Arial"/>
                <w:b/>
                <w:bCs/>
              </w:rPr>
              <w:t xml:space="preserve">Expected Financial Closure Date: </w:t>
            </w:r>
            <w:r w:rsidR="00F624F5" w:rsidRPr="002926D7">
              <w:rPr>
                <w:rFonts w:cs="Arial"/>
              </w:rPr>
              <w:t>30 September 2029</w:t>
            </w:r>
          </w:p>
          <w:p w14:paraId="30D464E0" w14:textId="44A12648" w:rsidR="1E0AEC65" w:rsidRPr="002926D7" w:rsidRDefault="20F69C79" w:rsidP="002926D7">
            <w:pPr>
              <w:jc w:val="left"/>
              <w:rPr>
                <w:rFonts w:eastAsia="Calibri" w:cs="Calibri"/>
                <w:b/>
                <w:bCs/>
                <w:i/>
                <w:iCs/>
              </w:rPr>
            </w:pPr>
            <w:r w:rsidRPr="002926D7">
              <w:rPr>
                <w:rFonts w:eastAsia="Calibri" w:cs="Calibri"/>
                <w:b/>
                <w:bCs/>
                <w:i/>
                <w:iCs/>
              </w:rPr>
              <w:t>Note that financial closure must take place within 6 months after operational closure</w:t>
            </w:r>
            <w:r w:rsidR="003D0BA2" w:rsidRPr="002926D7">
              <w:rPr>
                <w:rFonts w:eastAsia="Calibri" w:cs="Calibri"/>
                <w:b/>
                <w:bCs/>
                <w:i/>
                <w:iCs/>
              </w:rPr>
              <w:t>.</w:t>
            </w:r>
          </w:p>
        </w:tc>
      </w:tr>
      <w:tr w:rsidR="009E44C7" w:rsidRPr="002926D7" w14:paraId="1D08B1B5" w14:textId="77777777" w:rsidTr="7CB58970">
        <w:trPr>
          <w:jc w:val="center"/>
        </w:trPr>
        <w:tc>
          <w:tcPr>
            <w:tcW w:w="9355" w:type="dxa"/>
            <w:gridSpan w:val="6"/>
          </w:tcPr>
          <w:p w14:paraId="059F57C5" w14:textId="495EDE18" w:rsidR="003D0BA2" w:rsidRPr="002926D7" w:rsidRDefault="002266D2" w:rsidP="002926D7">
            <w:pPr>
              <w:pStyle w:val="ColorfulList-Accent11"/>
              <w:tabs>
                <w:tab w:val="left" w:pos="432"/>
              </w:tabs>
              <w:spacing w:before="60" w:after="40"/>
              <w:ind w:left="0"/>
              <w:jc w:val="both"/>
            </w:pPr>
            <w:bookmarkStart w:id="1" w:name="_Hlk89021452"/>
            <w:r w:rsidRPr="002926D7">
              <w:rPr>
                <w:b/>
                <w:bCs/>
              </w:rPr>
              <w:t>Brief project description</w:t>
            </w:r>
            <w:r w:rsidRPr="002926D7">
              <w:t xml:space="preserve">: </w:t>
            </w:r>
          </w:p>
          <w:p w14:paraId="75F149D8" w14:textId="6111F556" w:rsidR="009D6D08" w:rsidRPr="002926D7" w:rsidRDefault="009D6D08" w:rsidP="002926D7">
            <w:pPr>
              <w:rPr>
                <w:rFonts w:cstheme="minorHAnsi"/>
              </w:rPr>
            </w:pPr>
            <w:bookmarkStart w:id="2" w:name="_Hlk153968716"/>
            <w:bookmarkStart w:id="3" w:name="_Hlk151312558"/>
            <w:r w:rsidRPr="002926D7">
              <w:rPr>
                <w:rFonts w:asciiTheme="minorHAnsi" w:hAnsiTheme="minorHAnsi" w:cstheme="minorHAnsi"/>
                <w:szCs w:val="20"/>
              </w:rPr>
              <w:t>SGP</w:t>
            </w:r>
            <w:r w:rsidRPr="002926D7">
              <w:rPr>
                <w:rFonts w:cstheme="minorHAnsi"/>
                <w:szCs w:val="20"/>
              </w:rPr>
              <w:t>-</w:t>
            </w:r>
            <w:r w:rsidRPr="002926D7">
              <w:rPr>
                <w:rFonts w:asciiTheme="minorHAnsi" w:hAnsiTheme="minorHAnsi" w:cstheme="minorHAnsi"/>
                <w:szCs w:val="20"/>
              </w:rPr>
              <w:t xml:space="preserve">OP8 builds on 30 years of successful experience in empowering local </w:t>
            </w:r>
            <w:r w:rsidRPr="002926D7">
              <w:rPr>
                <w:rFonts w:cstheme="minorHAnsi"/>
                <w:szCs w:val="20"/>
              </w:rPr>
              <w:t>CSOs and CBOs</w:t>
            </w:r>
            <w:r w:rsidRPr="002926D7">
              <w:rPr>
                <w:rFonts w:asciiTheme="minorHAnsi" w:hAnsiTheme="minorHAnsi" w:cstheme="minorHAnsi"/>
                <w:szCs w:val="20"/>
              </w:rPr>
              <w:t xml:space="preserve"> in community driven initiatives that have enhanced wellbeing, increased awareness and resilience, and generated global environmental benefits. With economic development pressures intensifying in the developing world and the associated rising inequalities, local communities, particularly vulnerable and disadvantaged groups are becoming </w:t>
            </w:r>
            <w:r w:rsidRPr="002926D7">
              <w:rPr>
                <w:rFonts w:cstheme="minorHAnsi"/>
                <w:szCs w:val="20"/>
              </w:rPr>
              <w:t>increasingly</w:t>
            </w:r>
            <w:r w:rsidRPr="002926D7">
              <w:rPr>
                <w:rFonts w:asciiTheme="minorHAnsi" w:hAnsiTheme="minorHAnsi" w:cstheme="minorHAnsi"/>
                <w:szCs w:val="20"/>
              </w:rPr>
              <w:t xml:space="preserve"> marginalized. </w:t>
            </w:r>
            <w:r w:rsidRPr="002926D7">
              <w:rPr>
                <w:rFonts w:asciiTheme="minorHAnsi" w:hAnsiTheme="minorHAnsi" w:cstheme="minorHAnsi"/>
              </w:rPr>
              <w:t xml:space="preserve">The objective of </w:t>
            </w:r>
            <w:r w:rsidRPr="002926D7">
              <w:rPr>
                <w:rFonts w:cstheme="minorHAnsi"/>
              </w:rPr>
              <w:t xml:space="preserve">Part 1 of </w:t>
            </w:r>
            <w:r w:rsidRPr="002926D7">
              <w:rPr>
                <w:rFonts w:asciiTheme="minorHAnsi" w:hAnsiTheme="minorHAnsi" w:cstheme="minorHAnsi"/>
              </w:rPr>
              <w:t>SGP OP8</w:t>
            </w:r>
            <w:r w:rsidRPr="002926D7">
              <w:rPr>
                <w:rFonts w:cstheme="minorHAnsi"/>
              </w:rPr>
              <w:t xml:space="preserve"> </w:t>
            </w:r>
            <w:r w:rsidRPr="002926D7">
              <w:rPr>
                <w:rFonts w:asciiTheme="minorHAnsi" w:hAnsiTheme="minorHAnsi" w:cstheme="minorHAnsi"/>
              </w:rPr>
              <w:t xml:space="preserve">is to engage local CSOs/CBOs in landscape-seascape approaches across </w:t>
            </w:r>
            <w:r w:rsidRPr="002926D7">
              <w:rPr>
                <w:rFonts w:cstheme="minorHAnsi"/>
              </w:rPr>
              <w:t>the 99 participating countries</w:t>
            </w:r>
            <w:r w:rsidRPr="002926D7">
              <w:rPr>
                <w:rFonts w:asciiTheme="minorHAnsi" w:hAnsiTheme="minorHAnsi" w:cstheme="minorHAnsi"/>
              </w:rPr>
              <w:t xml:space="preserve">, providing them access to knowledge and information, capacitating them through learning-by-doing, skills development, and delivering technical and grant assistance for interventions that enhance socioeconomic conditions and generate global environmental benefits. </w:t>
            </w:r>
            <w:r w:rsidR="00F459AD" w:rsidRPr="002926D7">
              <w:rPr>
                <w:color w:val="212529"/>
              </w:rPr>
              <w:t>In</w:t>
            </w:r>
            <w:r w:rsidR="00F459AD" w:rsidRPr="002926D7">
              <w:rPr>
                <w:color w:val="212529"/>
                <w:spacing w:val="-3"/>
              </w:rPr>
              <w:t xml:space="preserve"> </w:t>
            </w:r>
            <w:r w:rsidR="00F459AD" w:rsidRPr="002926D7">
              <w:rPr>
                <w:color w:val="212529"/>
              </w:rPr>
              <w:t>line</w:t>
            </w:r>
            <w:r w:rsidR="00F459AD" w:rsidRPr="002926D7">
              <w:rPr>
                <w:color w:val="212529"/>
                <w:spacing w:val="-3"/>
              </w:rPr>
              <w:t xml:space="preserve"> </w:t>
            </w:r>
            <w:r w:rsidR="00F459AD" w:rsidRPr="002926D7">
              <w:rPr>
                <w:color w:val="212529"/>
              </w:rPr>
              <w:t>with</w:t>
            </w:r>
            <w:r w:rsidR="00F459AD" w:rsidRPr="002926D7">
              <w:rPr>
                <w:color w:val="212529"/>
                <w:spacing w:val="-3"/>
              </w:rPr>
              <w:t xml:space="preserve"> </w:t>
            </w:r>
            <w:r w:rsidR="00F459AD" w:rsidRPr="002926D7">
              <w:rPr>
                <w:color w:val="212529"/>
              </w:rPr>
              <w:lastRenderedPageBreak/>
              <w:t>the</w:t>
            </w:r>
            <w:r w:rsidR="00F459AD" w:rsidRPr="002926D7">
              <w:rPr>
                <w:color w:val="212529"/>
                <w:spacing w:val="-3"/>
              </w:rPr>
              <w:t xml:space="preserve"> </w:t>
            </w:r>
            <w:r w:rsidR="00F459AD" w:rsidRPr="002926D7">
              <w:rPr>
                <w:color w:val="212529"/>
              </w:rPr>
              <w:t>GEF-8</w:t>
            </w:r>
            <w:r w:rsidR="00F459AD" w:rsidRPr="002926D7">
              <w:rPr>
                <w:color w:val="212529"/>
                <w:spacing w:val="-3"/>
              </w:rPr>
              <w:t xml:space="preserve"> </w:t>
            </w:r>
            <w:r w:rsidR="00F459AD" w:rsidRPr="002926D7">
              <w:rPr>
                <w:color w:val="212529"/>
              </w:rPr>
              <w:t>SGP</w:t>
            </w:r>
            <w:r w:rsidR="00F459AD" w:rsidRPr="002926D7">
              <w:rPr>
                <w:color w:val="212529"/>
                <w:spacing w:val="-3"/>
              </w:rPr>
              <w:t xml:space="preserve"> </w:t>
            </w:r>
            <w:r w:rsidR="00F459AD" w:rsidRPr="002926D7">
              <w:rPr>
                <w:color w:val="212529"/>
              </w:rPr>
              <w:t>Implementation</w:t>
            </w:r>
            <w:r w:rsidR="00F459AD" w:rsidRPr="002926D7">
              <w:rPr>
                <w:color w:val="212529"/>
                <w:spacing w:val="-3"/>
              </w:rPr>
              <w:t xml:space="preserve"> </w:t>
            </w:r>
            <w:r w:rsidR="00F459AD" w:rsidRPr="002926D7">
              <w:rPr>
                <w:color w:val="212529"/>
              </w:rPr>
              <w:t>Arrangement</w:t>
            </w:r>
            <w:r w:rsidR="007D24A9" w:rsidRPr="002926D7">
              <w:rPr>
                <w:color w:val="212529"/>
              </w:rPr>
              <w:t>s</w:t>
            </w:r>
            <w:r w:rsidR="00F459AD" w:rsidRPr="002926D7">
              <w:rPr>
                <w:color w:val="212529"/>
                <w:spacing w:val="-4"/>
              </w:rPr>
              <w:t xml:space="preserve"> </w:t>
            </w:r>
            <w:r w:rsidR="00F459AD" w:rsidRPr="002926D7">
              <w:rPr>
                <w:color w:val="212529"/>
              </w:rPr>
              <w:t>Paper,</w:t>
            </w:r>
            <w:r w:rsidR="00F459AD" w:rsidRPr="002926D7">
              <w:rPr>
                <w:color w:val="212529"/>
                <w:spacing w:val="-3"/>
              </w:rPr>
              <w:t xml:space="preserve"> </w:t>
            </w:r>
            <w:r w:rsidR="00F459AD" w:rsidRPr="002926D7">
              <w:rPr>
                <w:color w:val="212529"/>
              </w:rPr>
              <w:t>core</w:t>
            </w:r>
            <w:r w:rsidR="00F459AD" w:rsidRPr="002926D7">
              <w:rPr>
                <w:color w:val="212529"/>
                <w:spacing w:val="-3"/>
              </w:rPr>
              <w:t xml:space="preserve"> </w:t>
            </w:r>
            <w:r w:rsidR="00F459AD" w:rsidRPr="002926D7">
              <w:rPr>
                <w:color w:val="212529"/>
              </w:rPr>
              <w:t>SGP</w:t>
            </w:r>
            <w:r w:rsidR="00F459AD" w:rsidRPr="002926D7">
              <w:rPr>
                <w:color w:val="212529"/>
                <w:spacing w:val="-4"/>
              </w:rPr>
              <w:t xml:space="preserve"> </w:t>
            </w:r>
            <w:r w:rsidR="00F459AD" w:rsidRPr="002926D7">
              <w:rPr>
                <w:color w:val="212529"/>
              </w:rPr>
              <w:t>resources</w:t>
            </w:r>
            <w:r w:rsidR="00F459AD" w:rsidRPr="002926D7">
              <w:rPr>
                <w:color w:val="212529"/>
                <w:spacing w:val="-4"/>
              </w:rPr>
              <w:t xml:space="preserve"> </w:t>
            </w:r>
            <w:r w:rsidR="00F459AD" w:rsidRPr="002926D7">
              <w:rPr>
                <w:color w:val="212529"/>
              </w:rPr>
              <w:t>are</w:t>
            </w:r>
            <w:r w:rsidR="00F459AD" w:rsidRPr="002926D7">
              <w:rPr>
                <w:color w:val="212529"/>
                <w:spacing w:val="-3"/>
              </w:rPr>
              <w:t xml:space="preserve"> </w:t>
            </w:r>
            <w:r w:rsidR="00F459AD" w:rsidRPr="002926D7">
              <w:rPr>
                <w:color w:val="212529"/>
              </w:rPr>
              <w:t>to</w:t>
            </w:r>
            <w:r w:rsidR="00F459AD" w:rsidRPr="002926D7">
              <w:rPr>
                <w:color w:val="212529"/>
                <w:spacing w:val="-3"/>
              </w:rPr>
              <w:t xml:space="preserve"> </w:t>
            </w:r>
            <w:r w:rsidR="00F459AD" w:rsidRPr="002926D7">
              <w:rPr>
                <w:color w:val="212529"/>
              </w:rPr>
              <w:t>be allocated equally among all eligible countries.</w:t>
            </w:r>
          </w:p>
          <w:p w14:paraId="6C238143" w14:textId="43ABD551" w:rsidR="009D6D08" w:rsidRPr="002926D7" w:rsidRDefault="009D6D08" w:rsidP="002926D7">
            <w:pPr>
              <w:rPr>
                <w:rFonts w:asciiTheme="minorHAnsi" w:hAnsiTheme="minorHAnsi" w:cstheme="minorHAnsi"/>
                <w:szCs w:val="20"/>
              </w:rPr>
            </w:pPr>
            <w:r w:rsidRPr="002926D7">
              <w:rPr>
                <w:rFonts w:asciiTheme="minorHAnsi" w:hAnsiTheme="minorHAnsi" w:cstheme="minorHAnsi"/>
              </w:rPr>
              <w:t>The proposed strategy</w:t>
            </w:r>
            <w:r w:rsidRPr="002926D7">
              <w:rPr>
                <w:rFonts w:cstheme="minorHAnsi"/>
              </w:rPr>
              <w:t>, elaborated through four complementary outcomes,</w:t>
            </w:r>
            <w:r w:rsidRPr="002926D7">
              <w:rPr>
                <w:rFonts w:asciiTheme="minorHAnsi" w:hAnsiTheme="minorHAnsi" w:cstheme="minorHAnsi"/>
              </w:rPr>
              <w:t xml:space="preserve"> reflects the key features of GEF Small Grants Programme 2.0, including new approaches to support youth, women and Indigenous Peoples, linking up with complementary partnerships, cooperating with </w:t>
            </w:r>
            <w:r w:rsidRPr="002926D7">
              <w:rPr>
                <w:rFonts w:cstheme="minorHAnsi"/>
              </w:rPr>
              <w:t>the two additional</w:t>
            </w:r>
            <w:r w:rsidRPr="002926D7">
              <w:rPr>
                <w:rFonts w:asciiTheme="minorHAnsi" w:hAnsiTheme="minorHAnsi" w:cstheme="minorHAnsi"/>
              </w:rPr>
              <w:t xml:space="preserve"> GEF </w:t>
            </w:r>
            <w:r w:rsidRPr="002926D7">
              <w:rPr>
                <w:rFonts w:cstheme="minorHAnsi"/>
              </w:rPr>
              <w:t>a</w:t>
            </w:r>
            <w:r w:rsidRPr="002926D7">
              <w:rPr>
                <w:rFonts w:asciiTheme="minorHAnsi" w:hAnsiTheme="minorHAnsi" w:cstheme="minorHAnsi"/>
              </w:rPr>
              <w:t xml:space="preserve">gencies, and leveraging opportunities with </w:t>
            </w:r>
            <w:r w:rsidRPr="002926D7">
              <w:rPr>
                <w:rFonts w:cstheme="minorHAnsi"/>
              </w:rPr>
              <w:t xml:space="preserve">other </w:t>
            </w:r>
            <w:r w:rsidRPr="002926D7">
              <w:rPr>
                <w:rFonts w:asciiTheme="minorHAnsi" w:hAnsiTheme="minorHAnsi" w:cstheme="minorHAnsi"/>
              </w:rPr>
              <w:t xml:space="preserve">GEF </w:t>
            </w:r>
            <w:r w:rsidRPr="002926D7">
              <w:rPr>
                <w:rFonts w:cstheme="minorHAnsi"/>
              </w:rPr>
              <w:t>programs</w:t>
            </w:r>
            <w:r w:rsidRPr="002926D7">
              <w:rPr>
                <w:rFonts w:asciiTheme="minorHAnsi" w:hAnsiTheme="minorHAnsi" w:cstheme="minorHAnsi"/>
              </w:rPr>
              <w:t xml:space="preserve">. </w:t>
            </w:r>
            <w:r w:rsidRPr="002926D7">
              <w:rPr>
                <w:rFonts w:cstheme="minorHAnsi"/>
              </w:rPr>
              <w:t>SGP-OP8</w:t>
            </w:r>
            <w:r w:rsidRPr="002926D7">
              <w:rPr>
                <w:rFonts w:asciiTheme="minorHAnsi" w:hAnsiTheme="minorHAnsi" w:cstheme="minorHAnsi"/>
              </w:rPr>
              <w:t xml:space="preserve"> will facilitate opportunities for innovation and scaling up, catalyze multi-stakeholder alliances, and leverage dialogue platforms </w:t>
            </w:r>
            <w:r w:rsidRPr="002926D7">
              <w:rPr>
                <w:rFonts w:cstheme="minorHAnsi"/>
              </w:rPr>
              <w:t>for</w:t>
            </w:r>
            <w:r w:rsidRPr="002926D7">
              <w:rPr>
                <w:rFonts w:asciiTheme="minorHAnsi" w:hAnsiTheme="minorHAnsi" w:cstheme="minorHAnsi"/>
              </w:rPr>
              <w:t xml:space="preserve"> greater impact</w:t>
            </w:r>
            <w:r w:rsidRPr="002926D7">
              <w:rPr>
                <w:rFonts w:asciiTheme="minorHAnsi" w:hAnsiTheme="minorHAnsi" w:cstheme="minorHAnsi"/>
                <w:szCs w:val="20"/>
              </w:rPr>
              <w:t>.</w:t>
            </w:r>
          </w:p>
          <w:p w14:paraId="61F7A4B2" w14:textId="2922D6FC" w:rsidR="009D6D08" w:rsidRPr="002926D7" w:rsidRDefault="009D6D08" w:rsidP="002926D7">
            <w:pPr>
              <w:rPr>
                <w:rFonts w:asciiTheme="minorHAnsi" w:hAnsiTheme="minorHAnsi" w:cstheme="minorBidi"/>
                <w:szCs w:val="20"/>
              </w:rPr>
            </w:pPr>
            <w:r w:rsidRPr="002926D7">
              <w:rPr>
                <w:rFonts w:asciiTheme="minorHAnsi" w:hAnsiTheme="minorHAnsi" w:cstheme="minorHAnsi"/>
                <w:szCs w:val="20"/>
              </w:rPr>
              <w:t>An important comparative advantage of SGP is the focus on social inclusion and vulnerable groups, including women, Indigenous Peoples, persons with disabilities, the elderly and youth. Expected results under OP8-Part 1 include 225,000 ha of land and ecosystems under restoration, 3,800,000 ha of landscapes under improved practices, 90,000 ha of marine protected areas under improved management, 270,000 ha of marine habitat under improved practices, and 500,000 direct beneficiaries, of whom 250,000 are women.</w:t>
            </w:r>
          </w:p>
          <w:p w14:paraId="4D740D13" w14:textId="1D4B02FB" w:rsidR="003D0BA2" w:rsidRPr="002926D7" w:rsidRDefault="003D0BA2" w:rsidP="002926D7">
            <w:pPr>
              <w:rPr>
                <w:rFonts w:asciiTheme="minorHAnsi" w:hAnsiTheme="minorHAnsi" w:cstheme="minorBidi"/>
                <w:szCs w:val="20"/>
              </w:rPr>
            </w:pPr>
            <w:bookmarkStart w:id="4" w:name="_Hlk153968731"/>
            <w:bookmarkEnd w:id="2"/>
          </w:p>
          <w:bookmarkEnd w:id="3"/>
          <w:bookmarkEnd w:id="4"/>
          <w:p w14:paraId="51253FAD" w14:textId="42626B66" w:rsidR="009C1512" w:rsidRPr="002926D7" w:rsidRDefault="009C1512" w:rsidP="002926D7">
            <w:pPr>
              <w:pStyle w:val="ColorfulList-Accent11"/>
              <w:tabs>
                <w:tab w:val="left" w:pos="432"/>
              </w:tabs>
              <w:spacing w:before="60" w:after="40"/>
              <w:ind w:left="0"/>
              <w:contextualSpacing w:val="0"/>
              <w:jc w:val="both"/>
              <w:rPr>
                <w:szCs w:val="20"/>
              </w:rPr>
            </w:pPr>
          </w:p>
        </w:tc>
      </w:tr>
      <w:bookmarkEnd w:id="1"/>
      <w:tr w:rsidR="0077088A" w:rsidRPr="002926D7" w14:paraId="28A6FA5D" w14:textId="77777777" w:rsidTr="7CB58970">
        <w:trPr>
          <w:trHeight w:val="377"/>
          <w:jc w:val="center"/>
        </w:trPr>
        <w:tc>
          <w:tcPr>
            <w:tcW w:w="9355" w:type="dxa"/>
            <w:gridSpan w:val="6"/>
            <w:shd w:val="clear" w:color="auto" w:fill="E7E6E6" w:themeFill="background2"/>
          </w:tcPr>
          <w:p w14:paraId="719628C5" w14:textId="004673B4" w:rsidR="0077088A" w:rsidRPr="002926D7" w:rsidRDefault="0077088A" w:rsidP="002926D7">
            <w:pPr>
              <w:rPr>
                <w:rFonts w:asciiTheme="minorHAnsi" w:hAnsiTheme="minorHAnsi" w:cs="Arial"/>
                <w:b/>
                <w:smallCaps/>
                <w:szCs w:val="20"/>
              </w:rPr>
            </w:pPr>
            <w:r w:rsidRPr="002926D7">
              <w:rPr>
                <w:rFonts w:asciiTheme="minorHAnsi" w:hAnsiTheme="minorHAnsi" w:cs="Arial"/>
                <w:b/>
                <w:smallCaps/>
                <w:szCs w:val="20"/>
              </w:rPr>
              <w:lastRenderedPageBreak/>
              <w:t>Financing Plan</w:t>
            </w:r>
          </w:p>
        </w:tc>
      </w:tr>
      <w:tr w:rsidR="0077088A" w:rsidRPr="002926D7" w14:paraId="635C43EE" w14:textId="77777777" w:rsidTr="7CB58970">
        <w:trPr>
          <w:jc w:val="center"/>
        </w:trPr>
        <w:tc>
          <w:tcPr>
            <w:tcW w:w="4675" w:type="dxa"/>
            <w:gridSpan w:val="3"/>
          </w:tcPr>
          <w:p w14:paraId="28DF91BC" w14:textId="5F64CEBC" w:rsidR="0077088A" w:rsidRPr="002926D7" w:rsidRDefault="0077088A" w:rsidP="002926D7">
            <w:pPr>
              <w:spacing w:after="120"/>
              <w:jc w:val="left"/>
              <w:rPr>
                <w:rFonts w:cs="Arial"/>
                <w:szCs w:val="20"/>
              </w:rPr>
            </w:pPr>
            <w:r w:rsidRPr="002926D7">
              <w:rPr>
                <w:rFonts w:cs="Arial"/>
                <w:szCs w:val="20"/>
              </w:rPr>
              <w:t>GEF Trust Fund</w:t>
            </w:r>
            <w:r w:rsidR="00A93C3E" w:rsidRPr="002926D7">
              <w:rPr>
                <w:rFonts w:cs="Arial"/>
                <w:szCs w:val="20"/>
              </w:rPr>
              <w:t xml:space="preserve"> grant</w:t>
            </w:r>
          </w:p>
        </w:tc>
        <w:tc>
          <w:tcPr>
            <w:tcW w:w="4680" w:type="dxa"/>
            <w:gridSpan w:val="3"/>
          </w:tcPr>
          <w:p w14:paraId="23E6ABDF" w14:textId="35986AEE" w:rsidR="0077088A" w:rsidRPr="002926D7" w:rsidRDefault="0077088A" w:rsidP="002926D7">
            <w:pPr>
              <w:spacing w:after="120"/>
              <w:jc w:val="left"/>
              <w:rPr>
                <w:rFonts w:cs="Arial"/>
                <w:szCs w:val="20"/>
              </w:rPr>
            </w:pPr>
            <w:r w:rsidRPr="002926D7">
              <w:rPr>
                <w:rFonts w:cs="Arial"/>
                <w:szCs w:val="20"/>
              </w:rPr>
              <w:t>USD</w:t>
            </w:r>
            <w:r w:rsidR="00EC5451" w:rsidRPr="002926D7">
              <w:rPr>
                <w:rFonts w:cs="Arial"/>
                <w:szCs w:val="20"/>
              </w:rPr>
              <w:t xml:space="preserve"> </w:t>
            </w:r>
            <w:r w:rsidR="003D0BA2" w:rsidRPr="002926D7">
              <w:rPr>
                <w:rFonts w:cs="Arial"/>
                <w:szCs w:val="20"/>
              </w:rPr>
              <w:t>12</w:t>
            </w:r>
            <w:r w:rsidR="006507F8" w:rsidRPr="002926D7">
              <w:rPr>
                <w:rFonts w:cs="Arial"/>
                <w:szCs w:val="20"/>
              </w:rPr>
              <w:t>6</w:t>
            </w:r>
            <w:r w:rsidR="003D0BA2" w:rsidRPr="002926D7">
              <w:rPr>
                <w:rFonts w:cs="Arial"/>
                <w:szCs w:val="20"/>
              </w:rPr>
              <w:t>,</w:t>
            </w:r>
            <w:r w:rsidR="006507F8" w:rsidRPr="002926D7">
              <w:rPr>
                <w:rFonts w:cs="Arial"/>
                <w:szCs w:val="20"/>
              </w:rPr>
              <w:t>186,603</w:t>
            </w:r>
          </w:p>
        </w:tc>
      </w:tr>
      <w:tr w:rsidR="003D0BA2" w:rsidRPr="002926D7" w14:paraId="18637925" w14:textId="77777777" w:rsidTr="7CB58970">
        <w:trPr>
          <w:jc w:val="center"/>
        </w:trPr>
        <w:tc>
          <w:tcPr>
            <w:tcW w:w="4675" w:type="dxa"/>
            <w:gridSpan w:val="3"/>
          </w:tcPr>
          <w:p w14:paraId="5C6EA4B8" w14:textId="4DF3FFDB" w:rsidR="003D0BA2" w:rsidRPr="002926D7" w:rsidRDefault="003D0BA2" w:rsidP="002926D7">
            <w:pPr>
              <w:spacing w:after="120"/>
              <w:jc w:val="left"/>
              <w:rPr>
                <w:rFonts w:cs="Arial"/>
                <w:szCs w:val="20"/>
              </w:rPr>
            </w:pPr>
            <w:r w:rsidRPr="002926D7">
              <w:rPr>
                <w:rFonts w:cs="Arial"/>
              </w:rPr>
              <w:t xml:space="preserve">UNDP TRAC resources </w:t>
            </w:r>
          </w:p>
        </w:tc>
        <w:tc>
          <w:tcPr>
            <w:tcW w:w="4680" w:type="dxa"/>
            <w:gridSpan w:val="3"/>
          </w:tcPr>
          <w:p w14:paraId="1BB20B2D" w14:textId="6D576CC0" w:rsidR="003D0BA2" w:rsidRPr="002926D7" w:rsidRDefault="003B3F1D" w:rsidP="002926D7">
            <w:pPr>
              <w:spacing w:after="120"/>
              <w:jc w:val="left"/>
              <w:rPr>
                <w:rFonts w:cs="Arial"/>
                <w:szCs w:val="20"/>
              </w:rPr>
            </w:pPr>
            <w:r w:rsidRPr="002926D7">
              <w:rPr>
                <w:rFonts w:cs="Arial"/>
                <w:szCs w:val="20"/>
              </w:rPr>
              <w:t>N/A</w:t>
            </w:r>
          </w:p>
        </w:tc>
      </w:tr>
      <w:tr w:rsidR="003D0BA2" w:rsidRPr="002926D7" w14:paraId="68944719" w14:textId="77777777" w:rsidTr="7CB58970">
        <w:trPr>
          <w:jc w:val="center"/>
        </w:trPr>
        <w:tc>
          <w:tcPr>
            <w:tcW w:w="4675" w:type="dxa"/>
            <w:gridSpan w:val="3"/>
          </w:tcPr>
          <w:p w14:paraId="384DD1C8" w14:textId="24AB4303" w:rsidR="003D0BA2" w:rsidRPr="002926D7" w:rsidRDefault="003D0BA2" w:rsidP="002926D7">
            <w:pPr>
              <w:spacing w:after="120"/>
              <w:jc w:val="left"/>
              <w:rPr>
                <w:rFonts w:cs="Arial"/>
                <w:szCs w:val="20"/>
              </w:rPr>
            </w:pPr>
            <w:r w:rsidRPr="002926D7">
              <w:rPr>
                <w:rFonts w:cs="Arial"/>
                <w:szCs w:val="20"/>
              </w:rPr>
              <w:t xml:space="preserve">Confirmed cash co-financing to be administered by UNDP </w:t>
            </w:r>
          </w:p>
        </w:tc>
        <w:tc>
          <w:tcPr>
            <w:tcW w:w="4680" w:type="dxa"/>
            <w:gridSpan w:val="3"/>
          </w:tcPr>
          <w:p w14:paraId="1C75A6FF" w14:textId="2BC58889" w:rsidR="003D0BA2" w:rsidRPr="002926D7" w:rsidRDefault="003B3F1D" w:rsidP="002926D7">
            <w:pPr>
              <w:spacing w:after="120"/>
              <w:jc w:val="left"/>
              <w:rPr>
                <w:rFonts w:cs="Arial"/>
                <w:szCs w:val="20"/>
              </w:rPr>
            </w:pPr>
            <w:r w:rsidRPr="002926D7">
              <w:rPr>
                <w:rFonts w:cs="Arial"/>
                <w:szCs w:val="20"/>
              </w:rPr>
              <w:t>N/A</w:t>
            </w:r>
          </w:p>
        </w:tc>
      </w:tr>
      <w:tr w:rsidR="0077088A" w:rsidRPr="002926D7" w14:paraId="58EE269A" w14:textId="77777777" w:rsidTr="7CB58970">
        <w:trPr>
          <w:jc w:val="center"/>
        </w:trPr>
        <w:tc>
          <w:tcPr>
            <w:tcW w:w="4675" w:type="dxa"/>
            <w:gridSpan w:val="3"/>
          </w:tcPr>
          <w:p w14:paraId="7CB4539D" w14:textId="77777777" w:rsidR="0077088A" w:rsidRPr="002926D7" w:rsidRDefault="0077088A" w:rsidP="002926D7">
            <w:pPr>
              <w:pStyle w:val="ListParagraph"/>
              <w:numPr>
                <w:ilvl w:val="0"/>
                <w:numId w:val="5"/>
              </w:numPr>
              <w:spacing w:after="120"/>
              <w:jc w:val="right"/>
              <w:rPr>
                <w:rFonts w:cs="Arial"/>
                <w:b/>
                <w:szCs w:val="20"/>
              </w:rPr>
            </w:pPr>
            <w:r w:rsidRPr="002926D7">
              <w:rPr>
                <w:rFonts w:cs="Arial"/>
                <w:b/>
                <w:szCs w:val="20"/>
                <w:lang w:eastAsia="zh-CN"/>
              </w:rPr>
              <w:t xml:space="preserve">Total </w:t>
            </w:r>
            <w:r w:rsidRPr="002926D7">
              <w:rPr>
                <w:rFonts w:cs="Arial"/>
                <w:b/>
                <w:szCs w:val="20"/>
              </w:rPr>
              <w:t xml:space="preserve">Budget administered by UNDP </w:t>
            </w:r>
          </w:p>
        </w:tc>
        <w:tc>
          <w:tcPr>
            <w:tcW w:w="4680" w:type="dxa"/>
            <w:gridSpan w:val="3"/>
          </w:tcPr>
          <w:p w14:paraId="2CF89EBB" w14:textId="6E7962DE" w:rsidR="0077088A" w:rsidRPr="002926D7" w:rsidRDefault="0077088A" w:rsidP="002926D7">
            <w:pPr>
              <w:spacing w:after="120"/>
              <w:jc w:val="left"/>
              <w:rPr>
                <w:rFonts w:cs="Arial"/>
                <w:b/>
                <w:szCs w:val="20"/>
              </w:rPr>
            </w:pPr>
            <w:r w:rsidRPr="002926D7">
              <w:rPr>
                <w:rFonts w:cs="Arial"/>
                <w:b/>
                <w:szCs w:val="20"/>
              </w:rPr>
              <w:t>USD</w:t>
            </w:r>
            <w:r w:rsidR="00257413" w:rsidRPr="002926D7">
              <w:rPr>
                <w:rFonts w:cs="Arial"/>
                <w:b/>
                <w:szCs w:val="20"/>
              </w:rPr>
              <w:t xml:space="preserve"> </w:t>
            </w:r>
            <w:r w:rsidR="006507F8" w:rsidRPr="002926D7">
              <w:rPr>
                <w:rFonts w:cs="Arial"/>
                <w:b/>
                <w:szCs w:val="20"/>
              </w:rPr>
              <w:t>126,186,603</w:t>
            </w:r>
          </w:p>
        </w:tc>
      </w:tr>
      <w:tr w:rsidR="00BD5F12" w:rsidRPr="002926D7" w14:paraId="2856C479" w14:textId="77777777" w:rsidTr="7CB58970">
        <w:trPr>
          <w:jc w:val="center"/>
        </w:trPr>
        <w:tc>
          <w:tcPr>
            <w:tcW w:w="9355" w:type="dxa"/>
            <w:gridSpan w:val="6"/>
            <w:shd w:val="clear" w:color="auto" w:fill="E7E6E6" w:themeFill="background2"/>
            <w:vAlign w:val="center"/>
          </w:tcPr>
          <w:p w14:paraId="57D88442" w14:textId="77777777" w:rsidR="00BD5F12" w:rsidRPr="002926D7" w:rsidRDefault="00BD5F12" w:rsidP="002926D7">
            <w:pPr>
              <w:spacing w:after="120"/>
              <w:jc w:val="left"/>
              <w:rPr>
                <w:rFonts w:cs="Arial"/>
                <w:b/>
                <w:szCs w:val="20"/>
              </w:rPr>
            </w:pPr>
          </w:p>
        </w:tc>
      </w:tr>
      <w:tr w:rsidR="006540DB" w:rsidRPr="002926D7" w14:paraId="3BC13D34" w14:textId="77777777" w:rsidTr="7CB58970">
        <w:trPr>
          <w:jc w:val="center"/>
        </w:trPr>
        <w:tc>
          <w:tcPr>
            <w:tcW w:w="4675" w:type="dxa"/>
            <w:gridSpan w:val="3"/>
            <w:vAlign w:val="center"/>
          </w:tcPr>
          <w:p w14:paraId="3F5810BB" w14:textId="5D678B03" w:rsidR="006540DB" w:rsidRPr="002926D7" w:rsidRDefault="006540DB" w:rsidP="002926D7">
            <w:pPr>
              <w:pStyle w:val="ListParagraph"/>
              <w:numPr>
                <w:ilvl w:val="0"/>
                <w:numId w:val="5"/>
              </w:numPr>
              <w:spacing w:after="120"/>
              <w:jc w:val="right"/>
              <w:rPr>
                <w:rFonts w:cs="Arial"/>
                <w:b/>
                <w:szCs w:val="20"/>
              </w:rPr>
            </w:pPr>
            <w:r w:rsidRPr="002926D7">
              <w:rPr>
                <w:rFonts w:cs="Arial"/>
                <w:b/>
                <w:szCs w:val="20"/>
              </w:rPr>
              <w:t>Total confirmed co-financing</w:t>
            </w:r>
            <w:r w:rsidR="00BD5F12" w:rsidRPr="002926D7">
              <w:rPr>
                <w:rFonts w:cs="Arial"/>
                <w:b/>
                <w:szCs w:val="20"/>
              </w:rPr>
              <w:t xml:space="preserve"> to this project not administered by UNDP</w:t>
            </w:r>
          </w:p>
        </w:tc>
        <w:tc>
          <w:tcPr>
            <w:tcW w:w="4680" w:type="dxa"/>
            <w:gridSpan w:val="3"/>
            <w:vAlign w:val="center"/>
          </w:tcPr>
          <w:p w14:paraId="3086BB03" w14:textId="0887FDA4" w:rsidR="006540DB" w:rsidRPr="002926D7" w:rsidRDefault="006540DB" w:rsidP="002926D7">
            <w:pPr>
              <w:spacing w:after="120"/>
              <w:jc w:val="left"/>
              <w:rPr>
                <w:rFonts w:cs="Arial"/>
                <w:b/>
                <w:szCs w:val="20"/>
              </w:rPr>
            </w:pPr>
            <w:r w:rsidRPr="002926D7">
              <w:rPr>
                <w:rFonts w:cs="Arial"/>
                <w:b/>
                <w:szCs w:val="20"/>
              </w:rPr>
              <w:t xml:space="preserve">USD </w:t>
            </w:r>
            <w:r w:rsidR="006C6D0A" w:rsidRPr="002926D7">
              <w:rPr>
                <w:rFonts w:cs="Arial"/>
                <w:b/>
                <w:szCs w:val="20"/>
              </w:rPr>
              <w:t>35,000</w:t>
            </w:r>
            <w:r w:rsidR="007B7D60" w:rsidRPr="002926D7">
              <w:rPr>
                <w:rFonts w:cs="Arial"/>
                <w:b/>
                <w:szCs w:val="20"/>
              </w:rPr>
              <w:t>,000</w:t>
            </w:r>
          </w:p>
        </w:tc>
      </w:tr>
      <w:tr w:rsidR="006540DB" w:rsidRPr="002926D7" w14:paraId="3D00AAD9" w14:textId="77777777" w:rsidTr="7CB58970">
        <w:trPr>
          <w:jc w:val="center"/>
        </w:trPr>
        <w:tc>
          <w:tcPr>
            <w:tcW w:w="4675" w:type="dxa"/>
            <w:gridSpan w:val="3"/>
            <w:vAlign w:val="center"/>
          </w:tcPr>
          <w:p w14:paraId="7F55C8EE" w14:textId="77777777" w:rsidR="006540DB" w:rsidRPr="002926D7" w:rsidRDefault="006540DB" w:rsidP="002926D7">
            <w:pPr>
              <w:pStyle w:val="ListParagraph"/>
              <w:numPr>
                <w:ilvl w:val="0"/>
                <w:numId w:val="5"/>
              </w:numPr>
              <w:spacing w:after="120"/>
              <w:jc w:val="right"/>
              <w:rPr>
                <w:rFonts w:cs="Arial"/>
                <w:b/>
                <w:szCs w:val="20"/>
              </w:rPr>
            </w:pPr>
            <w:r w:rsidRPr="002926D7">
              <w:rPr>
                <w:rFonts w:cs="Arial"/>
                <w:b/>
                <w:szCs w:val="20"/>
                <w:lang w:eastAsia="zh-CN"/>
              </w:rPr>
              <w:t>Grand-</w:t>
            </w:r>
            <w:r w:rsidRPr="002926D7">
              <w:rPr>
                <w:rFonts w:cs="Arial"/>
                <w:b/>
                <w:szCs w:val="20"/>
              </w:rPr>
              <w:t xml:space="preserve">Total Project </w:t>
            </w:r>
            <w:r w:rsidRPr="002926D7">
              <w:rPr>
                <w:rFonts w:cs="Arial"/>
                <w:b/>
                <w:szCs w:val="20"/>
                <w:lang w:eastAsia="zh-CN"/>
              </w:rPr>
              <w:t>Financing (1)+(2)</w:t>
            </w:r>
          </w:p>
        </w:tc>
        <w:tc>
          <w:tcPr>
            <w:tcW w:w="4680" w:type="dxa"/>
            <w:gridSpan w:val="3"/>
            <w:vAlign w:val="center"/>
          </w:tcPr>
          <w:p w14:paraId="190A58E3" w14:textId="641A4448" w:rsidR="006540DB" w:rsidRPr="002926D7" w:rsidRDefault="006540DB" w:rsidP="002926D7">
            <w:pPr>
              <w:spacing w:after="120"/>
              <w:jc w:val="left"/>
              <w:rPr>
                <w:rFonts w:cs="Arial"/>
                <w:b/>
                <w:szCs w:val="20"/>
              </w:rPr>
            </w:pPr>
            <w:r w:rsidRPr="002926D7">
              <w:rPr>
                <w:rFonts w:cs="Arial"/>
                <w:b/>
                <w:szCs w:val="20"/>
              </w:rPr>
              <w:t xml:space="preserve">USD </w:t>
            </w:r>
            <w:r w:rsidR="00420C81" w:rsidRPr="002926D7">
              <w:rPr>
                <w:rFonts w:cs="Arial"/>
                <w:b/>
                <w:szCs w:val="20"/>
              </w:rPr>
              <w:t>1</w:t>
            </w:r>
            <w:r w:rsidR="007B7D60" w:rsidRPr="002926D7">
              <w:rPr>
                <w:rFonts w:cs="Arial"/>
                <w:b/>
                <w:szCs w:val="20"/>
              </w:rPr>
              <w:t>61</w:t>
            </w:r>
            <w:r w:rsidR="00DD0483" w:rsidRPr="002926D7">
              <w:rPr>
                <w:rFonts w:cs="Arial"/>
                <w:b/>
                <w:szCs w:val="20"/>
              </w:rPr>
              <w:t>,</w:t>
            </w:r>
            <w:r w:rsidR="007B7D60" w:rsidRPr="002926D7">
              <w:rPr>
                <w:rFonts w:cs="Arial"/>
                <w:b/>
                <w:szCs w:val="20"/>
              </w:rPr>
              <w:t>186,</w:t>
            </w:r>
            <w:r w:rsidR="00DD0483" w:rsidRPr="002926D7">
              <w:rPr>
                <w:rFonts w:cs="Arial"/>
                <w:b/>
                <w:szCs w:val="20"/>
              </w:rPr>
              <w:t>603</w:t>
            </w:r>
          </w:p>
        </w:tc>
      </w:tr>
      <w:tr w:rsidR="006540DB" w:rsidRPr="002926D7" w14:paraId="6C5E7D87" w14:textId="77777777" w:rsidTr="7CB58970">
        <w:trPr>
          <w:jc w:val="center"/>
        </w:trPr>
        <w:tc>
          <w:tcPr>
            <w:tcW w:w="9355" w:type="dxa"/>
            <w:gridSpan w:val="6"/>
            <w:shd w:val="clear" w:color="auto" w:fill="E7E6E6" w:themeFill="background2"/>
          </w:tcPr>
          <w:p w14:paraId="5DA70B04" w14:textId="08B83A9F" w:rsidR="006540DB" w:rsidRPr="002926D7" w:rsidRDefault="006540DB" w:rsidP="002926D7">
            <w:pPr>
              <w:spacing w:after="240"/>
              <w:jc w:val="left"/>
              <w:rPr>
                <w:rFonts w:cs="Arial"/>
                <w:b/>
                <w:smallCaps/>
                <w:szCs w:val="20"/>
              </w:rPr>
            </w:pPr>
            <w:r w:rsidRPr="002926D7">
              <w:rPr>
                <w:rFonts w:cs="Arial"/>
                <w:b/>
                <w:smallCaps/>
                <w:szCs w:val="20"/>
              </w:rPr>
              <w:t>Signatures</w:t>
            </w:r>
          </w:p>
        </w:tc>
      </w:tr>
      <w:tr w:rsidR="00F635E7" w:rsidRPr="002926D7" w14:paraId="7C55286E" w14:textId="77777777" w:rsidTr="7CB58970">
        <w:trPr>
          <w:jc w:val="center"/>
        </w:trPr>
        <w:tc>
          <w:tcPr>
            <w:tcW w:w="3505" w:type="dxa"/>
            <w:gridSpan w:val="2"/>
          </w:tcPr>
          <w:p w14:paraId="3F2ADEE9" w14:textId="77777777" w:rsidR="00F635E7" w:rsidRPr="002926D7" w:rsidRDefault="00F635E7" w:rsidP="002926D7">
            <w:pPr>
              <w:jc w:val="left"/>
              <w:rPr>
                <w:rFonts w:cs="Arial"/>
                <w:b/>
                <w:szCs w:val="20"/>
              </w:rPr>
            </w:pPr>
            <w:r w:rsidRPr="002926D7">
              <w:rPr>
                <w:rFonts w:cs="Arial"/>
                <w:b/>
                <w:szCs w:val="20"/>
              </w:rPr>
              <w:t xml:space="preserve">Signature:  </w:t>
            </w:r>
          </w:p>
          <w:p w14:paraId="2A3D576D" w14:textId="77777777" w:rsidR="00084EE0" w:rsidRDefault="00084EE0" w:rsidP="00084EE0">
            <w:pPr>
              <w:rPr>
                <w:rFonts w:asciiTheme="minorHAnsi" w:hAnsiTheme="minorHAnsi" w:cstheme="minorHAnsi"/>
                <w:b/>
                <w:bCs/>
                <w:iCs/>
                <w:szCs w:val="20"/>
              </w:rPr>
            </w:pPr>
          </w:p>
          <w:p w14:paraId="0E9266D5" w14:textId="77777777" w:rsidR="00E71BE0" w:rsidRDefault="00E71BE0" w:rsidP="002926D7">
            <w:pPr>
              <w:jc w:val="left"/>
              <w:rPr>
                <w:rFonts w:cs="Arial"/>
                <w:szCs w:val="20"/>
              </w:rPr>
            </w:pPr>
          </w:p>
          <w:p w14:paraId="15E05C25" w14:textId="77777777" w:rsidR="00084EE0" w:rsidRPr="002926D7" w:rsidRDefault="00084EE0" w:rsidP="002926D7">
            <w:pPr>
              <w:jc w:val="left"/>
              <w:rPr>
                <w:rFonts w:cs="Arial"/>
                <w:szCs w:val="20"/>
              </w:rPr>
            </w:pPr>
          </w:p>
          <w:p w14:paraId="56A7AEFB" w14:textId="50759FE8" w:rsidR="00F635E7" w:rsidRPr="002926D7" w:rsidRDefault="00F635E7" w:rsidP="002926D7">
            <w:pPr>
              <w:jc w:val="left"/>
              <w:rPr>
                <w:rFonts w:cs="Arial"/>
                <w:szCs w:val="20"/>
              </w:rPr>
            </w:pPr>
          </w:p>
        </w:tc>
        <w:tc>
          <w:tcPr>
            <w:tcW w:w="3060" w:type="dxa"/>
            <w:gridSpan w:val="3"/>
          </w:tcPr>
          <w:p w14:paraId="600F0143" w14:textId="77777777" w:rsidR="00F635E7" w:rsidRDefault="00F635E7" w:rsidP="002926D7">
            <w:pPr>
              <w:spacing w:after="240"/>
              <w:jc w:val="left"/>
              <w:rPr>
                <w:rFonts w:cs="Arial"/>
                <w:b/>
                <w:szCs w:val="20"/>
              </w:rPr>
            </w:pPr>
            <w:r w:rsidRPr="002926D7">
              <w:rPr>
                <w:rFonts w:cs="Arial"/>
                <w:b/>
                <w:szCs w:val="20"/>
              </w:rPr>
              <w:t>Agreed by UNDP</w:t>
            </w:r>
          </w:p>
          <w:p w14:paraId="3AB05CE7" w14:textId="77777777" w:rsidR="0001401E" w:rsidRPr="007323BD" w:rsidRDefault="0001401E" w:rsidP="0001401E">
            <w:pPr>
              <w:rPr>
                <w:rFonts w:asciiTheme="minorHAnsi" w:hAnsiTheme="minorHAnsi" w:cstheme="minorHAnsi"/>
                <w:b/>
                <w:bCs/>
                <w:iCs/>
                <w:szCs w:val="20"/>
              </w:rPr>
            </w:pPr>
            <w:r w:rsidRPr="007323BD">
              <w:rPr>
                <w:rFonts w:asciiTheme="minorHAnsi" w:hAnsiTheme="minorHAnsi" w:cstheme="minorHAnsi"/>
                <w:b/>
                <w:bCs/>
                <w:iCs/>
                <w:szCs w:val="20"/>
              </w:rPr>
              <w:t>Nancy Bennet</w:t>
            </w:r>
          </w:p>
          <w:p w14:paraId="1AE8E389" w14:textId="77777777" w:rsidR="0001401E" w:rsidRDefault="0001401E" w:rsidP="0001401E">
            <w:pPr>
              <w:rPr>
                <w:rFonts w:asciiTheme="minorHAnsi" w:hAnsiTheme="minorHAnsi" w:cstheme="minorHAnsi"/>
                <w:b/>
                <w:bCs/>
                <w:iCs/>
                <w:szCs w:val="20"/>
              </w:rPr>
            </w:pPr>
            <w:r w:rsidRPr="007323BD">
              <w:rPr>
                <w:rFonts w:asciiTheme="minorHAnsi" w:hAnsiTheme="minorHAnsi" w:cstheme="minorHAnsi"/>
                <w:b/>
                <w:bCs/>
                <w:iCs/>
                <w:szCs w:val="20"/>
              </w:rPr>
              <w:t xml:space="preserve">Executive Coordinator, </w:t>
            </w:r>
            <w:r>
              <w:rPr>
                <w:rFonts w:asciiTheme="minorHAnsi" w:hAnsiTheme="minorHAnsi" w:cstheme="minorHAnsi"/>
                <w:b/>
                <w:bCs/>
                <w:iCs/>
                <w:szCs w:val="20"/>
              </w:rPr>
              <w:t>a.i.</w:t>
            </w:r>
            <w:r w:rsidRPr="007323BD">
              <w:rPr>
                <w:rFonts w:asciiTheme="minorHAnsi" w:hAnsiTheme="minorHAnsi" w:cstheme="minorHAnsi"/>
                <w:b/>
                <w:bCs/>
                <w:iCs/>
                <w:szCs w:val="20"/>
              </w:rPr>
              <w:t xml:space="preserve"> </w:t>
            </w:r>
          </w:p>
          <w:p w14:paraId="736DBB89" w14:textId="77777777" w:rsidR="0001401E" w:rsidRPr="007323BD" w:rsidRDefault="0001401E" w:rsidP="0001401E">
            <w:pPr>
              <w:rPr>
                <w:rFonts w:asciiTheme="minorHAnsi" w:hAnsiTheme="minorHAnsi" w:cstheme="minorHAnsi"/>
                <w:b/>
                <w:bCs/>
                <w:iCs/>
                <w:szCs w:val="20"/>
              </w:rPr>
            </w:pPr>
            <w:r w:rsidRPr="007323BD">
              <w:rPr>
                <w:rFonts w:asciiTheme="minorHAnsi" w:hAnsiTheme="minorHAnsi" w:cstheme="minorHAnsi"/>
                <w:b/>
                <w:bCs/>
                <w:iCs/>
                <w:szCs w:val="20"/>
              </w:rPr>
              <w:t>Vertical Funds Programming Support, Oversight &amp; Compliance Hub</w:t>
            </w:r>
          </w:p>
          <w:p w14:paraId="53C05C85" w14:textId="77777777" w:rsidR="0001401E" w:rsidRPr="007323BD" w:rsidRDefault="0001401E" w:rsidP="0001401E">
            <w:pPr>
              <w:rPr>
                <w:rFonts w:asciiTheme="minorHAnsi" w:hAnsiTheme="minorHAnsi" w:cstheme="minorHAnsi"/>
                <w:b/>
                <w:bCs/>
                <w:iCs/>
                <w:szCs w:val="20"/>
              </w:rPr>
            </w:pPr>
            <w:r>
              <w:rPr>
                <w:rFonts w:asciiTheme="minorHAnsi" w:hAnsiTheme="minorHAnsi" w:cstheme="minorHAnsi"/>
                <w:b/>
                <w:bCs/>
                <w:iCs/>
                <w:szCs w:val="20"/>
              </w:rPr>
              <w:t>UNDP/BPPS</w:t>
            </w:r>
          </w:p>
          <w:p w14:paraId="79F0C5E5" w14:textId="2CD06624" w:rsidR="0001401E" w:rsidRPr="002926D7" w:rsidRDefault="0001401E" w:rsidP="002926D7">
            <w:pPr>
              <w:spacing w:after="240"/>
              <w:jc w:val="left"/>
              <w:rPr>
                <w:rFonts w:cs="Arial"/>
                <w:b/>
                <w:szCs w:val="20"/>
              </w:rPr>
            </w:pPr>
          </w:p>
        </w:tc>
        <w:tc>
          <w:tcPr>
            <w:tcW w:w="2790" w:type="dxa"/>
          </w:tcPr>
          <w:p w14:paraId="24E4E5EB" w14:textId="2AB08223" w:rsidR="00F635E7" w:rsidRPr="002926D7" w:rsidRDefault="00F635E7" w:rsidP="002926D7">
            <w:pPr>
              <w:spacing w:after="240"/>
              <w:jc w:val="left"/>
              <w:rPr>
                <w:rFonts w:cs="Arial"/>
                <w:b/>
                <w:szCs w:val="20"/>
              </w:rPr>
            </w:pPr>
            <w:r w:rsidRPr="002926D7">
              <w:rPr>
                <w:rFonts w:cs="Arial"/>
                <w:b/>
                <w:szCs w:val="20"/>
              </w:rPr>
              <w:t>Date/Month/Year:</w:t>
            </w:r>
            <w:r w:rsidRPr="002926D7">
              <w:rPr>
                <w:rFonts w:cs="Arial"/>
                <w:szCs w:val="20"/>
              </w:rPr>
              <w:t xml:space="preserve"> </w:t>
            </w:r>
          </w:p>
        </w:tc>
      </w:tr>
    </w:tbl>
    <w:p w14:paraId="031C5B0B" w14:textId="77777777" w:rsidR="008968AE" w:rsidRPr="002926D7" w:rsidRDefault="008968AE" w:rsidP="002926D7">
      <w:pPr>
        <w:jc w:val="left"/>
        <w:rPr>
          <w:rFonts w:cs="Arial"/>
          <w:szCs w:val="20"/>
        </w:rPr>
      </w:pPr>
      <w:r w:rsidRPr="002926D7">
        <w:rPr>
          <w:rFonts w:cs="Arial"/>
          <w:szCs w:val="20"/>
        </w:rPr>
        <w:br w:type="page"/>
      </w:r>
    </w:p>
    <w:p w14:paraId="71DD797A" w14:textId="77777777" w:rsidR="00D64EA4" w:rsidRPr="002926D7" w:rsidRDefault="00D64EA4" w:rsidP="002926D7">
      <w:pPr>
        <w:pStyle w:val="Heading1"/>
      </w:pPr>
      <w:bookmarkStart w:id="5" w:name="_Toc10117702"/>
      <w:bookmarkStart w:id="6" w:name="_Toc10449632"/>
      <w:bookmarkStart w:id="7" w:name="_Toc151386976"/>
      <w:bookmarkStart w:id="8" w:name="_Hlk76984560"/>
      <w:r w:rsidRPr="002926D7">
        <w:lastRenderedPageBreak/>
        <w:t>Table of Contents</w:t>
      </w:r>
      <w:bookmarkEnd w:id="5"/>
      <w:bookmarkEnd w:id="6"/>
      <w:bookmarkEnd w:id="7"/>
    </w:p>
    <w:p w14:paraId="161D3F04" w14:textId="3949F623" w:rsidR="00653AC4" w:rsidRPr="002926D7" w:rsidRDefault="00D64EA4" w:rsidP="002926D7">
      <w:pPr>
        <w:pStyle w:val="TOC1"/>
        <w:rPr>
          <w:rFonts w:asciiTheme="minorHAnsi" w:eastAsiaTheme="minorEastAsia" w:hAnsiTheme="minorHAnsi" w:cstheme="minorBidi"/>
          <w:noProof/>
          <w:kern w:val="2"/>
          <w:sz w:val="22"/>
          <w:szCs w:val="22"/>
          <w14:ligatures w14:val="standardContextual"/>
        </w:rPr>
      </w:pPr>
      <w:r w:rsidRPr="002926D7">
        <w:rPr>
          <w:szCs w:val="20"/>
        </w:rPr>
        <w:fldChar w:fldCharType="begin"/>
      </w:r>
      <w:r w:rsidRPr="002926D7">
        <w:rPr>
          <w:szCs w:val="20"/>
        </w:rPr>
        <w:instrText xml:space="preserve"> TOC \o "1-3" \h \z \u </w:instrText>
      </w:r>
      <w:r w:rsidRPr="002926D7">
        <w:rPr>
          <w:szCs w:val="20"/>
        </w:rPr>
        <w:fldChar w:fldCharType="separate"/>
      </w:r>
      <w:hyperlink w:anchor="_Toc151386976" w:history="1">
        <w:r w:rsidR="00653AC4" w:rsidRPr="002926D7">
          <w:rPr>
            <w:rStyle w:val="Hyperlink"/>
            <w:noProof/>
          </w:rPr>
          <w:t>I.</w:t>
        </w:r>
        <w:r w:rsidR="00653AC4" w:rsidRPr="002926D7">
          <w:rPr>
            <w:rFonts w:asciiTheme="minorHAnsi" w:eastAsiaTheme="minorEastAsia" w:hAnsiTheme="minorHAnsi" w:cstheme="minorBidi"/>
            <w:noProof/>
            <w:kern w:val="2"/>
            <w:sz w:val="22"/>
            <w:szCs w:val="22"/>
            <w14:ligatures w14:val="standardContextual"/>
          </w:rPr>
          <w:tab/>
        </w:r>
        <w:r w:rsidR="00653AC4" w:rsidRPr="002926D7">
          <w:rPr>
            <w:rStyle w:val="Hyperlink"/>
            <w:noProof/>
          </w:rPr>
          <w:t>Table of Contents</w:t>
        </w:r>
        <w:r w:rsidR="00653AC4" w:rsidRPr="002926D7">
          <w:rPr>
            <w:noProof/>
            <w:webHidden/>
          </w:rPr>
          <w:tab/>
        </w:r>
        <w:r w:rsidR="00653AC4" w:rsidRPr="002926D7">
          <w:rPr>
            <w:noProof/>
            <w:webHidden/>
          </w:rPr>
          <w:fldChar w:fldCharType="begin"/>
        </w:r>
        <w:r w:rsidR="00653AC4" w:rsidRPr="002926D7">
          <w:rPr>
            <w:noProof/>
            <w:webHidden/>
          </w:rPr>
          <w:instrText xml:space="preserve"> PAGEREF _Toc151386976 \h </w:instrText>
        </w:r>
        <w:r w:rsidR="00653AC4" w:rsidRPr="002926D7">
          <w:rPr>
            <w:noProof/>
            <w:webHidden/>
          </w:rPr>
        </w:r>
        <w:r w:rsidR="00653AC4" w:rsidRPr="002926D7">
          <w:rPr>
            <w:noProof/>
            <w:webHidden/>
          </w:rPr>
          <w:fldChar w:fldCharType="separate"/>
        </w:r>
        <w:r w:rsidR="00D0082E" w:rsidRPr="002926D7">
          <w:rPr>
            <w:noProof/>
            <w:webHidden/>
          </w:rPr>
          <w:t>3</w:t>
        </w:r>
        <w:r w:rsidR="00653AC4" w:rsidRPr="002926D7">
          <w:rPr>
            <w:noProof/>
            <w:webHidden/>
          </w:rPr>
          <w:fldChar w:fldCharType="end"/>
        </w:r>
      </w:hyperlink>
    </w:p>
    <w:p w14:paraId="7B0738C4" w14:textId="05C18EA6" w:rsidR="00653AC4" w:rsidRPr="002926D7" w:rsidRDefault="00653AC4" w:rsidP="002926D7">
      <w:pPr>
        <w:pStyle w:val="TOC1"/>
        <w:rPr>
          <w:rFonts w:asciiTheme="minorHAnsi" w:eastAsiaTheme="minorEastAsia" w:hAnsiTheme="minorHAnsi" w:cstheme="minorBidi"/>
          <w:noProof/>
          <w:kern w:val="2"/>
          <w:sz w:val="22"/>
          <w:szCs w:val="22"/>
          <w14:ligatures w14:val="standardContextual"/>
        </w:rPr>
      </w:pPr>
      <w:hyperlink w:anchor="_Toc151386977" w:history="1">
        <w:r w:rsidRPr="002926D7">
          <w:rPr>
            <w:rStyle w:val="Hyperlink"/>
            <w:noProof/>
          </w:rPr>
          <w:t>II.</w:t>
        </w:r>
        <w:r w:rsidRPr="002926D7">
          <w:rPr>
            <w:rFonts w:asciiTheme="minorHAnsi" w:eastAsiaTheme="minorEastAsia" w:hAnsiTheme="minorHAnsi" w:cstheme="minorBidi"/>
            <w:noProof/>
            <w:kern w:val="2"/>
            <w:sz w:val="22"/>
            <w:szCs w:val="22"/>
            <w14:ligatures w14:val="standardContextual"/>
          </w:rPr>
          <w:tab/>
        </w:r>
        <w:r w:rsidRPr="002926D7">
          <w:rPr>
            <w:rStyle w:val="Hyperlink"/>
            <w:noProof/>
          </w:rPr>
          <w:t>Development Challenge</w:t>
        </w:r>
        <w:r w:rsidRPr="002926D7">
          <w:rPr>
            <w:noProof/>
            <w:webHidden/>
          </w:rPr>
          <w:tab/>
        </w:r>
        <w:r w:rsidRPr="002926D7">
          <w:rPr>
            <w:noProof/>
            <w:webHidden/>
          </w:rPr>
          <w:fldChar w:fldCharType="begin"/>
        </w:r>
        <w:r w:rsidRPr="002926D7">
          <w:rPr>
            <w:noProof/>
            <w:webHidden/>
          </w:rPr>
          <w:instrText xml:space="preserve"> PAGEREF _Toc151386977 \h </w:instrText>
        </w:r>
        <w:r w:rsidRPr="002926D7">
          <w:rPr>
            <w:noProof/>
            <w:webHidden/>
          </w:rPr>
        </w:r>
        <w:r w:rsidRPr="002926D7">
          <w:rPr>
            <w:noProof/>
            <w:webHidden/>
          </w:rPr>
          <w:fldChar w:fldCharType="separate"/>
        </w:r>
        <w:r w:rsidR="00D0082E" w:rsidRPr="002926D7">
          <w:rPr>
            <w:noProof/>
            <w:webHidden/>
          </w:rPr>
          <w:t>6</w:t>
        </w:r>
        <w:r w:rsidRPr="002926D7">
          <w:rPr>
            <w:noProof/>
            <w:webHidden/>
          </w:rPr>
          <w:fldChar w:fldCharType="end"/>
        </w:r>
      </w:hyperlink>
    </w:p>
    <w:p w14:paraId="5F19BFDF" w14:textId="690FC837" w:rsidR="00653AC4" w:rsidRPr="002926D7" w:rsidRDefault="00653AC4" w:rsidP="002926D7">
      <w:pPr>
        <w:pStyle w:val="TOC1"/>
        <w:rPr>
          <w:rFonts w:asciiTheme="minorHAnsi" w:eastAsiaTheme="minorEastAsia" w:hAnsiTheme="minorHAnsi" w:cstheme="minorBidi"/>
          <w:noProof/>
          <w:kern w:val="2"/>
          <w:sz w:val="22"/>
          <w:szCs w:val="22"/>
          <w14:ligatures w14:val="standardContextual"/>
        </w:rPr>
      </w:pPr>
      <w:hyperlink w:anchor="_Toc151386978" w:history="1">
        <w:r w:rsidRPr="002926D7">
          <w:rPr>
            <w:rStyle w:val="Hyperlink"/>
            <w:noProof/>
          </w:rPr>
          <w:t>III.</w:t>
        </w:r>
        <w:r w:rsidRPr="002926D7">
          <w:rPr>
            <w:rFonts w:asciiTheme="minorHAnsi" w:eastAsiaTheme="minorEastAsia" w:hAnsiTheme="minorHAnsi" w:cstheme="minorBidi"/>
            <w:noProof/>
            <w:kern w:val="2"/>
            <w:sz w:val="22"/>
            <w:szCs w:val="22"/>
            <w14:ligatures w14:val="standardContextual"/>
          </w:rPr>
          <w:tab/>
        </w:r>
        <w:r w:rsidRPr="002926D7">
          <w:rPr>
            <w:rStyle w:val="Hyperlink"/>
            <w:noProof/>
          </w:rPr>
          <w:t>Strategy</w:t>
        </w:r>
        <w:r w:rsidRPr="002926D7">
          <w:rPr>
            <w:noProof/>
            <w:webHidden/>
          </w:rPr>
          <w:tab/>
        </w:r>
        <w:r w:rsidRPr="002926D7">
          <w:rPr>
            <w:noProof/>
            <w:webHidden/>
          </w:rPr>
          <w:fldChar w:fldCharType="begin"/>
        </w:r>
        <w:r w:rsidRPr="002926D7">
          <w:rPr>
            <w:noProof/>
            <w:webHidden/>
          </w:rPr>
          <w:instrText xml:space="preserve"> PAGEREF _Toc151386978 \h </w:instrText>
        </w:r>
        <w:r w:rsidRPr="002926D7">
          <w:rPr>
            <w:noProof/>
            <w:webHidden/>
          </w:rPr>
        </w:r>
        <w:r w:rsidRPr="002926D7">
          <w:rPr>
            <w:noProof/>
            <w:webHidden/>
          </w:rPr>
          <w:fldChar w:fldCharType="separate"/>
        </w:r>
        <w:r w:rsidR="00D0082E" w:rsidRPr="002926D7">
          <w:rPr>
            <w:noProof/>
            <w:webHidden/>
          </w:rPr>
          <w:t>11</w:t>
        </w:r>
        <w:r w:rsidRPr="002926D7">
          <w:rPr>
            <w:noProof/>
            <w:webHidden/>
          </w:rPr>
          <w:fldChar w:fldCharType="end"/>
        </w:r>
      </w:hyperlink>
    </w:p>
    <w:p w14:paraId="79E2B3D6" w14:textId="6FC46787" w:rsidR="00653AC4" w:rsidRPr="002926D7" w:rsidRDefault="00653AC4" w:rsidP="002926D7">
      <w:pPr>
        <w:pStyle w:val="TOC1"/>
        <w:rPr>
          <w:rFonts w:asciiTheme="minorHAnsi" w:eastAsiaTheme="minorEastAsia" w:hAnsiTheme="minorHAnsi" w:cstheme="minorBidi"/>
          <w:noProof/>
          <w:kern w:val="2"/>
          <w:sz w:val="22"/>
          <w:szCs w:val="22"/>
          <w14:ligatures w14:val="standardContextual"/>
        </w:rPr>
      </w:pPr>
      <w:hyperlink w:anchor="_Toc151386979" w:history="1">
        <w:r w:rsidRPr="002926D7">
          <w:rPr>
            <w:rStyle w:val="Hyperlink"/>
            <w:noProof/>
          </w:rPr>
          <w:t>IV.</w:t>
        </w:r>
        <w:r w:rsidRPr="002926D7">
          <w:rPr>
            <w:rFonts w:asciiTheme="minorHAnsi" w:eastAsiaTheme="minorEastAsia" w:hAnsiTheme="minorHAnsi" w:cstheme="minorBidi"/>
            <w:noProof/>
            <w:kern w:val="2"/>
            <w:sz w:val="22"/>
            <w:szCs w:val="22"/>
            <w14:ligatures w14:val="standardContextual"/>
          </w:rPr>
          <w:tab/>
        </w:r>
        <w:r w:rsidRPr="002926D7">
          <w:rPr>
            <w:rStyle w:val="Hyperlink"/>
            <w:noProof/>
          </w:rPr>
          <w:t>Results and Partnerships</w:t>
        </w:r>
        <w:r w:rsidRPr="002926D7">
          <w:rPr>
            <w:noProof/>
            <w:webHidden/>
          </w:rPr>
          <w:tab/>
        </w:r>
        <w:r w:rsidRPr="002926D7">
          <w:rPr>
            <w:noProof/>
            <w:webHidden/>
          </w:rPr>
          <w:fldChar w:fldCharType="begin"/>
        </w:r>
        <w:r w:rsidRPr="002926D7">
          <w:rPr>
            <w:noProof/>
            <w:webHidden/>
          </w:rPr>
          <w:instrText xml:space="preserve"> PAGEREF _Toc151386979 \h </w:instrText>
        </w:r>
        <w:r w:rsidRPr="002926D7">
          <w:rPr>
            <w:noProof/>
            <w:webHidden/>
          </w:rPr>
        </w:r>
        <w:r w:rsidRPr="002926D7">
          <w:rPr>
            <w:noProof/>
            <w:webHidden/>
          </w:rPr>
          <w:fldChar w:fldCharType="separate"/>
        </w:r>
        <w:r w:rsidR="00D0082E" w:rsidRPr="002926D7">
          <w:rPr>
            <w:noProof/>
            <w:webHidden/>
          </w:rPr>
          <w:t>19</w:t>
        </w:r>
        <w:r w:rsidRPr="002926D7">
          <w:rPr>
            <w:noProof/>
            <w:webHidden/>
          </w:rPr>
          <w:fldChar w:fldCharType="end"/>
        </w:r>
      </w:hyperlink>
    </w:p>
    <w:p w14:paraId="091A132E" w14:textId="7C28334A" w:rsidR="00653AC4" w:rsidRPr="002926D7" w:rsidRDefault="00653AC4" w:rsidP="002926D7">
      <w:pPr>
        <w:pStyle w:val="TOC1"/>
        <w:rPr>
          <w:rFonts w:asciiTheme="minorHAnsi" w:eastAsiaTheme="minorEastAsia" w:hAnsiTheme="minorHAnsi" w:cstheme="minorBidi"/>
          <w:noProof/>
          <w:kern w:val="2"/>
          <w:sz w:val="22"/>
          <w:szCs w:val="22"/>
          <w14:ligatures w14:val="standardContextual"/>
        </w:rPr>
      </w:pPr>
      <w:hyperlink w:anchor="_Toc151386980" w:history="1">
        <w:r w:rsidRPr="002926D7">
          <w:rPr>
            <w:rStyle w:val="Hyperlink"/>
            <w:noProof/>
          </w:rPr>
          <w:t>V.</w:t>
        </w:r>
        <w:r w:rsidRPr="002926D7">
          <w:rPr>
            <w:rFonts w:asciiTheme="minorHAnsi" w:eastAsiaTheme="minorEastAsia" w:hAnsiTheme="minorHAnsi" w:cstheme="minorBidi"/>
            <w:noProof/>
            <w:kern w:val="2"/>
            <w:sz w:val="22"/>
            <w:szCs w:val="22"/>
            <w14:ligatures w14:val="standardContextual"/>
          </w:rPr>
          <w:tab/>
        </w:r>
        <w:r w:rsidRPr="002926D7">
          <w:rPr>
            <w:rStyle w:val="Hyperlink"/>
            <w:noProof/>
          </w:rPr>
          <w:t>Programme Management</w:t>
        </w:r>
        <w:r w:rsidRPr="002926D7">
          <w:rPr>
            <w:noProof/>
            <w:webHidden/>
          </w:rPr>
          <w:tab/>
        </w:r>
        <w:r w:rsidRPr="002926D7">
          <w:rPr>
            <w:noProof/>
            <w:webHidden/>
          </w:rPr>
          <w:fldChar w:fldCharType="begin"/>
        </w:r>
        <w:r w:rsidRPr="002926D7">
          <w:rPr>
            <w:noProof/>
            <w:webHidden/>
          </w:rPr>
          <w:instrText xml:space="preserve"> PAGEREF _Toc151386980 \h </w:instrText>
        </w:r>
        <w:r w:rsidRPr="002926D7">
          <w:rPr>
            <w:noProof/>
            <w:webHidden/>
          </w:rPr>
        </w:r>
        <w:r w:rsidRPr="002926D7">
          <w:rPr>
            <w:noProof/>
            <w:webHidden/>
          </w:rPr>
          <w:fldChar w:fldCharType="separate"/>
        </w:r>
        <w:r w:rsidR="00D0082E" w:rsidRPr="002926D7">
          <w:rPr>
            <w:noProof/>
            <w:webHidden/>
          </w:rPr>
          <w:t>36</w:t>
        </w:r>
        <w:r w:rsidRPr="002926D7">
          <w:rPr>
            <w:noProof/>
            <w:webHidden/>
          </w:rPr>
          <w:fldChar w:fldCharType="end"/>
        </w:r>
      </w:hyperlink>
    </w:p>
    <w:p w14:paraId="485E77B2" w14:textId="3C352688" w:rsidR="00653AC4" w:rsidRPr="002926D7" w:rsidRDefault="00653AC4" w:rsidP="002926D7">
      <w:pPr>
        <w:pStyle w:val="TOC1"/>
        <w:rPr>
          <w:rFonts w:asciiTheme="minorHAnsi" w:eastAsiaTheme="minorEastAsia" w:hAnsiTheme="minorHAnsi" w:cstheme="minorBidi"/>
          <w:noProof/>
          <w:kern w:val="2"/>
          <w:sz w:val="22"/>
          <w:szCs w:val="22"/>
          <w14:ligatures w14:val="standardContextual"/>
        </w:rPr>
      </w:pPr>
      <w:hyperlink w:anchor="_Toc151386981" w:history="1">
        <w:r w:rsidRPr="002926D7">
          <w:rPr>
            <w:rStyle w:val="Hyperlink"/>
            <w:noProof/>
          </w:rPr>
          <w:t>VI.</w:t>
        </w:r>
        <w:r w:rsidRPr="002926D7">
          <w:rPr>
            <w:rFonts w:asciiTheme="minorHAnsi" w:eastAsiaTheme="minorEastAsia" w:hAnsiTheme="minorHAnsi" w:cstheme="minorBidi"/>
            <w:noProof/>
            <w:kern w:val="2"/>
            <w:sz w:val="22"/>
            <w:szCs w:val="22"/>
            <w14:ligatures w14:val="standardContextual"/>
          </w:rPr>
          <w:tab/>
        </w:r>
        <w:r w:rsidRPr="002926D7">
          <w:rPr>
            <w:rStyle w:val="Hyperlink"/>
            <w:noProof/>
          </w:rPr>
          <w:t>Programme Results Framework</w:t>
        </w:r>
        <w:r w:rsidRPr="002926D7">
          <w:rPr>
            <w:noProof/>
            <w:webHidden/>
          </w:rPr>
          <w:tab/>
        </w:r>
        <w:r w:rsidRPr="002926D7">
          <w:rPr>
            <w:noProof/>
            <w:webHidden/>
          </w:rPr>
          <w:fldChar w:fldCharType="begin"/>
        </w:r>
        <w:r w:rsidRPr="002926D7">
          <w:rPr>
            <w:noProof/>
            <w:webHidden/>
          </w:rPr>
          <w:instrText xml:space="preserve"> PAGEREF _Toc151386981 \h </w:instrText>
        </w:r>
        <w:r w:rsidRPr="002926D7">
          <w:rPr>
            <w:noProof/>
            <w:webHidden/>
          </w:rPr>
        </w:r>
        <w:r w:rsidRPr="002926D7">
          <w:rPr>
            <w:noProof/>
            <w:webHidden/>
          </w:rPr>
          <w:fldChar w:fldCharType="separate"/>
        </w:r>
        <w:r w:rsidR="00D0082E" w:rsidRPr="002926D7">
          <w:rPr>
            <w:noProof/>
            <w:webHidden/>
          </w:rPr>
          <w:t>37</w:t>
        </w:r>
        <w:r w:rsidRPr="002926D7">
          <w:rPr>
            <w:noProof/>
            <w:webHidden/>
          </w:rPr>
          <w:fldChar w:fldCharType="end"/>
        </w:r>
      </w:hyperlink>
    </w:p>
    <w:p w14:paraId="6B22B30A" w14:textId="3F71C18E" w:rsidR="00653AC4" w:rsidRPr="002926D7" w:rsidRDefault="00653AC4" w:rsidP="002926D7">
      <w:pPr>
        <w:pStyle w:val="TOC1"/>
        <w:rPr>
          <w:rFonts w:asciiTheme="minorHAnsi" w:eastAsiaTheme="minorEastAsia" w:hAnsiTheme="minorHAnsi" w:cstheme="minorBidi"/>
          <w:noProof/>
          <w:kern w:val="2"/>
          <w:sz w:val="22"/>
          <w:szCs w:val="22"/>
          <w14:ligatures w14:val="standardContextual"/>
        </w:rPr>
      </w:pPr>
      <w:hyperlink w:anchor="_Toc151386982" w:history="1">
        <w:r w:rsidRPr="002926D7">
          <w:rPr>
            <w:rStyle w:val="Hyperlink"/>
            <w:noProof/>
          </w:rPr>
          <w:t>VII.</w:t>
        </w:r>
        <w:r w:rsidRPr="002926D7">
          <w:rPr>
            <w:rFonts w:asciiTheme="minorHAnsi" w:eastAsiaTheme="minorEastAsia" w:hAnsiTheme="minorHAnsi" w:cstheme="minorBidi"/>
            <w:noProof/>
            <w:kern w:val="2"/>
            <w:sz w:val="22"/>
            <w:szCs w:val="22"/>
            <w14:ligatures w14:val="standardContextual"/>
          </w:rPr>
          <w:tab/>
        </w:r>
        <w:r w:rsidRPr="002926D7">
          <w:rPr>
            <w:rStyle w:val="Hyperlink"/>
            <w:noProof/>
          </w:rPr>
          <w:t>Monitoring and Evaluation (M&amp;E) Plan</w:t>
        </w:r>
        <w:r w:rsidRPr="002926D7">
          <w:rPr>
            <w:noProof/>
            <w:webHidden/>
          </w:rPr>
          <w:tab/>
        </w:r>
        <w:r w:rsidRPr="002926D7">
          <w:rPr>
            <w:noProof/>
            <w:webHidden/>
          </w:rPr>
          <w:fldChar w:fldCharType="begin"/>
        </w:r>
        <w:r w:rsidRPr="002926D7">
          <w:rPr>
            <w:noProof/>
            <w:webHidden/>
          </w:rPr>
          <w:instrText xml:space="preserve"> PAGEREF _Toc151386982 \h </w:instrText>
        </w:r>
        <w:r w:rsidRPr="002926D7">
          <w:rPr>
            <w:noProof/>
            <w:webHidden/>
          </w:rPr>
        </w:r>
        <w:r w:rsidRPr="002926D7">
          <w:rPr>
            <w:noProof/>
            <w:webHidden/>
          </w:rPr>
          <w:fldChar w:fldCharType="separate"/>
        </w:r>
        <w:r w:rsidR="00D0082E" w:rsidRPr="002926D7">
          <w:rPr>
            <w:noProof/>
            <w:webHidden/>
          </w:rPr>
          <w:t>43</w:t>
        </w:r>
        <w:r w:rsidRPr="002926D7">
          <w:rPr>
            <w:noProof/>
            <w:webHidden/>
          </w:rPr>
          <w:fldChar w:fldCharType="end"/>
        </w:r>
      </w:hyperlink>
    </w:p>
    <w:p w14:paraId="2D3B7C7F" w14:textId="4FCCA913" w:rsidR="00653AC4" w:rsidRPr="002926D7" w:rsidRDefault="00653AC4" w:rsidP="002926D7">
      <w:pPr>
        <w:pStyle w:val="TOC1"/>
        <w:rPr>
          <w:rFonts w:asciiTheme="minorHAnsi" w:eastAsiaTheme="minorEastAsia" w:hAnsiTheme="minorHAnsi" w:cstheme="minorBidi"/>
          <w:noProof/>
          <w:kern w:val="2"/>
          <w:sz w:val="22"/>
          <w:szCs w:val="22"/>
          <w14:ligatures w14:val="standardContextual"/>
        </w:rPr>
      </w:pPr>
      <w:hyperlink w:anchor="_Toc151386983" w:history="1">
        <w:r w:rsidRPr="002926D7">
          <w:rPr>
            <w:rStyle w:val="Hyperlink"/>
            <w:noProof/>
          </w:rPr>
          <w:t>VIII.</w:t>
        </w:r>
        <w:r w:rsidRPr="002926D7">
          <w:rPr>
            <w:rFonts w:asciiTheme="minorHAnsi" w:eastAsiaTheme="minorEastAsia" w:hAnsiTheme="minorHAnsi" w:cstheme="minorBidi"/>
            <w:noProof/>
            <w:kern w:val="2"/>
            <w:sz w:val="22"/>
            <w:szCs w:val="22"/>
            <w14:ligatures w14:val="standardContextual"/>
          </w:rPr>
          <w:tab/>
        </w:r>
        <w:r w:rsidRPr="002926D7">
          <w:rPr>
            <w:rStyle w:val="Hyperlink"/>
            <w:noProof/>
          </w:rPr>
          <w:t>Governance and Management Arrangements</w:t>
        </w:r>
        <w:r w:rsidRPr="002926D7">
          <w:rPr>
            <w:noProof/>
            <w:webHidden/>
          </w:rPr>
          <w:tab/>
        </w:r>
        <w:r w:rsidRPr="002926D7">
          <w:rPr>
            <w:noProof/>
            <w:webHidden/>
          </w:rPr>
          <w:fldChar w:fldCharType="begin"/>
        </w:r>
        <w:r w:rsidRPr="002926D7">
          <w:rPr>
            <w:noProof/>
            <w:webHidden/>
          </w:rPr>
          <w:instrText xml:space="preserve"> PAGEREF _Toc151386983 \h </w:instrText>
        </w:r>
        <w:r w:rsidRPr="002926D7">
          <w:rPr>
            <w:noProof/>
            <w:webHidden/>
          </w:rPr>
        </w:r>
        <w:r w:rsidRPr="002926D7">
          <w:rPr>
            <w:noProof/>
            <w:webHidden/>
          </w:rPr>
          <w:fldChar w:fldCharType="separate"/>
        </w:r>
        <w:r w:rsidR="00D0082E" w:rsidRPr="002926D7">
          <w:rPr>
            <w:noProof/>
            <w:webHidden/>
          </w:rPr>
          <w:t>55</w:t>
        </w:r>
        <w:r w:rsidRPr="002926D7">
          <w:rPr>
            <w:noProof/>
            <w:webHidden/>
          </w:rPr>
          <w:fldChar w:fldCharType="end"/>
        </w:r>
      </w:hyperlink>
    </w:p>
    <w:p w14:paraId="5E23E356" w14:textId="1C3A4023" w:rsidR="00653AC4" w:rsidRPr="002926D7" w:rsidRDefault="00653AC4" w:rsidP="002926D7">
      <w:pPr>
        <w:pStyle w:val="TOC1"/>
        <w:rPr>
          <w:rFonts w:asciiTheme="minorHAnsi" w:eastAsiaTheme="minorEastAsia" w:hAnsiTheme="minorHAnsi" w:cstheme="minorBidi"/>
          <w:noProof/>
          <w:kern w:val="2"/>
          <w:sz w:val="22"/>
          <w:szCs w:val="22"/>
          <w14:ligatures w14:val="standardContextual"/>
        </w:rPr>
      </w:pPr>
      <w:hyperlink w:anchor="_Toc151386984" w:history="1">
        <w:r w:rsidRPr="002926D7">
          <w:rPr>
            <w:rStyle w:val="Hyperlink"/>
            <w:noProof/>
          </w:rPr>
          <w:t>IX.</w:t>
        </w:r>
        <w:r w:rsidRPr="002926D7">
          <w:rPr>
            <w:rFonts w:asciiTheme="minorHAnsi" w:eastAsiaTheme="minorEastAsia" w:hAnsiTheme="minorHAnsi" w:cstheme="minorBidi"/>
            <w:noProof/>
            <w:kern w:val="2"/>
            <w:sz w:val="22"/>
            <w:szCs w:val="22"/>
            <w14:ligatures w14:val="standardContextual"/>
          </w:rPr>
          <w:tab/>
        </w:r>
        <w:r w:rsidRPr="002926D7">
          <w:rPr>
            <w:rStyle w:val="Hyperlink"/>
            <w:noProof/>
          </w:rPr>
          <w:t>Financial Planning and Management</w:t>
        </w:r>
        <w:r w:rsidRPr="002926D7">
          <w:rPr>
            <w:noProof/>
            <w:webHidden/>
          </w:rPr>
          <w:tab/>
        </w:r>
        <w:r w:rsidRPr="002926D7">
          <w:rPr>
            <w:noProof/>
            <w:webHidden/>
          </w:rPr>
          <w:fldChar w:fldCharType="begin"/>
        </w:r>
        <w:r w:rsidRPr="002926D7">
          <w:rPr>
            <w:noProof/>
            <w:webHidden/>
          </w:rPr>
          <w:instrText xml:space="preserve"> PAGEREF _Toc151386984 \h </w:instrText>
        </w:r>
        <w:r w:rsidRPr="002926D7">
          <w:rPr>
            <w:noProof/>
            <w:webHidden/>
          </w:rPr>
        </w:r>
        <w:r w:rsidRPr="002926D7">
          <w:rPr>
            <w:noProof/>
            <w:webHidden/>
          </w:rPr>
          <w:fldChar w:fldCharType="separate"/>
        </w:r>
        <w:r w:rsidR="00D0082E" w:rsidRPr="002926D7">
          <w:rPr>
            <w:noProof/>
            <w:webHidden/>
          </w:rPr>
          <w:t>62</w:t>
        </w:r>
        <w:r w:rsidRPr="002926D7">
          <w:rPr>
            <w:noProof/>
            <w:webHidden/>
          </w:rPr>
          <w:fldChar w:fldCharType="end"/>
        </w:r>
      </w:hyperlink>
    </w:p>
    <w:p w14:paraId="21D533DC" w14:textId="07A37AE8" w:rsidR="00653AC4" w:rsidRPr="002926D7" w:rsidRDefault="00653AC4" w:rsidP="002926D7">
      <w:pPr>
        <w:pStyle w:val="TOC1"/>
        <w:rPr>
          <w:rFonts w:asciiTheme="minorHAnsi" w:eastAsiaTheme="minorEastAsia" w:hAnsiTheme="minorHAnsi" w:cstheme="minorBidi"/>
          <w:noProof/>
          <w:kern w:val="2"/>
          <w:sz w:val="22"/>
          <w:szCs w:val="22"/>
          <w14:ligatures w14:val="standardContextual"/>
        </w:rPr>
      </w:pPr>
      <w:hyperlink w:anchor="_Toc151386985" w:history="1">
        <w:r w:rsidRPr="002926D7">
          <w:rPr>
            <w:rStyle w:val="Hyperlink"/>
            <w:noProof/>
          </w:rPr>
          <w:t>X.</w:t>
        </w:r>
        <w:r w:rsidRPr="002926D7">
          <w:rPr>
            <w:rFonts w:asciiTheme="minorHAnsi" w:eastAsiaTheme="minorEastAsia" w:hAnsiTheme="minorHAnsi" w:cstheme="minorBidi"/>
            <w:noProof/>
            <w:kern w:val="2"/>
            <w:sz w:val="22"/>
            <w:szCs w:val="22"/>
            <w14:ligatures w14:val="standardContextual"/>
          </w:rPr>
          <w:tab/>
        </w:r>
        <w:r w:rsidRPr="002926D7">
          <w:rPr>
            <w:rStyle w:val="Hyperlink"/>
            <w:noProof/>
          </w:rPr>
          <w:t>Total Budget and Work Plan</w:t>
        </w:r>
        <w:r w:rsidRPr="002926D7">
          <w:rPr>
            <w:noProof/>
            <w:webHidden/>
          </w:rPr>
          <w:tab/>
        </w:r>
        <w:r w:rsidRPr="002926D7">
          <w:rPr>
            <w:noProof/>
            <w:webHidden/>
          </w:rPr>
          <w:fldChar w:fldCharType="begin"/>
        </w:r>
        <w:r w:rsidRPr="002926D7">
          <w:rPr>
            <w:noProof/>
            <w:webHidden/>
          </w:rPr>
          <w:instrText xml:space="preserve"> PAGEREF _Toc151386985 \h </w:instrText>
        </w:r>
        <w:r w:rsidRPr="002926D7">
          <w:rPr>
            <w:noProof/>
            <w:webHidden/>
          </w:rPr>
        </w:r>
        <w:r w:rsidRPr="002926D7">
          <w:rPr>
            <w:noProof/>
            <w:webHidden/>
          </w:rPr>
          <w:fldChar w:fldCharType="separate"/>
        </w:r>
        <w:r w:rsidR="00D0082E" w:rsidRPr="002926D7">
          <w:rPr>
            <w:noProof/>
            <w:webHidden/>
          </w:rPr>
          <w:t>65</w:t>
        </w:r>
        <w:r w:rsidRPr="002926D7">
          <w:rPr>
            <w:noProof/>
            <w:webHidden/>
          </w:rPr>
          <w:fldChar w:fldCharType="end"/>
        </w:r>
      </w:hyperlink>
    </w:p>
    <w:p w14:paraId="0B333BB1" w14:textId="3B121C14" w:rsidR="00653AC4" w:rsidRPr="002926D7" w:rsidRDefault="00653AC4" w:rsidP="002926D7">
      <w:pPr>
        <w:pStyle w:val="TOC1"/>
        <w:rPr>
          <w:rFonts w:asciiTheme="minorHAnsi" w:eastAsiaTheme="minorEastAsia" w:hAnsiTheme="minorHAnsi" w:cstheme="minorBidi"/>
          <w:noProof/>
          <w:kern w:val="2"/>
          <w:sz w:val="22"/>
          <w:szCs w:val="22"/>
          <w14:ligatures w14:val="standardContextual"/>
        </w:rPr>
      </w:pPr>
      <w:hyperlink w:anchor="_Toc151386986" w:history="1">
        <w:r w:rsidRPr="002926D7">
          <w:rPr>
            <w:rStyle w:val="Hyperlink"/>
            <w:noProof/>
          </w:rPr>
          <w:t>XI.</w:t>
        </w:r>
        <w:r w:rsidRPr="002926D7">
          <w:rPr>
            <w:rFonts w:asciiTheme="minorHAnsi" w:eastAsiaTheme="minorEastAsia" w:hAnsiTheme="minorHAnsi" w:cstheme="minorBidi"/>
            <w:noProof/>
            <w:kern w:val="2"/>
            <w:sz w:val="22"/>
            <w:szCs w:val="22"/>
            <w14:ligatures w14:val="standardContextual"/>
          </w:rPr>
          <w:tab/>
        </w:r>
        <w:r w:rsidRPr="002926D7">
          <w:rPr>
            <w:rStyle w:val="Hyperlink"/>
            <w:noProof/>
          </w:rPr>
          <w:t>Legal Context</w:t>
        </w:r>
        <w:r w:rsidRPr="002926D7">
          <w:rPr>
            <w:noProof/>
            <w:webHidden/>
          </w:rPr>
          <w:tab/>
        </w:r>
        <w:r w:rsidRPr="002926D7">
          <w:rPr>
            <w:noProof/>
            <w:webHidden/>
          </w:rPr>
          <w:fldChar w:fldCharType="begin"/>
        </w:r>
        <w:r w:rsidRPr="002926D7">
          <w:rPr>
            <w:noProof/>
            <w:webHidden/>
          </w:rPr>
          <w:instrText xml:space="preserve"> PAGEREF _Toc151386986 \h </w:instrText>
        </w:r>
        <w:r w:rsidRPr="002926D7">
          <w:rPr>
            <w:noProof/>
            <w:webHidden/>
          </w:rPr>
        </w:r>
        <w:r w:rsidRPr="002926D7">
          <w:rPr>
            <w:noProof/>
            <w:webHidden/>
          </w:rPr>
          <w:fldChar w:fldCharType="separate"/>
        </w:r>
        <w:r w:rsidR="00D0082E" w:rsidRPr="002926D7">
          <w:rPr>
            <w:noProof/>
            <w:webHidden/>
          </w:rPr>
          <w:t>74</w:t>
        </w:r>
        <w:r w:rsidRPr="002926D7">
          <w:rPr>
            <w:noProof/>
            <w:webHidden/>
          </w:rPr>
          <w:fldChar w:fldCharType="end"/>
        </w:r>
      </w:hyperlink>
    </w:p>
    <w:p w14:paraId="4785B4B1" w14:textId="6B619BCF" w:rsidR="00653AC4" w:rsidRPr="002926D7" w:rsidRDefault="00653AC4" w:rsidP="002926D7">
      <w:pPr>
        <w:pStyle w:val="TOC1"/>
        <w:rPr>
          <w:rFonts w:asciiTheme="minorHAnsi" w:eastAsiaTheme="minorEastAsia" w:hAnsiTheme="minorHAnsi" w:cstheme="minorBidi"/>
          <w:noProof/>
          <w:kern w:val="2"/>
          <w:sz w:val="22"/>
          <w:szCs w:val="22"/>
          <w14:ligatures w14:val="standardContextual"/>
        </w:rPr>
      </w:pPr>
      <w:hyperlink w:anchor="_Toc151386987" w:history="1">
        <w:r w:rsidRPr="002926D7">
          <w:rPr>
            <w:rStyle w:val="Hyperlink"/>
            <w:noProof/>
          </w:rPr>
          <w:t>XII.</w:t>
        </w:r>
        <w:r w:rsidRPr="002926D7">
          <w:rPr>
            <w:rFonts w:asciiTheme="minorHAnsi" w:eastAsiaTheme="minorEastAsia" w:hAnsiTheme="minorHAnsi" w:cstheme="minorBidi"/>
            <w:noProof/>
            <w:kern w:val="2"/>
            <w:sz w:val="22"/>
            <w:szCs w:val="22"/>
            <w14:ligatures w14:val="standardContextual"/>
          </w:rPr>
          <w:tab/>
        </w:r>
        <w:r w:rsidRPr="002926D7">
          <w:rPr>
            <w:rStyle w:val="Hyperlink"/>
            <w:noProof/>
          </w:rPr>
          <w:t>Risk Management</w:t>
        </w:r>
        <w:r w:rsidRPr="002926D7">
          <w:rPr>
            <w:noProof/>
            <w:webHidden/>
          </w:rPr>
          <w:tab/>
        </w:r>
        <w:r w:rsidRPr="002926D7">
          <w:rPr>
            <w:noProof/>
            <w:webHidden/>
          </w:rPr>
          <w:fldChar w:fldCharType="begin"/>
        </w:r>
        <w:r w:rsidRPr="002926D7">
          <w:rPr>
            <w:noProof/>
            <w:webHidden/>
          </w:rPr>
          <w:instrText xml:space="preserve"> PAGEREF _Toc151386987 \h </w:instrText>
        </w:r>
        <w:r w:rsidRPr="002926D7">
          <w:rPr>
            <w:noProof/>
            <w:webHidden/>
          </w:rPr>
        </w:r>
        <w:r w:rsidRPr="002926D7">
          <w:rPr>
            <w:noProof/>
            <w:webHidden/>
          </w:rPr>
          <w:fldChar w:fldCharType="separate"/>
        </w:r>
        <w:r w:rsidR="00D0082E" w:rsidRPr="002926D7">
          <w:rPr>
            <w:noProof/>
            <w:webHidden/>
          </w:rPr>
          <w:t>74</w:t>
        </w:r>
        <w:r w:rsidRPr="002926D7">
          <w:rPr>
            <w:noProof/>
            <w:webHidden/>
          </w:rPr>
          <w:fldChar w:fldCharType="end"/>
        </w:r>
      </w:hyperlink>
    </w:p>
    <w:p w14:paraId="6F71B766" w14:textId="0385AC3A" w:rsidR="00653AC4" w:rsidRPr="002926D7" w:rsidRDefault="00653AC4" w:rsidP="002926D7">
      <w:pPr>
        <w:pStyle w:val="TOC1"/>
        <w:rPr>
          <w:rFonts w:asciiTheme="minorHAnsi" w:eastAsiaTheme="minorEastAsia" w:hAnsiTheme="minorHAnsi" w:cstheme="minorBidi"/>
          <w:noProof/>
          <w:kern w:val="2"/>
          <w:sz w:val="22"/>
          <w:szCs w:val="22"/>
          <w14:ligatures w14:val="standardContextual"/>
        </w:rPr>
      </w:pPr>
      <w:hyperlink w:anchor="_Toc151386988" w:history="1">
        <w:r w:rsidRPr="002926D7">
          <w:rPr>
            <w:rStyle w:val="Hyperlink"/>
            <w:noProof/>
          </w:rPr>
          <w:t>XIII.</w:t>
        </w:r>
        <w:r w:rsidRPr="002926D7">
          <w:rPr>
            <w:rFonts w:asciiTheme="minorHAnsi" w:eastAsiaTheme="minorEastAsia" w:hAnsiTheme="minorHAnsi" w:cstheme="minorBidi"/>
            <w:noProof/>
            <w:kern w:val="2"/>
            <w:sz w:val="22"/>
            <w:szCs w:val="22"/>
            <w14:ligatures w14:val="standardContextual"/>
          </w:rPr>
          <w:tab/>
        </w:r>
        <w:r w:rsidRPr="002926D7">
          <w:rPr>
            <w:rStyle w:val="Hyperlink"/>
            <w:noProof/>
          </w:rPr>
          <w:t>Mandatory Annexes</w:t>
        </w:r>
        <w:r w:rsidRPr="002926D7">
          <w:rPr>
            <w:noProof/>
            <w:webHidden/>
          </w:rPr>
          <w:tab/>
        </w:r>
        <w:r w:rsidRPr="002926D7">
          <w:rPr>
            <w:noProof/>
            <w:webHidden/>
          </w:rPr>
          <w:fldChar w:fldCharType="begin"/>
        </w:r>
        <w:r w:rsidRPr="002926D7">
          <w:rPr>
            <w:noProof/>
            <w:webHidden/>
          </w:rPr>
          <w:instrText xml:space="preserve"> PAGEREF _Toc151386988 \h </w:instrText>
        </w:r>
        <w:r w:rsidRPr="002926D7">
          <w:rPr>
            <w:noProof/>
            <w:webHidden/>
          </w:rPr>
        </w:r>
        <w:r w:rsidRPr="002926D7">
          <w:rPr>
            <w:noProof/>
            <w:webHidden/>
          </w:rPr>
          <w:fldChar w:fldCharType="separate"/>
        </w:r>
        <w:r w:rsidR="00D0082E" w:rsidRPr="002926D7">
          <w:rPr>
            <w:noProof/>
            <w:webHidden/>
          </w:rPr>
          <w:t>78</w:t>
        </w:r>
        <w:r w:rsidRPr="002926D7">
          <w:rPr>
            <w:noProof/>
            <w:webHidden/>
          </w:rPr>
          <w:fldChar w:fldCharType="end"/>
        </w:r>
      </w:hyperlink>
    </w:p>
    <w:p w14:paraId="7895C0BB" w14:textId="64732644" w:rsidR="00653AC4" w:rsidRPr="002926D7" w:rsidRDefault="00653AC4" w:rsidP="002926D7">
      <w:pPr>
        <w:pStyle w:val="TOC2"/>
        <w:rPr>
          <w:rFonts w:asciiTheme="minorHAnsi" w:eastAsiaTheme="minorEastAsia" w:hAnsiTheme="minorHAnsi" w:cstheme="minorBidi"/>
          <w:noProof/>
          <w:kern w:val="2"/>
          <w:sz w:val="22"/>
          <w:szCs w:val="22"/>
          <w14:ligatures w14:val="standardContextual"/>
        </w:rPr>
      </w:pPr>
      <w:hyperlink w:anchor="_Toc151386989" w:history="1">
        <w:r w:rsidRPr="002926D7">
          <w:rPr>
            <w:rStyle w:val="Hyperlink"/>
            <w:noProof/>
          </w:rPr>
          <w:t>Annex 1: GEF budget template</w:t>
        </w:r>
        <w:r w:rsidRPr="002926D7">
          <w:rPr>
            <w:noProof/>
            <w:webHidden/>
          </w:rPr>
          <w:tab/>
        </w:r>
        <w:r w:rsidRPr="002926D7">
          <w:rPr>
            <w:noProof/>
            <w:webHidden/>
          </w:rPr>
          <w:fldChar w:fldCharType="begin"/>
        </w:r>
        <w:r w:rsidRPr="002926D7">
          <w:rPr>
            <w:noProof/>
            <w:webHidden/>
          </w:rPr>
          <w:instrText xml:space="preserve"> PAGEREF _Toc151386989 \h </w:instrText>
        </w:r>
        <w:r w:rsidRPr="002926D7">
          <w:rPr>
            <w:noProof/>
            <w:webHidden/>
          </w:rPr>
        </w:r>
        <w:r w:rsidRPr="002926D7">
          <w:rPr>
            <w:noProof/>
            <w:webHidden/>
          </w:rPr>
          <w:fldChar w:fldCharType="separate"/>
        </w:r>
        <w:r w:rsidR="00D0082E" w:rsidRPr="002926D7">
          <w:rPr>
            <w:noProof/>
            <w:webHidden/>
          </w:rPr>
          <w:t>78</w:t>
        </w:r>
        <w:r w:rsidRPr="002926D7">
          <w:rPr>
            <w:noProof/>
            <w:webHidden/>
          </w:rPr>
          <w:fldChar w:fldCharType="end"/>
        </w:r>
      </w:hyperlink>
    </w:p>
    <w:p w14:paraId="240FCFBB" w14:textId="1B8CA5FD" w:rsidR="00653AC4" w:rsidRPr="002926D7" w:rsidRDefault="00653AC4" w:rsidP="002926D7">
      <w:pPr>
        <w:pStyle w:val="TOC2"/>
        <w:rPr>
          <w:rFonts w:asciiTheme="minorHAnsi" w:eastAsiaTheme="minorEastAsia" w:hAnsiTheme="minorHAnsi" w:cstheme="minorBidi"/>
          <w:noProof/>
          <w:kern w:val="2"/>
          <w:sz w:val="22"/>
          <w:szCs w:val="22"/>
          <w14:ligatures w14:val="standardContextual"/>
        </w:rPr>
      </w:pPr>
      <w:hyperlink w:anchor="_Toc151386990" w:history="1">
        <w:r w:rsidRPr="002926D7">
          <w:rPr>
            <w:rStyle w:val="Hyperlink"/>
            <w:noProof/>
          </w:rPr>
          <w:t>Annex 2: List of participating countries</w:t>
        </w:r>
        <w:r w:rsidRPr="002926D7">
          <w:rPr>
            <w:noProof/>
            <w:webHidden/>
          </w:rPr>
          <w:tab/>
        </w:r>
        <w:r w:rsidRPr="002926D7">
          <w:rPr>
            <w:noProof/>
            <w:webHidden/>
          </w:rPr>
          <w:fldChar w:fldCharType="begin"/>
        </w:r>
        <w:r w:rsidRPr="002926D7">
          <w:rPr>
            <w:noProof/>
            <w:webHidden/>
          </w:rPr>
          <w:instrText xml:space="preserve"> PAGEREF _Toc151386990 \h </w:instrText>
        </w:r>
        <w:r w:rsidRPr="002926D7">
          <w:rPr>
            <w:noProof/>
            <w:webHidden/>
          </w:rPr>
        </w:r>
        <w:r w:rsidRPr="002926D7">
          <w:rPr>
            <w:noProof/>
            <w:webHidden/>
          </w:rPr>
          <w:fldChar w:fldCharType="separate"/>
        </w:r>
        <w:r w:rsidR="00D0082E" w:rsidRPr="002926D7">
          <w:rPr>
            <w:noProof/>
            <w:webHidden/>
          </w:rPr>
          <w:t>78</w:t>
        </w:r>
        <w:r w:rsidRPr="002926D7">
          <w:rPr>
            <w:noProof/>
            <w:webHidden/>
          </w:rPr>
          <w:fldChar w:fldCharType="end"/>
        </w:r>
      </w:hyperlink>
    </w:p>
    <w:p w14:paraId="0DA0EDE9" w14:textId="1178A43C" w:rsidR="00653AC4" w:rsidRPr="002926D7" w:rsidRDefault="00653AC4" w:rsidP="002926D7">
      <w:pPr>
        <w:pStyle w:val="TOC2"/>
        <w:rPr>
          <w:rFonts w:asciiTheme="minorHAnsi" w:eastAsiaTheme="minorEastAsia" w:hAnsiTheme="minorHAnsi" w:cstheme="minorBidi"/>
          <w:noProof/>
          <w:kern w:val="2"/>
          <w:sz w:val="22"/>
          <w:szCs w:val="22"/>
          <w14:ligatures w14:val="standardContextual"/>
        </w:rPr>
      </w:pPr>
      <w:hyperlink w:anchor="_Toc151386991" w:history="1">
        <w:r w:rsidRPr="002926D7">
          <w:rPr>
            <w:rStyle w:val="Hyperlink"/>
            <w:noProof/>
          </w:rPr>
          <w:t>Annex 3: Multiyear work plan</w:t>
        </w:r>
        <w:r w:rsidRPr="002926D7">
          <w:rPr>
            <w:noProof/>
            <w:webHidden/>
          </w:rPr>
          <w:tab/>
        </w:r>
        <w:r w:rsidRPr="002926D7">
          <w:rPr>
            <w:noProof/>
            <w:webHidden/>
          </w:rPr>
          <w:fldChar w:fldCharType="begin"/>
        </w:r>
        <w:r w:rsidRPr="002926D7">
          <w:rPr>
            <w:noProof/>
            <w:webHidden/>
          </w:rPr>
          <w:instrText xml:space="preserve"> PAGEREF _Toc151386991 \h </w:instrText>
        </w:r>
        <w:r w:rsidRPr="002926D7">
          <w:rPr>
            <w:noProof/>
            <w:webHidden/>
          </w:rPr>
        </w:r>
        <w:r w:rsidRPr="002926D7">
          <w:rPr>
            <w:noProof/>
            <w:webHidden/>
          </w:rPr>
          <w:fldChar w:fldCharType="separate"/>
        </w:r>
        <w:r w:rsidR="00D0082E" w:rsidRPr="002926D7">
          <w:rPr>
            <w:noProof/>
            <w:webHidden/>
          </w:rPr>
          <w:t>78</w:t>
        </w:r>
        <w:r w:rsidRPr="002926D7">
          <w:rPr>
            <w:noProof/>
            <w:webHidden/>
          </w:rPr>
          <w:fldChar w:fldCharType="end"/>
        </w:r>
      </w:hyperlink>
    </w:p>
    <w:p w14:paraId="71D3C73A" w14:textId="51BD4110" w:rsidR="00653AC4" w:rsidRPr="002926D7" w:rsidRDefault="00653AC4" w:rsidP="002926D7">
      <w:pPr>
        <w:pStyle w:val="TOC2"/>
        <w:rPr>
          <w:rFonts w:asciiTheme="minorHAnsi" w:eastAsiaTheme="minorEastAsia" w:hAnsiTheme="minorHAnsi" w:cstheme="minorBidi"/>
          <w:noProof/>
          <w:kern w:val="2"/>
          <w:sz w:val="22"/>
          <w:szCs w:val="22"/>
          <w14:ligatures w14:val="standardContextual"/>
        </w:rPr>
      </w:pPr>
      <w:hyperlink w:anchor="_Toc151386992" w:history="1">
        <w:r w:rsidRPr="002926D7">
          <w:rPr>
            <w:rStyle w:val="Hyperlink"/>
            <w:noProof/>
          </w:rPr>
          <w:t>Annex 4: UNDP social and environmental screening report</w:t>
        </w:r>
        <w:r w:rsidRPr="002926D7">
          <w:rPr>
            <w:noProof/>
            <w:webHidden/>
          </w:rPr>
          <w:tab/>
        </w:r>
        <w:r w:rsidRPr="002926D7">
          <w:rPr>
            <w:noProof/>
            <w:webHidden/>
          </w:rPr>
          <w:fldChar w:fldCharType="begin"/>
        </w:r>
        <w:r w:rsidRPr="002926D7">
          <w:rPr>
            <w:noProof/>
            <w:webHidden/>
          </w:rPr>
          <w:instrText xml:space="preserve"> PAGEREF _Toc151386992 \h </w:instrText>
        </w:r>
        <w:r w:rsidRPr="002926D7">
          <w:rPr>
            <w:noProof/>
            <w:webHidden/>
          </w:rPr>
        </w:r>
        <w:r w:rsidRPr="002926D7">
          <w:rPr>
            <w:noProof/>
            <w:webHidden/>
          </w:rPr>
          <w:fldChar w:fldCharType="separate"/>
        </w:r>
        <w:r w:rsidR="00D0082E" w:rsidRPr="002926D7">
          <w:rPr>
            <w:noProof/>
            <w:webHidden/>
          </w:rPr>
          <w:t>78</w:t>
        </w:r>
        <w:r w:rsidRPr="002926D7">
          <w:rPr>
            <w:noProof/>
            <w:webHidden/>
          </w:rPr>
          <w:fldChar w:fldCharType="end"/>
        </w:r>
      </w:hyperlink>
    </w:p>
    <w:p w14:paraId="648EF620" w14:textId="19CF76A2" w:rsidR="00653AC4" w:rsidRPr="002926D7" w:rsidRDefault="00653AC4" w:rsidP="002926D7">
      <w:pPr>
        <w:pStyle w:val="TOC2"/>
        <w:rPr>
          <w:rFonts w:asciiTheme="minorHAnsi" w:eastAsiaTheme="minorEastAsia" w:hAnsiTheme="minorHAnsi" w:cstheme="minorBidi"/>
          <w:noProof/>
          <w:kern w:val="2"/>
          <w:sz w:val="22"/>
          <w:szCs w:val="22"/>
          <w14:ligatures w14:val="standardContextual"/>
        </w:rPr>
      </w:pPr>
      <w:hyperlink w:anchor="_Toc151386993" w:history="1">
        <w:r w:rsidRPr="002926D7">
          <w:rPr>
            <w:rStyle w:val="Hyperlink"/>
            <w:rFonts w:cstheme="minorHAnsi"/>
            <w:noProof/>
          </w:rPr>
          <w:t>Annex 5: Project risk register</w:t>
        </w:r>
        <w:r w:rsidRPr="002926D7">
          <w:rPr>
            <w:noProof/>
            <w:webHidden/>
          </w:rPr>
          <w:tab/>
        </w:r>
        <w:r w:rsidRPr="002926D7">
          <w:rPr>
            <w:noProof/>
            <w:webHidden/>
          </w:rPr>
          <w:fldChar w:fldCharType="begin"/>
        </w:r>
        <w:r w:rsidRPr="002926D7">
          <w:rPr>
            <w:noProof/>
            <w:webHidden/>
          </w:rPr>
          <w:instrText xml:space="preserve"> PAGEREF _Toc151386993 \h </w:instrText>
        </w:r>
        <w:r w:rsidRPr="002926D7">
          <w:rPr>
            <w:noProof/>
            <w:webHidden/>
          </w:rPr>
        </w:r>
        <w:r w:rsidRPr="002926D7">
          <w:rPr>
            <w:noProof/>
            <w:webHidden/>
          </w:rPr>
          <w:fldChar w:fldCharType="separate"/>
        </w:r>
        <w:r w:rsidR="00D0082E" w:rsidRPr="002926D7">
          <w:rPr>
            <w:noProof/>
            <w:webHidden/>
          </w:rPr>
          <w:t>78</w:t>
        </w:r>
        <w:r w:rsidRPr="002926D7">
          <w:rPr>
            <w:noProof/>
            <w:webHidden/>
          </w:rPr>
          <w:fldChar w:fldCharType="end"/>
        </w:r>
      </w:hyperlink>
    </w:p>
    <w:p w14:paraId="5B8525C8" w14:textId="701B385A" w:rsidR="00653AC4" w:rsidRPr="002926D7" w:rsidRDefault="00653AC4" w:rsidP="002926D7">
      <w:pPr>
        <w:pStyle w:val="TOC2"/>
        <w:rPr>
          <w:rFonts w:asciiTheme="minorHAnsi" w:eastAsiaTheme="minorEastAsia" w:hAnsiTheme="minorHAnsi" w:cstheme="minorBidi"/>
          <w:noProof/>
          <w:kern w:val="2"/>
          <w:sz w:val="22"/>
          <w:szCs w:val="22"/>
          <w14:ligatures w14:val="standardContextual"/>
        </w:rPr>
      </w:pPr>
      <w:hyperlink w:anchor="_Toc151386994" w:history="1">
        <w:r w:rsidRPr="002926D7">
          <w:rPr>
            <w:rStyle w:val="Hyperlink"/>
            <w:noProof/>
          </w:rPr>
          <w:t>Annex 6: Stakeholder engagement plan</w:t>
        </w:r>
        <w:r w:rsidRPr="002926D7">
          <w:rPr>
            <w:noProof/>
            <w:webHidden/>
          </w:rPr>
          <w:tab/>
        </w:r>
        <w:r w:rsidRPr="002926D7">
          <w:rPr>
            <w:noProof/>
            <w:webHidden/>
          </w:rPr>
          <w:fldChar w:fldCharType="begin"/>
        </w:r>
        <w:r w:rsidRPr="002926D7">
          <w:rPr>
            <w:noProof/>
            <w:webHidden/>
          </w:rPr>
          <w:instrText xml:space="preserve"> PAGEREF _Toc151386994 \h </w:instrText>
        </w:r>
        <w:r w:rsidRPr="002926D7">
          <w:rPr>
            <w:noProof/>
            <w:webHidden/>
          </w:rPr>
        </w:r>
        <w:r w:rsidRPr="002926D7">
          <w:rPr>
            <w:noProof/>
            <w:webHidden/>
          </w:rPr>
          <w:fldChar w:fldCharType="separate"/>
        </w:r>
        <w:r w:rsidR="00D0082E" w:rsidRPr="002926D7">
          <w:rPr>
            <w:noProof/>
            <w:webHidden/>
          </w:rPr>
          <w:t>78</w:t>
        </w:r>
        <w:r w:rsidRPr="002926D7">
          <w:rPr>
            <w:noProof/>
            <w:webHidden/>
          </w:rPr>
          <w:fldChar w:fldCharType="end"/>
        </w:r>
      </w:hyperlink>
    </w:p>
    <w:p w14:paraId="1E0742AC" w14:textId="475D93C5" w:rsidR="00653AC4" w:rsidRPr="002926D7" w:rsidRDefault="00653AC4" w:rsidP="002926D7">
      <w:pPr>
        <w:pStyle w:val="TOC2"/>
        <w:rPr>
          <w:rFonts w:asciiTheme="minorHAnsi" w:eastAsiaTheme="minorEastAsia" w:hAnsiTheme="minorHAnsi" w:cstheme="minorBidi"/>
          <w:noProof/>
          <w:kern w:val="2"/>
          <w:sz w:val="22"/>
          <w:szCs w:val="22"/>
          <w14:ligatures w14:val="standardContextual"/>
        </w:rPr>
      </w:pPr>
      <w:hyperlink w:anchor="_Toc151386995" w:history="1">
        <w:r w:rsidRPr="002926D7">
          <w:rPr>
            <w:rStyle w:val="Hyperlink"/>
            <w:noProof/>
          </w:rPr>
          <w:t>Annex 7: Environmental and social management framework</w:t>
        </w:r>
        <w:r w:rsidRPr="002926D7">
          <w:rPr>
            <w:noProof/>
            <w:webHidden/>
          </w:rPr>
          <w:tab/>
        </w:r>
        <w:r w:rsidRPr="002926D7">
          <w:rPr>
            <w:noProof/>
            <w:webHidden/>
          </w:rPr>
          <w:fldChar w:fldCharType="begin"/>
        </w:r>
        <w:r w:rsidRPr="002926D7">
          <w:rPr>
            <w:noProof/>
            <w:webHidden/>
          </w:rPr>
          <w:instrText xml:space="preserve"> PAGEREF _Toc151386995 \h </w:instrText>
        </w:r>
        <w:r w:rsidRPr="002926D7">
          <w:rPr>
            <w:noProof/>
            <w:webHidden/>
          </w:rPr>
        </w:r>
        <w:r w:rsidRPr="002926D7">
          <w:rPr>
            <w:noProof/>
            <w:webHidden/>
          </w:rPr>
          <w:fldChar w:fldCharType="separate"/>
        </w:r>
        <w:r w:rsidR="00D0082E" w:rsidRPr="002926D7">
          <w:rPr>
            <w:noProof/>
            <w:webHidden/>
          </w:rPr>
          <w:t>78</w:t>
        </w:r>
        <w:r w:rsidRPr="002926D7">
          <w:rPr>
            <w:noProof/>
            <w:webHidden/>
          </w:rPr>
          <w:fldChar w:fldCharType="end"/>
        </w:r>
      </w:hyperlink>
    </w:p>
    <w:p w14:paraId="1795923C" w14:textId="0BF6D3D9" w:rsidR="00653AC4" w:rsidRPr="002926D7" w:rsidRDefault="00653AC4" w:rsidP="002926D7">
      <w:pPr>
        <w:pStyle w:val="TOC2"/>
        <w:rPr>
          <w:rFonts w:asciiTheme="minorHAnsi" w:eastAsiaTheme="minorEastAsia" w:hAnsiTheme="minorHAnsi" w:cstheme="minorBidi"/>
          <w:noProof/>
          <w:kern w:val="2"/>
          <w:sz w:val="22"/>
          <w:szCs w:val="22"/>
          <w14:ligatures w14:val="standardContextual"/>
        </w:rPr>
      </w:pPr>
      <w:hyperlink w:anchor="_Toc151386996" w:history="1">
        <w:r w:rsidRPr="002926D7">
          <w:rPr>
            <w:rStyle w:val="Hyperlink"/>
            <w:rFonts w:cstheme="minorHAnsi"/>
            <w:noProof/>
          </w:rPr>
          <w:t>Annex 8: Gender analysis and gender action plan</w:t>
        </w:r>
        <w:r w:rsidRPr="002926D7">
          <w:rPr>
            <w:noProof/>
            <w:webHidden/>
          </w:rPr>
          <w:tab/>
        </w:r>
        <w:r w:rsidRPr="002926D7">
          <w:rPr>
            <w:noProof/>
            <w:webHidden/>
          </w:rPr>
          <w:fldChar w:fldCharType="begin"/>
        </w:r>
        <w:r w:rsidRPr="002926D7">
          <w:rPr>
            <w:noProof/>
            <w:webHidden/>
          </w:rPr>
          <w:instrText xml:space="preserve"> PAGEREF _Toc151386996 \h </w:instrText>
        </w:r>
        <w:r w:rsidRPr="002926D7">
          <w:rPr>
            <w:noProof/>
            <w:webHidden/>
          </w:rPr>
        </w:r>
        <w:r w:rsidRPr="002926D7">
          <w:rPr>
            <w:noProof/>
            <w:webHidden/>
          </w:rPr>
          <w:fldChar w:fldCharType="separate"/>
        </w:r>
        <w:r w:rsidR="00D0082E" w:rsidRPr="002926D7">
          <w:rPr>
            <w:noProof/>
            <w:webHidden/>
          </w:rPr>
          <w:t>78</w:t>
        </w:r>
        <w:r w:rsidRPr="002926D7">
          <w:rPr>
            <w:noProof/>
            <w:webHidden/>
          </w:rPr>
          <w:fldChar w:fldCharType="end"/>
        </w:r>
      </w:hyperlink>
    </w:p>
    <w:p w14:paraId="6017C1CA" w14:textId="3DC19BDA" w:rsidR="00653AC4" w:rsidRPr="002926D7" w:rsidRDefault="00653AC4" w:rsidP="002926D7">
      <w:pPr>
        <w:pStyle w:val="TOC2"/>
        <w:rPr>
          <w:rFonts w:asciiTheme="minorHAnsi" w:eastAsiaTheme="minorEastAsia" w:hAnsiTheme="minorHAnsi" w:cstheme="minorBidi"/>
          <w:noProof/>
          <w:kern w:val="2"/>
          <w:sz w:val="22"/>
          <w:szCs w:val="22"/>
          <w14:ligatures w14:val="standardContextual"/>
        </w:rPr>
      </w:pPr>
      <w:hyperlink w:anchor="_Toc151386997" w:history="1">
        <w:r w:rsidRPr="002926D7">
          <w:rPr>
            <w:rStyle w:val="Hyperlink"/>
            <w:rFonts w:cstheme="minorHAnsi"/>
            <w:noProof/>
          </w:rPr>
          <w:t>Annex 9: Procurement plan</w:t>
        </w:r>
        <w:r w:rsidRPr="002926D7">
          <w:rPr>
            <w:noProof/>
            <w:webHidden/>
          </w:rPr>
          <w:tab/>
        </w:r>
        <w:r w:rsidRPr="002926D7">
          <w:rPr>
            <w:noProof/>
            <w:webHidden/>
          </w:rPr>
          <w:fldChar w:fldCharType="begin"/>
        </w:r>
        <w:r w:rsidRPr="002926D7">
          <w:rPr>
            <w:noProof/>
            <w:webHidden/>
          </w:rPr>
          <w:instrText xml:space="preserve"> PAGEREF _Toc151386997 \h </w:instrText>
        </w:r>
        <w:r w:rsidRPr="002926D7">
          <w:rPr>
            <w:noProof/>
            <w:webHidden/>
          </w:rPr>
        </w:r>
        <w:r w:rsidRPr="002926D7">
          <w:rPr>
            <w:noProof/>
            <w:webHidden/>
          </w:rPr>
          <w:fldChar w:fldCharType="separate"/>
        </w:r>
        <w:r w:rsidR="00D0082E" w:rsidRPr="002926D7">
          <w:rPr>
            <w:noProof/>
            <w:webHidden/>
          </w:rPr>
          <w:t>78</w:t>
        </w:r>
        <w:r w:rsidRPr="002926D7">
          <w:rPr>
            <w:noProof/>
            <w:webHidden/>
          </w:rPr>
          <w:fldChar w:fldCharType="end"/>
        </w:r>
      </w:hyperlink>
    </w:p>
    <w:p w14:paraId="0A7252DB" w14:textId="4E56E879" w:rsidR="00653AC4" w:rsidRPr="002926D7" w:rsidRDefault="00653AC4" w:rsidP="002926D7">
      <w:pPr>
        <w:pStyle w:val="TOC2"/>
        <w:rPr>
          <w:rFonts w:asciiTheme="minorHAnsi" w:eastAsiaTheme="minorEastAsia" w:hAnsiTheme="minorHAnsi" w:cstheme="minorBidi"/>
          <w:noProof/>
          <w:kern w:val="2"/>
          <w:sz w:val="22"/>
          <w:szCs w:val="22"/>
          <w14:ligatures w14:val="standardContextual"/>
        </w:rPr>
      </w:pPr>
      <w:hyperlink w:anchor="_Toc151386998" w:history="1">
        <w:r w:rsidRPr="002926D7">
          <w:rPr>
            <w:rStyle w:val="Hyperlink"/>
            <w:rFonts w:cstheme="minorHAnsi"/>
            <w:noProof/>
          </w:rPr>
          <w:t>Annex 10: Terms of reference</w:t>
        </w:r>
        <w:r w:rsidRPr="002926D7">
          <w:rPr>
            <w:noProof/>
            <w:webHidden/>
          </w:rPr>
          <w:tab/>
        </w:r>
        <w:r w:rsidRPr="002926D7">
          <w:rPr>
            <w:noProof/>
            <w:webHidden/>
          </w:rPr>
          <w:fldChar w:fldCharType="begin"/>
        </w:r>
        <w:r w:rsidRPr="002926D7">
          <w:rPr>
            <w:noProof/>
            <w:webHidden/>
          </w:rPr>
          <w:instrText xml:space="preserve"> PAGEREF _Toc151386998 \h </w:instrText>
        </w:r>
        <w:r w:rsidRPr="002926D7">
          <w:rPr>
            <w:noProof/>
            <w:webHidden/>
          </w:rPr>
        </w:r>
        <w:r w:rsidRPr="002926D7">
          <w:rPr>
            <w:noProof/>
            <w:webHidden/>
          </w:rPr>
          <w:fldChar w:fldCharType="separate"/>
        </w:r>
        <w:r w:rsidR="00D0082E" w:rsidRPr="002926D7">
          <w:rPr>
            <w:noProof/>
            <w:webHidden/>
          </w:rPr>
          <w:t>78</w:t>
        </w:r>
        <w:r w:rsidRPr="002926D7">
          <w:rPr>
            <w:noProof/>
            <w:webHidden/>
          </w:rPr>
          <w:fldChar w:fldCharType="end"/>
        </w:r>
      </w:hyperlink>
    </w:p>
    <w:p w14:paraId="5EE14152" w14:textId="55BF11EA" w:rsidR="00653AC4" w:rsidRPr="002926D7" w:rsidRDefault="00653AC4" w:rsidP="002926D7">
      <w:pPr>
        <w:pStyle w:val="TOC2"/>
        <w:rPr>
          <w:rFonts w:asciiTheme="minorHAnsi" w:eastAsiaTheme="minorEastAsia" w:hAnsiTheme="minorHAnsi" w:cstheme="minorBidi"/>
          <w:noProof/>
          <w:kern w:val="2"/>
          <w:sz w:val="22"/>
          <w:szCs w:val="22"/>
          <w14:ligatures w14:val="standardContextual"/>
        </w:rPr>
      </w:pPr>
      <w:hyperlink w:anchor="_Toc151386999" w:history="1">
        <w:r w:rsidRPr="002926D7">
          <w:rPr>
            <w:rStyle w:val="Hyperlink"/>
            <w:noProof/>
          </w:rPr>
          <w:t>Annex 11: Additional agreements: co-financing letter</w:t>
        </w:r>
        <w:r w:rsidRPr="002926D7">
          <w:rPr>
            <w:noProof/>
            <w:webHidden/>
          </w:rPr>
          <w:tab/>
        </w:r>
        <w:r w:rsidRPr="002926D7">
          <w:rPr>
            <w:noProof/>
            <w:webHidden/>
          </w:rPr>
          <w:fldChar w:fldCharType="begin"/>
        </w:r>
        <w:r w:rsidRPr="002926D7">
          <w:rPr>
            <w:noProof/>
            <w:webHidden/>
          </w:rPr>
          <w:instrText xml:space="preserve"> PAGEREF _Toc151386999 \h </w:instrText>
        </w:r>
        <w:r w:rsidRPr="002926D7">
          <w:rPr>
            <w:noProof/>
            <w:webHidden/>
          </w:rPr>
        </w:r>
        <w:r w:rsidRPr="002926D7">
          <w:rPr>
            <w:noProof/>
            <w:webHidden/>
          </w:rPr>
          <w:fldChar w:fldCharType="separate"/>
        </w:r>
        <w:r w:rsidR="00D0082E" w:rsidRPr="002926D7">
          <w:rPr>
            <w:noProof/>
            <w:webHidden/>
          </w:rPr>
          <w:t>78</w:t>
        </w:r>
        <w:r w:rsidRPr="002926D7">
          <w:rPr>
            <w:noProof/>
            <w:webHidden/>
          </w:rPr>
          <w:fldChar w:fldCharType="end"/>
        </w:r>
      </w:hyperlink>
    </w:p>
    <w:p w14:paraId="0293D59D" w14:textId="2A27AE67" w:rsidR="00653AC4" w:rsidRPr="002926D7" w:rsidRDefault="00653AC4" w:rsidP="002926D7">
      <w:pPr>
        <w:pStyle w:val="TOC2"/>
        <w:rPr>
          <w:rFonts w:asciiTheme="minorHAnsi" w:eastAsiaTheme="minorEastAsia" w:hAnsiTheme="minorHAnsi" w:cstheme="minorBidi"/>
          <w:noProof/>
          <w:kern w:val="2"/>
          <w:sz w:val="22"/>
          <w:szCs w:val="22"/>
          <w14:ligatures w14:val="standardContextual"/>
        </w:rPr>
      </w:pPr>
      <w:hyperlink w:anchor="_Toc151387000" w:history="1">
        <w:r w:rsidRPr="002926D7">
          <w:rPr>
            <w:rStyle w:val="Hyperlink"/>
            <w:noProof/>
          </w:rPr>
          <w:t>Annex 12: GEF-8 Results Measurement Framework worksheet</w:t>
        </w:r>
        <w:r w:rsidRPr="002926D7">
          <w:rPr>
            <w:noProof/>
            <w:webHidden/>
          </w:rPr>
          <w:tab/>
        </w:r>
        <w:r w:rsidRPr="002926D7">
          <w:rPr>
            <w:noProof/>
            <w:webHidden/>
          </w:rPr>
          <w:fldChar w:fldCharType="begin"/>
        </w:r>
        <w:r w:rsidRPr="002926D7">
          <w:rPr>
            <w:noProof/>
            <w:webHidden/>
          </w:rPr>
          <w:instrText xml:space="preserve"> PAGEREF _Toc151387000 \h </w:instrText>
        </w:r>
        <w:r w:rsidRPr="002926D7">
          <w:rPr>
            <w:noProof/>
            <w:webHidden/>
          </w:rPr>
        </w:r>
        <w:r w:rsidRPr="002926D7">
          <w:rPr>
            <w:noProof/>
            <w:webHidden/>
          </w:rPr>
          <w:fldChar w:fldCharType="separate"/>
        </w:r>
        <w:r w:rsidR="00D0082E" w:rsidRPr="002926D7">
          <w:rPr>
            <w:noProof/>
            <w:webHidden/>
          </w:rPr>
          <w:t>78</w:t>
        </w:r>
        <w:r w:rsidRPr="002926D7">
          <w:rPr>
            <w:noProof/>
            <w:webHidden/>
          </w:rPr>
          <w:fldChar w:fldCharType="end"/>
        </w:r>
      </w:hyperlink>
    </w:p>
    <w:p w14:paraId="7C768DF2" w14:textId="5A6CBFB4" w:rsidR="00653AC4" w:rsidRPr="002926D7" w:rsidRDefault="00653AC4" w:rsidP="002926D7">
      <w:pPr>
        <w:pStyle w:val="TOC2"/>
        <w:rPr>
          <w:rFonts w:asciiTheme="minorHAnsi" w:eastAsiaTheme="minorEastAsia" w:hAnsiTheme="minorHAnsi" w:cstheme="minorBidi"/>
          <w:noProof/>
          <w:kern w:val="2"/>
          <w:sz w:val="22"/>
          <w:szCs w:val="22"/>
          <w14:ligatures w14:val="standardContextual"/>
        </w:rPr>
      </w:pPr>
      <w:hyperlink w:anchor="_Toc151387001" w:history="1">
        <w:r w:rsidRPr="002926D7">
          <w:rPr>
            <w:rStyle w:val="Hyperlink"/>
            <w:noProof/>
          </w:rPr>
          <w:t>Annex 13: GEF taxonomy</w:t>
        </w:r>
        <w:r w:rsidRPr="002926D7">
          <w:rPr>
            <w:noProof/>
            <w:webHidden/>
          </w:rPr>
          <w:tab/>
        </w:r>
        <w:r w:rsidRPr="002926D7">
          <w:rPr>
            <w:noProof/>
            <w:webHidden/>
          </w:rPr>
          <w:fldChar w:fldCharType="begin"/>
        </w:r>
        <w:r w:rsidRPr="002926D7">
          <w:rPr>
            <w:noProof/>
            <w:webHidden/>
          </w:rPr>
          <w:instrText xml:space="preserve"> PAGEREF _Toc151387001 \h </w:instrText>
        </w:r>
        <w:r w:rsidRPr="002926D7">
          <w:rPr>
            <w:noProof/>
            <w:webHidden/>
          </w:rPr>
        </w:r>
        <w:r w:rsidRPr="002926D7">
          <w:rPr>
            <w:noProof/>
            <w:webHidden/>
          </w:rPr>
          <w:fldChar w:fldCharType="separate"/>
        </w:r>
        <w:r w:rsidR="00D0082E" w:rsidRPr="002926D7">
          <w:rPr>
            <w:noProof/>
            <w:webHidden/>
          </w:rPr>
          <w:t>78</w:t>
        </w:r>
        <w:r w:rsidRPr="002926D7">
          <w:rPr>
            <w:noProof/>
            <w:webHidden/>
          </w:rPr>
          <w:fldChar w:fldCharType="end"/>
        </w:r>
      </w:hyperlink>
    </w:p>
    <w:p w14:paraId="6B3079AB" w14:textId="2DBCAAA8" w:rsidR="00653AC4" w:rsidRPr="002926D7" w:rsidRDefault="00653AC4" w:rsidP="002926D7">
      <w:pPr>
        <w:pStyle w:val="TOC2"/>
        <w:rPr>
          <w:rFonts w:asciiTheme="minorHAnsi" w:eastAsiaTheme="minorEastAsia" w:hAnsiTheme="minorHAnsi" w:cstheme="minorBidi"/>
          <w:noProof/>
          <w:kern w:val="2"/>
          <w:sz w:val="22"/>
          <w:szCs w:val="22"/>
          <w14:ligatures w14:val="standardContextual"/>
        </w:rPr>
      </w:pPr>
      <w:hyperlink w:anchor="_Toc151387002" w:history="1">
        <w:r w:rsidRPr="002926D7">
          <w:rPr>
            <w:rStyle w:val="Hyperlink"/>
            <w:noProof/>
          </w:rPr>
          <w:t>Annex 14: UNDP project quality assurance report</w:t>
        </w:r>
        <w:r w:rsidRPr="002926D7">
          <w:rPr>
            <w:noProof/>
            <w:webHidden/>
          </w:rPr>
          <w:tab/>
        </w:r>
        <w:r w:rsidRPr="002926D7">
          <w:rPr>
            <w:noProof/>
            <w:webHidden/>
          </w:rPr>
          <w:fldChar w:fldCharType="begin"/>
        </w:r>
        <w:r w:rsidRPr="002926D7">
          <w:rPr>
            <w:noProof/>
            <w:webHidden/>
          </w:rPr>
          <w:instrText xml:space="preserve"> PAGEREF _Toc151387002 \h </w:instrText>
        </w:r>
        <w:r w:rsidRPr="002926D7">
          <w:rPr>
            <w:noProof/>
            <w:webHidden/>
          </w:rPr>
        </w:r>
        <w:r w:rsidRPr="002926D7">
          <w:rPr>
            <w:noProof/>
            <w:webHidden/>
          </w:rPr>
          <w:fldChar w:fldCharType="separate"/>
        </w:r>
        <w:r w:rsidR="00D0082E" w:rsidRPr="002926D7">
          <w:rPr>
            <w:noProof/>
            <w:webHidden/>
          </w:rPr>
          <w:t>78</w:t>
        </w:r>
        <w:r w:rsidRPr="002926D7">
          <w:rPr>
            <w:noProof/>
            <w:webHidden/>
          </w:rPr>
          <w:fldChar w:fldCharType="end"/>
        </w:r>
      </w:hyperlink>
    </w:p>
    <w:p w14:paraId="3DB89686" w14:textId="21D14F5D" w:rsidR="00653AC4" w:rsidRPr="002926D7" w:rsidRDefault="00653AC4" w:rsidP="002926D7">
      <w:pPr>
        <w:pStyle w:val="TOC2"/>
        <w:rPr>
          <w:rFonts w:asciiTheme="minorHAnsi" w:eastAsiaTheme="minorEastAsia" w:hAnsiTheme="minorHAnsi" w:cstheme="minorBidi"/>
          <w:noProof/>
          <w:kern w:val="2"/>
          <w:sz w:val="22"/>
          <w:szCs w:val="22"/>
          <w14:ligatures w14:val="standardContextual"/>
        </w:rPr>
      </w:pPr>
      <w:hyperlink w:anchor="_Toc151387003" w:history="1">
        <w:r w:rsidRPr="002926D7">
          <w:rPr>
            <w:rStyle w:val="Hyperlink"/>
            <w:noProof/>
          </w:rPr>
          <w:t>Annex 15: GEF CEO Endorsement/Approval</w:t>
        </w:r>
        <w:r w:rsidRPr="002926D7">
          <w:rPr>
            <w:noProof/>
            <w:webHidden/>
          </w:rPr>
          <w:tab/>
        </w:r>
        <w:r w:rsidRPr="002926D7">
          <w:rPr>
            <w:noProof/>
            <w:webHidden/>
          </w:rPr>
          <w:fldChar w:fldCharType="begin"/>
        </w:r>
        <w:r w:rsidRPr="002926D7">
          <w:rPr>
            <w:noProof/>
            <w:webHidden/>
          </w:rPr>
          <w:instrText xml:space="preserve"> PAGEREF _Toc151387003 \h </w:instrText>
        </w:r>
        <w:r w:rsidRPr="002926D7">
          <w:rPr>
            <w:noProof/>
            <w:webHidden/>
          </w:rPr>
        </w:r>
        <w:r w:rsidRPr="002926D7">
          <w:rPr>
            <w:noProof/>
            <w:webHidden/>
          </w:rPr>
          <w:fldChar w:fldCharType="separate"/>
        </w:r>
        <w:r w:rsidR="00D0082E" w:rsidRPr="002926D7">
          <w:rPr>
            <w:noProof/>
            <w:webHidden/>
          </w:rPr>
          <w:t>78</w:t>
        </w:r>
        <w:r w:rsidRPr="002926D7">
          <w:rPr>
            <w:noProof/>
            <w:webHidden/>
          </w:rPr>
          <w:fldChar w:fldCharType="end"/>
        </w:r>
      </w:hyperlink>
    </w:p>
    <w:p w14:paraId="5E802DED" w14:textId="6D7360D4" w:rsidR="00F1580F" w:rsidRPr="002926D7" w:rsidRDefault="00D64EA4" w:rsidP="002926D7">
      <w:r w:rsidRPr="002926D7">
        <w:fldChar w:fldCharType="end"/>
      </w:r>
      <w:bookmarkEnd w:id="8"/>
    </w:p>
    <w:p w14:paraId="774DB9C3" w14:textId="29DBD662" w:rsidR="00D9572C" w:rsidRPr="002926D7" w:rsidRDefault="00D9572C" w:rsidP="002926D7">
      <w:pPr>
        <w:jc w:val="left"/>
        <w:rPr>
          <w:rFonts w:cs="Arial"/>
          <w:b/>
          <w:bCs/>
        </w:rPr>
      </w:pPr>
    </w:p>
    <w:p w14:paraId="18771172" w14:textId="49792D83" w:rsidR="00AF7EFB" w:rsidRPr="002926D7" w:rsidRDefault="00AF7EFB" w:rsidP="002926D7">
      <w:pPr>
        <w:rPr>
          <w:rFonts w:cs="Arial"/>
          <w:b/>
          <w:bCs/>
        </w:rPr>
      </w:pPr>
      <w:r w:rsidRPr="002926D7">
        <w:rPr>
          <w:rFonts w:cs="Arial"/>
          <w:b/>
          <w:bCs/>
        </w:rPr>
        <w:t>List of Figures:</w:t>
      </w:r>
    </w:p>
    <w:bookmarkStart w:id="9" w:name="_Toc407785517"/>
    <w:p w14:paraId="151F0DD1" w14:textId="0B9FEAEC" w:rsidR="00636C83" w:rsidRPr="002926D7" w:rsidRDefault="00AF7EFB" w:rsidP="002926D7">
      <w:pPr>
        <w:pStyle w:val="TableofFigures"/>
        <w:tabs>
          <w:tab w:val="right" w:leader="dot" w:pos="9350"/>
        </w:tabs>
        <w:rPr>
          <w:rFonts w:asciiTheme="minorHAnsi" w:eastAsiaTheme="minorEastAsia" w:hAnsiTheme="minorHAnsi" w:cstheme="minorBidi"/>
          <w:noProof/>
          <w:kern w:val="2"/>
          <w:sz w:val="24"/>
          <w14:ligatures w14:val="standardContextual"/>
        </w:rPr>
      </w:pPr>
      <w:r w:rsidRPr="002926D7">
        <w:fldChar w:fldCharType="begin"/>
      </w:r>
      <w:r w:rsidRPr="002926D7">
        <w:instrText xml:space="preserve"> TOC \h \z \c "Figure" </w:instrText>
      </w:r>
      <w:r w:rsidRPr="002926D7">
        <w:fldChar w:fldCharType="separate"/>
      </w:r>
      <w:hyperlink w:anchor="_Toc168062380" w:history="1">
        <w:r w:rsidR="00636C83" w:rsidRPr="002926D7">
          <w:rPr>
            <w:rStyle w:val="Hyperlink"/>
            <w:noProof/>
          </w:rPr>
          <w:t>Figure 1: Project theory of change</w:t>
        </w:r>
        <w:r w:rsidR="00636C83" w:rsidRPr="002926D7">
          <w:rPr>
            <w:noProof/>
            <w:webHidden/>
          </w:rPr>
          <w:tab/>
        </w:r>
        <w:r w:rsidR="00636C83" w:rsidRPr="002926D7">
          <w:rPr>
            <w:noProof/>
            <w:webHidden/>
          </w:rPr>
          <w:fldChar w:fldCharType="begin"/>
        </w:r>
        <w:r w:rsidR="00636C83" w:rsidRPr="002926D7">
          <w:rPr>
            <w:noProof/>
            <w:webHidden/>
          </w:rPr>
          <w:instrText xml:space="preserve"> PAGEREF _Toc168062380 \h </w:instrText>
        </w:r>
        <w:r w:rsidR="00636C83" w:rsidRPr="002926D7">
          <w:rPr>
            <w:noProof/>
            <w:webHidden/>
          </w:rPr>
        </w:r>
        <w:r w:rsidR="00636C83" w:rsidRPr="002926D7">
          <w:rPr>
            <w:noProof/>
            <w:webHidden/>
          </w:rPr>
          <w:fldChar w:fldCharType="separate"/>
        </w:r>
        <w:r w:rsidR="00636C83" w:rsidRPr="002926D7">
          <w:rPr>
            <w:noProof/>
            <w:webHidden/>
          </w:rPr>
          <w:t>17</w:t>
        </w:r>
        <w:r w:rsidR="00636C83" w:rsidRPr="002926D7">
          <w:rPr>
            <w:noProof/>
            <w:webHidden/>
          </w:rPr>
          <w:fldChar w:fldCharType="end"/>
        </w:r>
      </w:hyperlink>
    </w:p>
    <w:p w14:paraId="6361D541" w14:textId="21604BEA" w:rsidR="00636C83" w:rsidRPr="002926D7" w:rsidRDefault="00636C83" w:rsidP="002926D7">
      <w:pPr>
        <w:pStyle w:val="TableofFigures"/>
        <w:tabs>
          <w:tab w:val="right" w:leader="dot" w:pos="9350"/>
        </w:tabs>
        <w:rPr>
          <w:rFonts w:asciiTheme="minorHAnsi" w:eastAsiaTheme="minorEastAsia" w:hAnsiTheme="minorHAnsi" w:cstheme="minorBidi"/>
          <w:noProof/>
          <w:kern w:val="2"/>
          <w:sz w:val="24"/>
          <w14:ligatures w14:val="standardContextual"/>
        </w:rPr>
      </w:pPr>
      <w:hyperlink w:anchor="_Toc168062381" w:history="1">
        <w:r w:rsidRPr="002926D7">
          <w:rPr>
            <w:rStyle w:val="Hyperlink"/>
            <w:rFonts w:cstheme="minorHAnsi"/>
            <w:noProof/>
          </w:rPr>
          <w:t>Figure 2: Programme Organization Structure</w:t>
        </w:r>
        <w:r w:rsidRPr="002926D7">
          <w:rPr>
            <w:noProof/>
            <w:webHidden/>
          </w:rPr>
          <w:tab/>
        </w:r>
        <w:r w:rsidRPr="002926D7">
          <w:rPr>
            <w:noProof/>
            <w:webHidden/>
          </w:rPr>
          <w:fldChar w:fldCharType="begin"/>
        </w:r>
        <w:r w:rsidRPr="002926D7">
          <w:rPr>
            <w:noProof/>
            <w:webHidden/>
          </w:rPr>
          <w:instrText xml:space="preserve"> PAGEREF _Toc168062381 \h </w:instrText>
        </w:r>
        <w:r w:rsidRPr="002926D7">
          <w:rPr>
            <w:noProof/>
            <w:webHidden/>
          </w:rPr>
        </w:r>
        <w:r w:rsidRPr="002926D7">
          <w:rPr>
            <w:noProof/>
            <w:webHidden/>
          </w:rPr>
          <w:fldChar w:fldCharType="separate"/>
        </w:r>
        <w:r w:rsidRPr="002926D7">
          <w:rPr>
            <w:noProof/>
            <w:webHidden/>
          </w:rPr>
          <w:t>60</w:t>
        </w:r>
        <w:r w:rsidRPr="002926D7">
          <w:rPr>
            <w:noProof/>
            <w:webHidden/>
          </w:rPr>
          <w:fldChar w:fldCharType="end"/>
        </w:r>
      </w:hyperlink>
    </w:p>
    <w:p w14:paraId="7882EA14" w14:textId="3B3EFFA5" w:rsidR="00AF7EFB" w:rsidRPr="002926D7" w:rsidRDefault="00AF7EFB" w:rsidP="002926D7">
      <w:pPr>
        <w:jc w:val="left"/>
      </w:pPr>
      <w:r w:rsidRPr="002926D7">
        <w:fldChar w:fldCharType="end"/>
      </w:r>
    </w:p>
    <w:p w14:paraId="32BE9D1F" w14:textId="77777777" w:rsidR="0097539B" w:rsidRPr="002926D7" w:rsidRDefault="0097539B" w:rsidP="002926D7">
      <w:pPr>
        <w:jc w:val="left"/>
        <w:rPr>
          <w:b/>
          <w:bCs/>
        </w:rPr>
      </w:pPr>
      <w:r w:rsidRPr="002926D7">
        <w:rPr>
          <w:b/>
          <w:bCs/>
        </w:rPr>
        <w:br w:type="page"/>
      </w:r>
    </w:p>
    <w:p w14:paraId="4D1D8755" w14:textId="3242BB48" w:rsidR="00AF7EFB" w:rsidRPr="002926D7" w:rsidRDefault="00AF7EFB" w:rsidP="002926D7">
      <w:r w:rsidRPr="002926D7">
        <w:lastRenderedPageBreak/>
        <w:t>Abbreviations and Acronyms:</w:t>
      </w:r>
    </w:p>
    <w:tbl>
      <w:tblPr>
        <w:tblW w:w="0" w:type="auto"/>
        <w:tblLook w:val="04A0" w:firstRow="1" w:lastRow="0" w:firstColumn="1" w:lastColumn="0" w:noHBand="0" w:noVBand="1"/>
      </w:tblPr>
      <w:tblGrid>
        <w:gridCol w:w="1620"/>
        <w:gridCol w:w="7406"/>
      </w:tblGrid>
      <w:tr w:rsidR="00E36CA7" w:rsidRPr="002926D7" w14:paraId="51FC2417" w14:textId="77777777" w:rsidTr="004F7E19">
        <w:tc>
          <w:tcPr>
            <w:tcW w:w="1620" w:type="dxa"/>
          </w:tcPr>
          <w:p w14:paraId="0DCF98B2" w14:textId="57AD21A5" w:rsidR="00E36CA7" w:rsidRPr="002926D7" w:rsidRDefault="00E36CA7" w:rsidP="002926D7">
            <w:pPr>
              <w:spacing w:after="20"/>
              <w:rPr>
                <w:szCs w:val="20"/>
              </w:rPr>
            </w:pPr>
            <w:r w:rsidRPr="002926D7">
              <w:rPr>
                <w:szCs w:val="20"/>
              </w:rPr>
              <w:t>AFOLU</w:t>
            </w:r>
          </w:p>
        </w:tc>
        <w:tc>
          <w:tcPr>
            <w:tcW w:w="7406" w:type="dxa"/>
          </w:tcPr>
          <w:p w14:paraId="70218BC6" w14:textId="0AEA6B88" w:rsidR="00E36CA7" w:rsidRPr="002926D7" w:rsidRDefault="00E36CA7" w:rsidP="002926D7">
            <w:pPr>
              <w:spacing w:after="20"/>
              <w:rPr>
                <w:szCs w:val="20"/>
              </w:rPr>
            </w:pPr>
            <w:r w:rsidRPr="002926D7">
              <w:rPr>
                <w:szCs w:val="20"/>
              </w:rPr>
              <w:t>Agriculture, Forestry and Other Land Use</w:t>
            </w:r>
          </w:p>
        </w:tc>
      </w:tr>
      <w:tr w:rsidR="007836F0" w:rsidRPr="002926D7" w14:paraId="417730F1" w14:textId="77777777" w:rsidTr="004F7E19">
        <w:tc>
          <w:tcPr>
            <w:tcW w:w="1620" w:type="dxa"/>
          </w:tcPr>
          <w:p w14:paraId="243C8EC1" w14:textId="7FCDA35A" w:rsidR="007836F0" w:rsidRPr="002926D7" w:rsidRDefault="007836F0" w:rsidP="002926D7">
            <w:pPr>
              <w:spacing w:after="20"/>
              <w:rPr>
                <w:szCs w:val="20"/>
              </w:rPr>
            </w:pPr>
            <w:r w:rsidRPr="002926D7">
              <w:rPr>
                <w:szCs w:val="20"/>
              </w:rPr>
              <w:t>AMR</w:t>
            </w:r>
          </w:p>
        </w:tc>
        <w:tc>
          <w:tcPr>
            <w:tcW w:w="7406" w:type="dxa"/>
          </w:tcPr>
          <w:p w14:paraId="423D3716" w14:textId="3ACA4F9A" w:rsidR="007836F0" w:rsidRPr="002926D7" w:rsidRDefault="007836F0" w:rsidP="002926D7">
            <w:pPr>
              <w:spacing w:after="20"/>
              <w:rPr>
                <w:szCs w:val="20"/>
              </w:rPr>
            </w:pPr>
            <w:r w:rsidRPr="002926D7">
              <w:rPr>
                <w:szCs w:val="20"/>
              </w:rPr>
              <w:t>Annual monitoring report</w:t>
            </w:r>
          </w:p>
        </w:tc>
      </w:tr>
      <w:tr w:rsidR="00E61AB5" w:rsidRPr="002926D7" w14:paraId="3600BD9F" w14:textId="77777777" w:rsidTr="004F7E19">
        <w:tc>
          <w:tcPr>
            <w:tcW w:w="1620" w:type="dxa"/>
          </w:tcPr>
          <w:p w14:paraId="76D59657" w14:textId="77777777" w:rsidR="00E61AB5" w:rsidRPr="002926D7" w:rsidRDefault="00E61AB5" w:rsidP="002926D7">
            <w:pPr>
              <w:spacing w:after="20"/>
              <w:rPr>
                <w:szCs w:val="20"/>
              </w:rPr>
            </w:pPr>
            <w:bookmarkStart w:id="10" w:name="_Hlk39515232"/>
            <w:r w:rsidRPr="002926D7">
              <w:rPr>
                <w:szCs w:val="20"/>
              </w:rPr>
              <w:t>AWP</w:t>
            </w:r>
          </w:p>
        </w:tc>
        <w:tc>
          <w:tcPr>
            <w:tcW w:w="7406" w:type="dxa"/>
          </w:tcPr>
          <w:p w14:paraId="7AF577C5" w14:textId="0CD2BCA3" w:rsidR="00E61AB5" w:rsidRPr="002926D7" w:rsidRDefault="00E61AB5" w:rsidP="002926D7">
            <w:pPr>
              <w:spacing w:after="20"/>
              <w:rPr>
                <w:szCs w:val="20"/>
              </w:rPr>
            </w:pPr>
            <w:r w:rsidRPr="002926D7">
              <w:rPr>
                <w:szCs w:val="20"/>
              </w:rPr>
              <w:t xml:space="preserve">Annual </w:t>
            </w:r>
            <w:r w:rsidR="009418F7" w:rsidRPr="002926D7">
              <w:rPr>
                <w:szCs w:val="20"/>
              </w:rPr>
              <w:t>w</w:t>
            </w:r>
            <w:r w:rsidRPr="002926D7">
              <w:rPr>
                <w:szCs w:val="20"/>
              </w:rPr>
              <w:t xml:space="preserve">ork </w:t>
            </w:r>
            <w:r w:rsidR="009418F7" w:rsidRPr="002926D7">
              <w:rPr>
                <w:szCs w:val="20"/>
              </w:rPr>
              <w:t>p</w:t>
            </w:r>
            <w:r w:rsidRPr="002926D7">
              <w:rPr>
                <w:szCs w:val="20"/>
              </w:rPr>
              <w:t>lan</w:t>
            </w:r>
          </w:p>
        </w:tc>
      </w:tr>
      <w:tr w:rsidR="00042327" w:rsidRPr="002926D7" w14:paraId="3E6F7E06" w14:textId="77777777" w:rsidTr="004F7E19">
        <w:tc>
          <w:tcPr>
            <w:tcW w:w="1620" w:type="dxa"/>
          </w:tcPr>
          <w:p w14:paraId="2A672C05" w14:textId="6DBC656F" w:rsidR="00042327" w:rsidRPr="002926D7" w:rsidRDefault="00042327" w:rsidP="002926D7">
            <w:pPr>
              <w:spacing w:after="20"/>
              <w:rPr>
                <w:rFonts w:cs="Calibri"/>
              </w:rPr>
            </w:pPr>
            <w:r w:rsidRPr="002926D7">
              <w:rPr>
                <w:szCs w:val="20"/>
              </w:rPr>
              <w:t>BAU</w:t>
            </w:r>
          </w:p>
        </w:tc>
        <w:tc>
          <w:tcPr>
            <w:tcW w:w="7406" w:type="dxa"/>
          </w:tcPr>
          <w:p w14:paraId="531096A1" w14:textId="6F8C3687" w:rsidR="00042327" w:rsidRPr="002926D7" w:rsidRDefault="00042327" w:rsidP="002926D7">
            <w:pPr>
              <w:spacing w:after="20"/>
              <w:rPr>
                <w:rFonts w:cs="Calibri"/>
              </w:rPr>
            </w:pPr>
            <w:r w:rsidRPr="002926D7">
              <w:rPr>
                <w:szCs w:val="20"/>
              </w:rPr>
              <w:t>Business as usual</w:t>
            </w:r>
          </w:p>
        </w:tc>
      </w:tr>
      <w:tr w:rsidR="00042327" w:rsidRPr="002926D7" w14:paraId="463A4F08" w14:textId="77777777" w:rsidTr="004F7E19">
        <w:tc>
          <w:tcPr>
            <w:tcW w:w="1620" w:type="dxa"/>
          </w:tcPr>
          <w:p w14:paraId="3E7B3A1C" w14:textId="5516F6B6" w:rsidR="00042327" w:rsidRPr="002926D7" w:rsidRDefault="00042327" w:rsidP="002926D7">
            <w:pPr>
              <w:spacing w:after="20"/>
              <w:rPr>
                <w:szCs w:val="20"/>
              </w:rPr>
            </w:pPr>
            <w:r w:rsidRPr="002926D7">
              <w:rPr>
                <w:rFonts w:cs="Calibri"/>
              </w:rPr>
              <w:t>BD</w:t>
            </w:r>
          </w:p>
        </w:tc>
        <w:tc>
          <w:tcPr>
            <w:tcW w:w="7406" w:type="dxa"/>
          </w:tcPr>
          <w:p w14:paraId="18711B8A" w14:textId="14A1A14F" w:rsidR="00042327" w:rsidRPr="002926D7" w:rsidRDefault="00042327" w:rsidP="002926D7">
            <w:pPr>
              <w:spacing w:after="20"/>
              <w:rPr>
                <w:szCs w:val="20"/>
              </w:rPr>
            </w:pPr>
            <w:r w:rsidRPr="002926D7">
              <w:rPr>
                <w:rFonts w:cs="Calibri"/>
              </w:rPr>
              <w:t>Biodiversity (GEF focal area)</w:t>
            </w:r>
          </w:p>
        </w:tc>
      </w:tr>
      <w:tr w:rsidR="00042327" w:rsidRPr="002926D7" w14:paraId="029E9182" w14:textId="77777777" w:rsidTr="004F7E19">
        <w:tc>
          <w:tcPr>
            <w:tcW w:w="1620" w:type="dxa"/>
          </w:tcPr>
          <w:p w14:paraId="52C454F8" w14:textId="4235573B" w:rsidR="00042327" w:rsidRPr="002926D7" w:rsidRDefault="00042327" w:rsidP="002926D7">
            <w:pPr>
              <w:spacing w:after="20"/>
              <w:rPr>
                <w:szCs w:val="20"/>
              </w:rPr>
            </w:pPr>
            <w:r w:rsidRPr="002926D7">
              <w:rPr>
                <w:szCs w:val="20"/>
              </w:rPr>
              <w:t>BPPS</w:t>
            </w:r>
            <w:r w:rsidR="00113E09" w:rsidRPr="002926D7">
              <w:rPr>
                <w:szCs w:val="20"/>
              </w:rPr>
              <w:t xml:space="preserve"> </w:t>
            </w:r>
            <w:r w:rsidRPr="002926D7">
              <w:rPr>
                <w:szCs w:val="20"/>
              </w:rPr>
              <w:t>NCE</w:t>
            </w:r>
          </w:p>
        </w:tc>
        <w:tc>
          <w:tcPr>
            <w:tcW w:w="7406" w:type="dxa"/>
          </w:tcPr>
          <w:p w14:paraId="50FC859C" w14:textId="732A51B8" w:rsidR="00042327" w:rsidRPr="002926D7" w:rsidRDefault="00042327" w:rsidP="002926D7">
            <w:pPr>
              <w:spacing w:after="20"/>
              <w:rPr>
                <w:szCs w:val="20"/>
              </w:rPr>
            </w:pPr>
            <w:r w:rsidRPr="002926D7">
              <w:rPr>
                <w:szCs w:val="20"/>
              </w:rPr>
              <w:t>Bureau for Policy and Programme Support, Nature, Climate and Energy</w:t>
            </w:r>
          </w:p>
        </w:tc>
      </w:tr>
      <w:tr w:rsidR="003B3F1D" w:rsidRPr="002926D7" w14:paraId="5A999166" w14:textId="77777777" w:rsidTr="004F7E19">
        <w:tc>
          <w:tcPr>
            <w:tcW w:w="1620" w:type="dxa"/>
          </w:tcPr>
          <w:p w14:paraId="3E74AA70" w14:textId="20172B51" w:rsidR="003B3F1D" w:rsidRPr="002926D7" w:rsidRDefault="003B3F1D" w:rsidP="002926D7">
            <w:pPr>
              <w:spacing w:after="20"/>
              <w:rPr>
                <w:szCs w:val="20"/>
              </w:rPr>
            </w:pPr>
            <w:r w:rsidRPr="002926D7">
              <w:rPr>
                <w:szCs w:val="20"/>
              </w:rPr>
              <w:t>CBA</w:t>
            </w:r>
          </w:p>
        </w:tc>
        <w:tc>
          <w:tcPr>
            <w:tcW w:w="7406" w:type="dxa"/>
          </w:tcPr>
          <w:p w14:paraId="1CBB5ADD" w14:textId="79154B5D" w:rsidR="003B3F1D" w:rsidRPr="002926D7" w:rsidRDefault="00E36CA7" w:rsidP="002926D7">
            <w:pPr>
              <w:spacing w:after="20"/>
              <w:rPr>
                <w:szCs w:val="20"/>
              </w:rPr>
            </w:pPr>
            <w:r w:rsidRPr="002926D7">
              <w:rPr>
                <w:szCs w:val="20"/>
              </w:rPr>
              <w:t>Community-based Adaptation</w:t>
            </w:r>
          </w:p>
        </w:tc>
      </w:tr>
      <w:tr w:rsidR="00042327" w:rsidRPr="002926D7" w14:paraId="22DA87F2" w14:textId="77777777" w:rsidTr="004F7E19">
        <w:tc>
          <w:tcPr>
            <w:tcW w:w="1620" w:type="dxa"/>
          </w:tcPr>
          <w:p w14:paraId="4955A3C3" w14:textId="1BA0802E" w:rsidR="00042327" w:rsidRPr="002926D7" w:rsidRDefault="00042327" w:rsidP="002926D7">
            <w:pPr>
              <w:spacing w:after="20"/>
              <w:rPr>
                <w:szCs w:val="20"/>
              </w:rPr>
            </w:pPr>
            <w:r w:rsidRPr="002926D7">
              <w:rPr>
                <w:szCs w:val="20"/>
              </w:rPr>
              <w:t>CBD</w:t>
            </w:r>
          </w:p>
        </w:tc>
        <w:tc>
          <w:tcPr>
            <w:tcW w:w="7406" w:type="dxa"/>
          </w:tcPr>
          <w:p w14:paraId="75784ACD" w14:textId="3BC1F566" w:rsidR="00042327" w:rsidRPr="002926D7" w:rsidRDefault="00042327" w:rsidP="002926D7">
            <w:pPr>
              <w:spacing w:after="20"/>
              <w:rPr>
                <w:szCs w:val="20"/>
              </w:rPr>
            </w:pPr>
            <w:r w:rsidRPr="002926D7">
              <w:rPr>
                <w:szCs w:val="20"/>
              </w:rPr>
              <w:t>Convention on Biological Diversity</w:t>
            </w:r>
          </w:p>
        </w:tc>
      </w:tr>
      <w:tr w:rsidR="004F7E19" w:rsidRPr="002926D7" w14:paraId="15B4302F" w14:textId="77777777" w:rsidTr="004F7E19">
        <w:tc>
          <w:tcPr>
            <w:tcW w:w="1620" w:type="dxa"/>
          </w:tcPr>
          <w:p w14:paraId="72569CB8" w14:textId="28BD1B47" w:rsidR="004F7E19" w:rsidRPr="002926D7" w:rsidRDefault="004F7E19" w:rsidP="002926D7">
            <w:pPr>
              <w:spacing w:after="20"/>
              <w:rPr>
                <w:szCs w:val="20"/>
              </w:rPr>
            </w:pPr>
            <w:r w:rsidRPr="002926D7">
              <w:rPr>
                <w:szCs w:val="20"/>
              </w:rPr>
              <w:t>CBO</w:t>
            </w:r>
          </w:p>
        </w:tc>
        <w:tc>
          <w:tcPr>
            <w:tcW w:w="7406" w:type="dxa"/>
          </w:tcPr>
          <w:p w14:paraId="7FC723C5" w14:textId="5F84414F" w:rsidR="004F7E19" w:rsidRPr="002926D7" w:rsidRDefault="004F7E19" w:rsidP="002926D7">
            <w:pPr>
              <w:spacing w:after="20"/>
              <w:rPr>
                <w:szCs w:val="20"/>
              </w:rPr>
            </w:pPr>
            <w:r w:rsidRPr="002926D7">
              <w:rPr>
                <w:szCs w:val="20"/>
              </w:rPr>
              <w:t>Community-based organization</w:t>
            </w:r>
          </w:p>
        </w:tc>
      </w:tr>
      <w:tr w:rsidR="00042327" w:rsidRPr="002926D7" w14:paraId="5243DDC6" w14:textId="77777777" w:rsidTr="004F7E19">
        <w:tc>
          <w:tcPr>
            <w:tcW w:w="1620" w:type="dxa"/>
          </w:tcPr>
          <w:p w14:paraId="3553BB66" w14:textId="4C38CF1F" w:rsidR="00042327" w:rsidRPr="002926D7" w:rsidRDefault="00042327" w:rsidP="002926D7">
            <w:pPr>
              <w:spacing w:after="20"/>
              <w:rPr>
                <w:szCs w:val="20"/>
              </w:rPr>
            </w:pPr>
            <w:r w:rsidRPr="002926D7">
              <w:rPr>
                <w:szCs w:val="20"/>
              </w:rPr>
              <w:t>CC</w:t>
            </w:r>
            <w:r w:rsidR="000D01CE" w:rsidRPr="002926D7">
              <w:rPr>
                <w:szCs w:val="20"/>
              </w:rPr>
              <w:t>M</w:t>
            </w:r>
          </w:p>
        </w:tc>
        <w:tc>
          <w:tcPr>
            <w:tcW w:w="7406" w:type="dxa"/>
          </w:tcPr>
          <w:p w14:paraId="6848F74B" w14:textId="3EED806C" w:rsidR="00042327" w:rsidRPr="002926D7" w:rsidRDefault="00042327" w:rsidP="002926D7">
            <w:pPr>
              <w:spacing w:after="20"/>
              <w:rPr>
                <w:szCs w:val="20"/>
              </w:rPr>
            </w:pPr>
            <w:r w:rsidRPr="002926D7">
              <w:rPr>
                <w:szCs w:val="20"/>
              </w:rPr>
              <w:t>Climate change</w:t>
            </w:r>
            <w:r w:rsidR="000D01CE" w:rsidRPr="002926D7">
              <w:rPr>
                <w:szCs w:val="20"/>
              </w:rPr>
              <w:t xml:space="preserve"> mitigation </w:t>
            </w:r>
            <w:r w:rsidR="000D01CE" w:rsidRPr="002926D7">
              <w:rPr>
                <w:rFonts w:cs="Calibri"/>
              </w:rPr>
              <w:t>(GEF focal area)</w:t>
            </w:r>
          </w:p>
        </w:tc>
      </w:tr>
      <w:tr w:rsidR="003B3F1D" w:rsidRPr="002926D7" w14:paraId="42FA6B42" w14:textId="77777777" w:rsidTr="004F7E19">
        <w:tc>
          <w:tcPr>
            <w:tcW w:w="1620" w:type="dxa"/>
          </w:tcPr>
          <w:p w14:paraId="7D078209" w14:textId="4A16EE28" w:rsidR="003B3F1D" w:rsidRPr="002926D7" w:rsidRDefault="003B3F1D" w:rsidP="002926D7">
            <w:pPr>
              <w:spacing w:after="20"/>
              <w:rPr>
                <w:szCs w:val="20"/>
              </w:rPr>
            </w:pPr>
            <w:r w:rsidRPr="002926D7">
              <w:rPr>
                <w:szCs w:val="20"/>
              </w:rPr>
              <w:t>COMDEKS</w:t>
            </w:r>
          </w:p>
        </w:tc>
        <w:tc>
          <w:tcPr>
            <w:tcW w:w="7406" w:type="dxa"/>
          </w:tcPr>
          <w:p w14:paraId="241489E2" w14:textId="4B13F194" w:rsidR="003B3F1D" w:rsidRPr="002926D7" w:rsidRDefault="00E36CA7" w:rsidP="002926D7">
            <w:pPr>
              <w:spacing w:after="20"/>
              <w:rPr>
                <w:szCs w:val="20"/>
              </w:rPr>
            </w:pPr>
            <w:r w:rsidRPr="002926D7">
              <w:rPr>
                <w:szCs w:val="20"/>
              </w:rPr>
              <w:t>Community Development and Knowledge Management for the Satoyama Initiative</w:t>
            </w:r>
          </w:p>
        </w:tc>
      </w:tr>
      <w:tr w:rsidR="000E1BFD" w:rsidRPr="002926D7" w14:paraId="6C52F624" w14:textId="77777777" w:rsidTr="004F7E19">
        <w:tc>
          <w:tcPr>
            <w:tcW w:w="1620" w:type="dxa"/>
          </w:tcPr>
          <w:p w14:paraId="7BBF41D2" w14:textId="417D0072" w:rsidR="000E1BFD" w:rsidRPr="002926D7" w:rsidRDefault="000E1BFD" w:rsidP="002926D7">
            <w:pPr>
              <w:spacing w:after="20"/>
              <w:rPr>
                <w:szCs w:val="20"/>
              </w:rPr>
            </w:pPr>
            <w:r w:rsidRPr="002926D7">
              <w:rPr>
                <w:szCs w:val="20"/>
              </w:rPr>
              <w:t>CPMT</w:t>
            </w:r>
          </w:p>
        </w:tc>
        <w:tc>
          <w:tcPr>
            <w:tcW w:w="7406" w:type="dxa"/>
          </w:tcPr>
          <w:p w14:paraId="734D0202" w14:textId="3BB135A0" w:rsidR="000E1BFD" w:rsidRPr="002926D7" w:rsidRDefault="000E1BFD" w:rsidP="002926D7">
            <w:pPr>
              <w:spacing w:after="20"/>
              <w:rPr>
                <w:szCs w:val="20"/>
              </w:rPr>
            </w:pPr>
            <w:r w:rsidRPr="002926D7">
              <w:rPr>
                <w:szCs w:val="20"/>
              </w:rPr>
              <w:t>Central Programme Management Team</w:t>
            </w:r>
          </w:p>
        </w:tc>
      </w:tr>
      <w:tr w:rsidR="00295858" w:rsidRPr="002926D7" w14:paraId="24CCEF13" w14:textId="77777777" w:rsidTr="004F7E19">
        <w:tc>
          <w:tcPr>
            <w:tcW w:w="1620" w:type="dxa"/>
          </w:tcPr>
          <w:p w14:paraId="045460DF" w14:textId="2B767230" w:rsidR="00295858" w:rsidRPr="002926D7" w:rsidRDefault="00295858" w:rsidP="002926D7">
            <w:pPr>
              <w:spacing w:after="20"/>
              <w:rPr>
                <w:szCs w:val="20"/>
              </w:rPr>
            </w:pPr>
            <w:r w:rsidRPr="002926D7">
              <w:rPr>
                <w:szCs w:val="20"/>
              </w:rPr>
              <w:t>CPS</w:t>
            </w:r>
          </w:p>
        </w:tc>
        <w:tc>
          <w:tcPr>
            <w:tcW w:w="7406" w:type="dxa"/>
          </w:tcPr>
          <w:p w14:paraId="341500D0" w14:textId="625C3F66" w:rsidR="00295858" w:rsidRPr="002926D7" w:rsidRDefault="00295858" w:rsidP="002926D7">
            <w:pPr>
              <w:spacing w:after="20"/>
              <w:rPr>
                <w:szCs w:val="20"/>
              </w:rPr>
            </w:pPr>
            <w:r w:rsidRPr="002926D7">
              <w:rPr>
                <w:szCs w:val="20"/>
              </w:rPr>
              <w:t>Country Programme Strategy</w:t>
            </w:r>
          </w:p>
        </w:tc>
      </w:tr>
      <w:tr w:rsidR="00042327" w:rsidRPr="002926D7" w14:paraId="0188D73F" w14:textId="77777777" w:rsidTr="004F7E19">
        <w:tc>
          <w:tcPr>
            <w:tcW w:w="1620" w:type="dxa"/>
          </w:tcPr>
          <w:p w14:paraId="0DFCB468" w14:textId="2C00A0FC" w:rsidR="00042327" w:rsidRPr="002926D7" w:rsidRDefault="00042327" w:rsidP="002926D7">
            <w:pPr>
              <w:spacing w:after="20"/>
              <w:rPr>
                <w:szCs w:val="20"/>
              </w:rPr>
            </w:pPr>
            <w:r w:rsidRPr="002926D7">
              <w:rPr>
                <w:szCs w:val="20"/>
              </w:rPr>
              <w:t>CSO</w:t>
            </w:r>
          </w:p>
        </w:tc>
        <w:tc>
          <w:tcPr>
            <w:tcW w:w="7406" w:type="dxa"/>
          </w:tcPr>
          <w:p w14:paraId="32A1BAD2" w14:textId="39816A76" w:rsidR="00042327" w:rsidRPr="002926D7" w:rsidRDefault="00042327" w:rsidP="002926D7">
            <w:pPr>
              <w:spacing w:after="20"/>
              <w:rPr>
                <w:szCs w:val="20"/>
              </w:rPr>
            </w:pPr>
            <w:r w:rsidRPr="002926D7">
              <w:rPr>
                <w:szCs w:val="20"/>
              </w:rPr>
              <w:t>Civil society organization</w:t>
            </w:r>
          </w:p>
        </w:tc>
      </w:tr>
      <w:tr w:rsidR="00042327" w:rsidRPr="002926D7" w14:paraId="0ADE7161" w14:textId="77777777" w:rsidTr="004F7E19">
        <w:tc>
          <w:tcPr>
            <w:tcW w:w="1620" w:type="dxa"/>
          </w:tcPr>
          <w:p w14:paraId="73EFCAAE" w14:textId="19C65D83" w:rsidR="00042327" w:rsidRPr="002926D7" w:rsidRDefault="00042327" w:rsidP="002926D7">
            <w:pPr>
              <w:spacing w:after="20"/>
              <w:rPr>
                <w:szCs w:val="20"/>
              </w:rPr>
            </w:pPr>
            <w:r w:rsidRPr="002926D7">
              <w:rPr>
                <w:szCs w:val="20"/>
              </w:rPr>
              <w:t>CSR</w:t>
            </w:r>
          </w:p>
        </w:tc>
        <w:tc>
          <w:tcPr>
            <w:tcW w:w="7406" w:type="dxa"/>
          </w:tcPr>
          <w:p w14:paraId="513F77A9" w14:textId="417D998C" w:rsidR="00042327" w:rsidRPr="002926D7" w:rsidRDefault="00042327" w:rsidP="002926D7">
            <w:pPr>
              <w:spacing w:after="20"/>
              <w:rPr>
                <w:szCs w:val="20"/>
              </w:rPr>
            </w:pPr>
            <w:r w:rsidRPr="002926D7">
              <w:rPr>
                <w:szCs w:val="20"/>
              </w:rPr>
              <w:t>Corporate social responsibility</w:t>
            </w:r>
          </w:p>
        </w:tc>
      </w:tr>
      <w:tr w:rsidR="00042327" w:rsidRPr="002926D7" w14:paraId="1CF50D91" w14:textId="77777777" w:rsidTr="004F7E19">
        <w:tc>
          <w:tcPr>
            <w:tcW w:w="1620" w:type="dxa"/>
          </w:tcPr>
          <w:p w14:paraId="596CE93A" w14:textId="7659BE3A" w:rsidR="00042327" w:rsidRPr="002926D7" w:rsidRDefault="00042327" w:rsidP="002926D7">
            <w:pPr>
              <w:spacing w:after="20"/>
              <w:rPr>
                <w:szCs w:val="20"/>
              </w:rPr>
            </w:pPr>
            <w:r w:rsidRPr="002926D7">
              <w:rPr>
                <w:szCs w:val="20"/>
              </w:rPr>
              <w:t>DIM</w:t>
            </w:r>
          </w:p>
        </w:tc>
        <w:tc>
          <w:tcPr>
            <w:tcW w:w="7406" w:type="dxa"/>
          </w:tcPr>
          <w:p w14:paraId="423C4377" w14:textId="1A80EF12" w:rsidR="00042327" w:rsidRPr="002926D7" w:rsidRDefault="00042327" w:rsidP="002926D7">
            <w:pPr>
              <w:spacing w:after="20"/>
              <w:rPr>
                <w:szCs w:val="20"/>
              </w:rPr>
            </w:pPr>
            <w:r w:rsidRPr="002926D7">
              <w:rPr>
                <w:szCs w:val="20"/>
              </w:rPr>
              <w:t>Direct Implementation Modality</w:t>
            </w:r>
          </w:p>
        </w:tc>
      </w:tr>
      <w:tr w:rsidR="00042327" w:rsidRPr="002926D7" w14:paraId="6782F6B2" w14:textId="77777777" w:rsidTr="004F7E19">
        <w:tc>
          <w:tcPr>
            <w:tcW w:w="1620" w:type="dxa"/>
          </w:tcPr>
          <w:p w14:paraId="456C51FC" w14:textId="1927A642" w:rsidR="00042327" w:rsidRPr="002926D7" w:rsidRDefault="00042327" w:rsidP="002926D7">
            <w:pPr>
              <w:spacing w:after="20"/>
              <w:rPr>
                <w:szCs w:val="20"/>
              </w:rPr>
            </w:pPr>
            <w:r w:rsidRPr="002926D7">
              <w:rPr>
                <w:szCs w:val="20"/>
              </w:rPr>
              <w:t>DOA</w:t>
            </w:r>
          </w:p>
        </w:tc>
        <w:tc>
          <w:tcPr>
            <w:tcW w:w="7406" w:type="dxa"/>
          </w:tcPr>
          <w:p w14:paraId="679202D1" w14:textId="6DC61793" w:rsidR="00042327" w:rsidRPr="002926D7" w:rsidRDefault="00042327" w:rsidP="002926D7">
            <w:pPr>
              <w:spacing w:after="20"/>
              <w:rPr>
                <w:szCs w:val="20"/>
              </w:rPr>
            </w:pPr>
            <w:r w:rsidRPr="002926D7">
              <w:rPr>
                <w:szCs w:val="20"/>
              </w:rPr>
              <w:t>Delegation of authority</w:t>
            </w:r>
          </w:p>
        </w:tc>
      </w:tr>
      <w:tr w:rsidR="00042327" w:rsidRPr="002926D7" w14:paraId="6B8F8F84" w14:textId="77777777" w:rsidTr="004F7E19">
        <w:tc>
          <w:tcPr>
            <w:tcW w:w="1620" w:type="dxa"/>
          </w:tcPr>
          <w:p w14:paraId="387A5DC9" w14:textId="5163D514" w:rsidR="00042327" w:rsidRPr="002926D7" w:rsidRDefault="00042327" w:rsidP="002926D7">
            <w:pPr>
              <w:spacing w:after="20"/>
              <w:rPr>
                <w:szCs w:val="20"/>
              </w:rPr>
            </w:pPr>
            <w:r w:rsidRPr="002926D7">
              <w:rPr>
                <w:szCs w:val="20"/>
              </w:rPr>
              <w:t>ESMF</w:t>
            </w:r>
          </w:p>
        </w:tc>
        <w:tc>
          <w:tcPr>
            <w:tcW w:w="7406" w:type="dxa"/>
          </w:tcPr>
          <w:p w14:paraId="496CBCB0" w14:textId="777F7308" w:rsidR="00042327" w:rsidRPr="002926D7" w:rsidRDefault="00042327" w:rsidP="002926D7">
            <w:pPr>
              <w:spacing w:after="20"/>
              <w:rPr>
                <w:szCs w:val="20"/>
              </w:rPr>
            </w:pPr>
            <w:r w:rsidRPr="002926D7">
              <w:rPr>
                <w:szCs w:val="20"/>
              </w:rPr>
              <w:t>Environmental and social management framework</w:t>
            </w:r>
          </w:p>
        </w:tc>
      </w:tr>
      <w:tr w:rsidR="00E36CA7" w:rsidRPr="002926D7" w14:paraId="2F4D9E12" w14:textId="77777777" w:rsidTr="004F7E19">
        <w:tc>
          <w:tcPr>
            <w:tcW w:w="1620" w:type="dxa"/>
          </w:tcPr>
          <w:p w14:paraId="628B9364" w14:textId="56611664" w:rsidR="00E36CA7" w:rsidRPr="002926D7" w:rsidRDefault="00E36CA7" w:rsidP="002926D7">
            <w:pPr>
              <w:spacing w:after="20"/>
              <w:rPr>
                <w:szCs w:val="20"/>
              </w:rPr>
            </w:pPr>
            <w:r w:rsidRPr="002926D7">
              <w:rPr>
                <w:szCs w:val="20"/>
              </w:rPr>
              <w:t>FAO</w:t>
            </w:r>
          </w:p>
        </w:tc>
        <w:tc>
          <w:tcPr>
            <w:tcW w:w="7406" w:type="dxa"/>
          </w:tcPr>
          <w:p w14:paraId="1FA24569" w14:textId="5C4C58F5" w:rsidR="00E36CA7" w:rsidRPr="002926D7" w:rsidRDefault="00E36CA7" w:rsidP="002926D7">
            <w:pPr>
              <w:spacing w:after="20"/>
              <w:rPr>
                <w:szCs w:val="20"/>
              </w:rPr>
            </w:pPr>
            <w:r w:rsidRPr="002926D7">
              <w:rPr>
                <w:szCs w:val="20"/>
              </w:rPr>
              <w:t>Food and Agriculture Organization of the United Nations</w:t>
            </w:r>
          </w:p>
        </w:tc>
      </w:tr>
      <w:tr w:rsidR="00042327" w:rsidRPr="002926D7" w14:paraId="5876D79C" w14:textId="77777777" w:rsidTr="004F7E19">
        <w:tc>
          <w:tcPr>
            <w:tcW w:w="1620" w:type="dxa"/>
          </w:tcPr>
          <w:p w14:paraId="6F78754E" w14:textId="0E8FF803" w:rsidR="00042327" w:rsidRPr="002926D7" w:rsidRDefault="00042327" w:rsidP="002926D7">
            <w:pPr>
              <w:spacing w:after="20"/>
              <w:rPr>
                <w:szCs w:val="20"/>
              </w:rPr>
            </w:pPr>
            <w:r w:rsidRPr="002926D7">
              <w:rPr>
                <w:szCs w:val="20"/>
              </w:rPr>
              <w:t>FPIC</w:t>
            </w:r>
          </w:p>
        </w:tc>
        <w:tc>
          <w:tcPr>
            <w:tcW w:w="7406" w:type="dxa"/>
          </w:tcPr>
          <w:p w14:paraId="7B3918BC" w14:textId="500D5933" w:rsidR="00042327" w:rsidRPr="002926D7" w:rsidRDefault="00042327" w:rsidP="002926D7">
            <w:pPr>
              <w:spacing w:after="20"/>
              <w:rPr>
                <w:szCs w:val="20"/>
              </w:rPr>
            </w:pPr>
            <w:r w:rsidRPr="002926D7">
              <w:rPr>
                <w:szCs w:val="20"/>
              </w:rPr>
              <w:t>Free, prior and informed consent</w:t>
            </w:r>
          </w:p>
        </w:tc>
      </w:tr>
      <w:tr w:rsidR="00113E09" w:rsidRPr="002926D7" w14:paraId="4F358346" w14:textId="77777777" w:rsidTr="004F7E19">
        <w:tc>
          <w:tcPr>
            <w:tcW w:w="1620" w:type="dxa"/>
          </w:tcPr>
          <w:p w14:paraId="2580D47B" w14:textId="2B5A5EDD" w:rsidR="00113E09" w:rsidRPr="002926D7" w:rsidRDefault="00113E09" w:rsidP="002926D7">
            <w:pPr>
              <w:spacing w:after="20"/>
              <w:rPr>
                <w:szCs w:val="20"/>
              </w:rPr>
            </w:pPr>
            <w:r w:rsidRPr="002926D7">
              <w:rPr>
                <w:szCs w:val="20"/>
              </w:rPr>
              <w:t>FSP</w:t>
            </w:r>
          </w:p>
        </w:tc>
        <w:tc>
          <w:tcPr>
            <w:tcW w:w="7406" w:type="dxa"/>
          </w:tcPr>
          <w:p w14:paraId="5A6426E8" w14:textId="3413B598" w:rsidR="00113E09" w:rsidRPr="002926D7" w:rsidRDefault="00113E09" w:rsidP="002926D7">
            <w:pPr>
              <w:spacing w:after="20"/>
              <w:rPr>
                <w:szCs w:val="20"/>
              </w:rPr>
            </w:pPr>
            <w:r w:rsidRPr="002926D7">
              <w:rPr>
                <w:szCs w:val="20"/>
              </w:rPr>
              <w:t>Full-sized project</w:t>
            </w:r>
          </w:p>
        </w:tc>
      </w:tr>
      <w:tr w:rsidR="00042327" w:rsidRPr="002926D7" w14:paraId="0EA57BEC" w14:textId="77777777" w:rsidTr="004F7E19">
        <w:tc>
          <w:tcPr>
            <w:tcW w:w="1620" w:type="dxa"/>
          </w:tcPr>
          <w:p w14:paraId="5175F796" w14:textId="188AD681" w:rsidR="00042327" w:rsidRPr="002926D7" w:rsidRDefault="00042327" w:rsidP="002926D7">
            <w:pPr>
              <w:spacing w:after="20"/>
              <w:rPr>
                <w:szCs w:val="20"/>
              </w:rPr>
            </w:pPr>
            <w:r w:rsidRPr="002926D7">
              <w:rPr>
                <w:szCs w:val="20"/>
              </w:rPr>
              <w:t>GBF</w:t>
            </w:r>
          </w:p>
        </w:tc>
        <w:tc>
          <w:tcPr>
            <w:tcW w:w="7406" w:type="dxa"/>
          </w:tcPr>
          <w:p w14:paraId="35A82523" w14:textId="5788291B" w:rsidR="00042327" w:rsidRPr="002926D7" w:rsidRDefault="004E2F47" w:rsidP="002926D7">
            <w:pPr>
              <w:spacing w:after="20"/>
              <w:rPr>
                <w:szCs w:val="20"/>
              </w:rPr>
            </w:pPr>
            <w:r w:rsidRPr="002926D7">
              <w:rPr>
                <w:szCs w:val="20"/>
              </w:rPr>
              <w:t xml:space="preserve">(Kunming-Montreal) </w:t>
            </w:r>
            <w:r w:rsidR="00042327" w:rsidRPr="002926D7">
              <w:rPr>
                <w:szCs w:val="20"/>
              </w:rPr>
              <w:t>Global Biodiversity Framework</w:t>
            </w:r>
          </w:p>
        </w:tc>
      </w:tr>
      <w:tr w:rsidR="00E36CA7" w:rsidRPr="002926D7" w14:paraId="25F810F2" w14:textId="77777777" w:rsidTr="004F7E19">
        <w:tc>
          <w:tcPr>
            <w:tcW w:w="1620" w:type="dxa"/>
          </w:tcPr>
          <w:p w14:paraId="1609AA19" w14:textId="5DD5B607" w:rsidR="00E36CA7" w:rsidRPr="002926D7" w:rsidRDefault="00E36CA7" w:rsidP="002926D7">
            <w:pPr>
              <w:spacing w:after="20"/>
              <w:rPr>
                <w:szCs w:val="20"/>
              </w:rPr>
            </w:pPr>
            <w:r w:rsidRPr="002926D7">
              <w:rPr>
                <w:szCs w:val="20"/>
              </w:rPr>
              <w:t>GBFF</w:t>
            </w:r>
          </w:p>
        </w:tc>
        <w:tc>
          <w:tcPr>
            <w:tcW w:w="7406" w:type="dxa"/>
          </w:tcPr>
          <w:p w14:paraId="0BCF2CD8" w14:textId="612DEC2A" w:rsidR="00E36CA7" w:rsidRPr="002926D7" w:rsidRDefault="00E36CA7" w:rsidP="002926D7">
            <w:pPr>
              <w:spacing w:after="20"/>
              <w:rPr>
                <w:szCs w:val="20"/>
              </w:rPr>
            </w:pPr>
            <w:r w:rsidRPr="002926D7">
              <w:rPr>
                <w:szCs w:val="20"/>
              </w:rPr>
              <w:t>Global Biodiversity Framework Fund</w:t>
            </w:r>
          </w:p>
        </w:tc>
      </w:tr>
      <w:tr w:rsidR="00042327" w:rsidRPr="002926D7" w14:paraId="103C81D2" w14:textId="77777777" w:rsidTr="004F7E19">
        <w:tc>
          <w:tcPr>
            <w:tcW w:w="1620" w:type="dxa"/>
          </w:tcPr>
          <w:p w14:paraId="6E07AE68" w14:textId="77777777" w:rsidR="00042327" w:rsidRPr="002926D7" w:rsidRDefault="00042327" w:rsidP="002926D7">
            <w:pPr>
              <w:spacing w:after="20"/>
              <w:rPr>
                <w:szCs w:val="20"/>
              </w:rPr>
            </w:pPr>
            <w:r w:rsidRPr="002926D7">
              <w:rPr>
                <w:szCs w:val="20"/>
              </w:rPr>
              <w:t>GEF</w:t>
            </w:r>
          </w:p>
        </w:tc>
        <w:tc>
          <w:tcPr>
            <w:tcW w:w="7406" w:type="dxa"/>
          </w:tcPr>
          <w:p w14:paraId="37BAB19C" w14:textId="77777777" w:rsidR="00042327" w:rsidRPr="002926D7" w:rsidRDefault="00042327" w:rsidP="002926D7">
            <w:pPr>
              <w:spacing w:after="20"/>
              <w:rPr>
                <w:szCs w:val="20"/>
              </w:rPr>
            </w:pPr>
            <w:r w:rsidRPr="002926D7">
              <w:rPr>
                <w:szCs w:val="20"/>
              </w:rPr>
              <w:t>Global Environment Facility</w:t>
            </w:r>
          </w:p>
        </w:tc>
      </w:tr>
      <w:tr w:rsidR="00042327" w:rsidRPr="002926D7" w14:paraId="53132A71" w14:textId="77777777" w:rsidTr="004F7E19">
        <w:tc>
          <w:tcPr>
            <w:tcW w:w="1620" w:type="dxa"/>
          </w:tcPr>
          <w:p w14:paraId="2712D637" w14:textId="72746D16" w:rsidR="00042327" w:rsidRPr="002926D7" w:rsidRDefault="00042327" w:rsidP="002926D7">
            <w:pPr>
              <w:spacing w:after="20"/>
              <w:rPr>
                <w:szCs w:val="20"/>
              </w:rPr>
            </w:pPr>
            <w:r w:rsidRPr="002926D7">
              <w:rPr>
                <w:szCs w:val="20"/>
              </w:rPr>
              <w:t>GEF SEC</w:t>
            </w:r>
          </w:p>
        </w:tc>
        <w:tc>
          <w:tcPr>
            <w:tcW w:w="7406" w:type="dxa"/>
          </w:tcPr>
          <w:p w14:paraId="18B0D61F" w14:textId="25ADB1D2" w:rsidR="00042327" w:rsidRPr="002926D7" w:rsidRDefault="00042327" w:rsidP="002926D7">
            <w:pPr>
              <w:spacing w:after="20"/>
              <w:rPr>
                <w:szCs w:val="20"/>
              </w:rPr>
            </w:pPr>
            <w:r w:rsidRPr="002926D7">
              <w:rPr>
                <w:szCs w:val="20"/>
              </w:rPr>
              <w:t>GEF Secretariat</w:t>
            </w:r>
          </w:p>
        </w:tc>
      </w:tr>
      <w:tr w:rsidR="00042327" w:rsidRPr="002926D7" w14:paraId="559E33BB" w14:textId="77777777" w:rsidTr="004F7E19">
        <w:tc>
          <w:tcPr>
            <w:tcW w:w="1620" w:type="dxa"/>
          </w:tcPr>
          <w:p w14:paraId="2EFB2252" w14:textId="45874BD1" w:rsidR="00042327" w:rsidRPr="002926D7" w:rsidRDefault="00042327" w:rsidP="002926D7">
            <w:pPr>
              <w:spacing w:after="20"/>
              <w:rPr>
                <w:rFonts w:cs="Calibri"/>
              </w:rPr>
            </w:pPr>
            <w:r w:rsidRPr="002926D7">
              <w:rPr>
                <w:rFonts w:cs="Calibri"/>
              </w:rPr>
              <w:t>GEF TF</w:t>
            </w:r>
          </w:p>
        </w:tc>
        <w:tc>
          <w:tcPr>
            <w:tcW w:w="7406" w:type="dxa"/>
          </w:tcPr>
          <w:p w14:paraId="73606F64" w14:textId="6B5BB24D" w:rsidR="00042327" w:rsidRPr="002926D7" w:rsidRDefault="00042327" w:rsidP="002926D7">
            <w:pPr>
              <w:spacing w:after="20"/>
              <w:rPr>
                <w:rFonts w:cs="Calibri"/>
              </w:rPr>
            </w:pPr>
            <w:r w:rsidRPr="002926D7">
              <w:rPr>
                <w:rFonts w:cs="Calibri"/>
              </w:rPr>
              <w:t>GEF Trust Fund</w:t>
            </w:r>
          </w:p>
        </w:tc>
      </w:tr>
      <w:tr w:rsidR="00042327" w:rsidRPr="002926D7" w14:paraId="513DA8F3" w14:textId="77777777" w:rsidTr="004F7E19">
        <w:tc>
          <w:tcPr>
            <w:tcW w:w="1620" w:type="dxa"/>
          </w:tcPr>
          <w:p w14:paraId="3C3639B9" w14:textId="3AD6F801" w:rsidR="00042327" w:rsidRPr="002926D7" w:rsidRDefault="00042327" w:rsidP="002926D7">
            <w:pPr>
              <w:spacing w:after="20"/>
              <w:rPr>
                <w:rFonts w:cs="Calibri"/>
              </w:rPr>
            </w:pPr>
            <w:r w:rsidRPr="002926D7">
              <w:rPr>
                <w:rFonts w:cs="Calibri"/>
              </w:rPr>
              <w:t>GEF STAP</w:t>
            </w:r>
          </w:p>
        </w:tc>
        <w:tc>
          <w:tcPr>
            <w:tcW w:w="7406" w:type="dxa"/>
          </w:tcPr>
          <w:p w14:paraId="075133D2" w14:textId="2166508A" w:rsidR="00042327" w:rsidRPr="002926D7" w:rsidRDefault="00042327" w:rsidP="002926D7">
            <w:pPr>
              <w:spacing w:after="20"/>
              <w:rPr>
                <w:rFonts w:cs="Calibri"/>
              </w:rPr>
            </w:pPr>
            <w:r w:rsidRPr="002926D7">
              <w:rPr>
                <w:rFonts w:cs="Calibri"/>
              </w:rPr>
              <w:t>GEF Scientific and Technical Advisory Panel</w:t>
            </w:r>
          </w:p>
        </w:tc>
      </w:tr>
      <w:tr w:rsidR="00042327" w:rsidRPr="002926D7" w14:paraId="3B7BACD3" w14:textId="77777777" w:rsidTr="004F7E19">
        <w:tc>
          <w:tcPr>
            <w:tcW w:w="1620" w:type="dxa"/>
          </w:tcPr>
          <w:p w14:paraId="16673FA0" w14:textId="1FF18785" w:rsidR="00042327" w:rsidRPr="002926D7" w:rsidRDefault="00042327" w:rsidP="002926D7">
            <w:pPr>
              <w:spacing w:after="20"/>
              <w:rPr>
                <w:rFonts w:cs="Calibri"/>
              </w:rPr>
            </w:pPr>
            <w:r w:rsidRPr="002926D7">
              <w:rPr>
                <w:rFonts w:cs="Calibri"/>
              </w:rPr>
              <w:t>GHG</w:t>
            </w:r>
          </w:p>
        </w:tc>
        <w:tc>
          <w:tcPr>
            <w:tcW w:w="7406" w:type="dxa"/>
          </w:tcPr>
          <w:p w14:paraId="120095B3" w14:textId="28763387" w:rsidR="00042327" w:rsidRPr="002926D7" w:rsidRDefault="00042327" w:rsidP="002926D7">
            <w:pPr>
              <w:spacing w:after="20"/>
              <w:rPr>
                <w:rFonts w:cs="Calibri"/>
              </w:rPr>
            </w:pPr>
            <w:r w:rsidRPr="002926D7">
              <w:rPr>
                <w:rFonts w:cs="Calibri"/>
              </w:rPr>
              <w:t>Greenhouse gas</w:t>
            </w:r>
          </w:p>
        </w:tc>
      </w:tr>
      <w:tr w:rsidR="00042327" w:rsidRPr="002926D7" w14:paraId="03826112" w14:textId="77777777" w:rsidTr="004F7E19">
        <w:tc>
          <w:tcPr>
            <w:tcW w:w="1620" w:type="dxa"/>
          </w:tcPr>
          <w:p w14:paraId="0FEA0DD1" w14:textId="5C10FDB7" w:rsidR="00042327" w:rsidRPr="002926D7" w:rsidRDefault="00042327" w:rsidP="002926D7">
            <w:pPr>
              <w:spacing w:after="20"/>
              <w:rPr>
                <w:szCs w:val="20"/>
              </w:rPr>
            </w:pPr>
            <w:r w:rsidRPr="002926D7">
              <w:rPr>
                <w:szCs w:val="20"/>
              </w:rPr>
              <w:t>GRM</w:t>
            </w:r>
          </w:p>
        </w:tc>
        <w:tc>
          <w:tcPr>
            <w:tcW w:w="7406" w:type="dxa"/>
          </w:tcPr>
          <w:p w14:paraId="2120D46F" w14:textId="72FD91EA" w:rsidR="00042327" w:rsidRPr="002926D7" w:rsidRDefault="00042327" w:rsidP="002926D7">
            <w:pPr>
              <w:spacing w:after="20"/>
              <w:rPr>
                <w:szCs w:val="20"/>
              </w:rPr>
            </w:pPr>
            <w:r w:rsidRPr="002926D7">
              <w:rPr>
                <w:szCs w:val="20"/>
              </w:rPr>
              <w:t>Grievance Redress Mechanism</w:t>
            </w:r>
          </w:p>
        </w:tc>
      </w:tr>
      <w:tr w:rsidR="00042327" w:rsidRPr="002926D7" w14:paraId="3408F881" w14:textId="77777777" w:rsidTr="004F7E19">
        <w:tc>
          <w:tcPr>
            <w:tcW w:w="1620" w:type="dxa"/>
          </w:tcPr>
          <w:p w14:paraId="3E679579" w14:textId="77777777" w:rsidR="00042327" w:rsidRPr="002926D7" w:rsidRDefault="00042327" w:rsidP="002926D7">
            <w:pPr>
              <w:spacing w:after="20"/>
              <w:rPr>
                <w:szCs w:val="20"/>
              </w:rPr>
            </w:pPr>
            <w:r w:rsidRPr="002926D7">
              <w:rPr>
                <w:szCs w:val="20"/>
              </w:rPr>
              <w:t>ha</w:t>
            </w:r>
          </w:p>
        </w:tc>
        <w:tc>
          <w:tcPr>
            <w:tcW w:w="7406" w:type="dxa"/>
          </w:tcPr>
          <w:p w14:paraId="26DE2A49" w14:textId="77777777" w:rsidR="00042327" w:rsidRPr="002926D7" w:rsidRDefault="00042327" w:rsidP="002926D7">
            <w:pPr>
              <w:spacing w:after="20"/>
              <w:rPr>
                <w:szCs w:val="20"/>
              </w:rPr>
            </w:pPr>
            <w:r w:rsidRPr="002926D7">
              <w:rPr>
                <w:szCs w:val="20"/>
              </w:rPr>
              <w:t>Hectare</w:t>
            </w:r>
          </w:p>
        </w:tc>
      </w:tr>
      <w:tr w:rsidR="00042327" w:rsidRPr="002926D7" w14:paraId="2FB27564" w14:textId="77777777" w:rsidTr="004F7E19">
        <w:tc>
          <w:tcPr>
            <w:tcW w:w="1620" w:type="dxa"/>
          </w:tcPr>
          <w:p w14:paraId="63C12B24" w14:textId="6D576E8D" w:rsidR="00042327" w:rsidRPr="002926D7" w:rsidRDefault="00042327" w:rsidP="002926D7">
            <w:pPr>
              <w:spacing w:after="20"/>
              <w:rPr>
                <w:szCs w:val="20"/>
              </w:rPr>
            </w:pPr>
            <w:r w:rsidRPr="002926D7">
              <w:rPr>
                <w:szCs w:val="20"/>
              </w:rPr>
              <w:t>HACT</w:t>
            </w:r>
          </w:p>
        </w:tc>
        <w:tc>
          <w:tcPr>
            <w:tcW w:w="7406" w:type="dxa"/>
          </w:tcPr>
          <w:p w14:paraId="04A10110" w14:textId="0DB67261" w:rsidR="00042327" w:rsidRPr="002926D7" w:rsidRDefault="00042327" w:rsidP="002926D7">
            <w:pPr>
              <w:spacing w:after="20"/>
              <w:rPr>
                <w:szCs w:val="20"/>
              </w:rPr>
            </w:pPr>
            <w:r w:rsidRPr="002926D7">
              <w:rPr>
                <w:szCs w:val="20"/>
              </w:rPr>
              <w:t>Harmonized Approach to Cash Transfers</w:t>
            </w:r>
          </w:p>
        </w:tc>
      </w:tr>
      <w:tr w:rsidR="003B2FDF" w:rsidRPr="002926D7" w14:paraId="463F3771" w14:textId="77777777" w:rsidTr="004F7E19">
        <w:tc>
          <w:tcPr>
            <w:tcW w:w="1620" w:type="dxa"/>
          </w:tcPr>
          <w:p w14:paraId="33A8D5C0" w14:textId="629A34B7" w:rsidR="003B2FDF" w:rsidRPr="002926D7" w:rsidRDefault="003B2FDF" w:rsidP="002926D7">
            <w:pPr>
              <w:spacing w:after="20"/>
              <w:rPr>
                <w:szCs w:val="20"/>
              </w:rPr>
            </w:pPr>
            <w:r w:rsidRPr="002926D7">
              <w:rPr>
                <w:szCs w:val="20"/>
              </w:rPr>
              <w:t>ICCA</w:t>
            </w:r>
          </w:p>
        </w:tc>
        <w:tc>
          <w:tcPr>
            <w:tcW w:w="7406" w:type="dxa"/>
          </w:tcPr>
          <w:p w14:paraId="6F1CFDBD" w14:textId="067230FA" w:rsidR="003B2FDF" w:rsidRPr="002926D7" w:rsidRDefault="003B2FDF" w:rsidP="002926D7">
            <w:pPr>
              <w:spacing w:after="20"/>
              <w:rPr>
                <w:szCs w:val="20"/>
              </w:rPr>
            </w:pPr>
            <w:r w:rsidRPr="002926D7">
              <w:t>Indigenous Peoples and Community Conserved Territories and Areas</w:t>
            </w:r>
          </w:p>
        </w:tc>
      </w:tr>
      <w:tr w:rsidR="003B2FDF" w:rsidRPr="002926D7" w14:paraId="2D998944" w14:textId="77777777" w:rsidTr="004F7E19">
        <w:tc>
          <w:tcPr>
            <w:tcW w:w="1620" w:type="dxa"/>
          </w:tcPr>
          <w:p w14:paraId="18EEF267" w14:textId="1BD8E4F5" w:rsidR="003B2FDF" w:rsidRPr="002926D7" w:rsidRDefault="003B2FDF" w:rsidP="002926D7">
            <w:pPr>
              <w:spacing w:after="20"/>
              <w:rPr>
                <w:szCs w:val="20"/>
              </w:rPr>
            </w:pPr>
            <w:r w:rsidRPr="002926D7">
              <w:rPr>
                <w:szCs w:val="20"/>
              </w:rPr>
              <w:t>ICCA GSI</w:t>
            </w:r>
          </w:p>
        </w:tc>
        <w:tc>
          <w:tcPr>
            <w:tcW w:w="7406" w:type="dxa"/>
          </w:tcPr>
          <w:p w14:paraId="21D61969" w14:textId="6BBE42BB" w:rsidR="003B2FDF" w:rsidRPr="002926D7" w:rsidRDefault="003B2FDF" w:rsidP="002926D7">
            <w:pPr>
              <w:spacing w:after="20"/>
              <w:rPr>
                <w:szCs w:val="20"/>
              </w:rPr>
            </w:pPr>
            <w:r w:rsidRPr="002926D7">
              <w:t xml:space="preserve">Global ICCA Support Initiative </w:t>
            </w:r>
          </w:p>
        </w:tc>
      </w:tr>
      <w:tr w:rsidR="00042327" w:rsidRPr="002926D7" w14:paraId="54B3EC0D" w14:textId="77777777" w:rsidTr="004F7E19">
        <w:tc>
          <w:tcPr>
            <w:tcW w:w="1620" w:type="dxa"/>
          </w:tcPr>
          <w:p w14:paraId="3446C14D" w14:textId="0738270E" w:rsidR="00042327" w:rsidRPr="002926D7" w:rsidRDefault="00042327" w:rsidP="002926D7">
            <w:pPr>
              <w:spacing w:after="20"/>
              <w:rPr>
                <w:szCs w:val="20"/>
              </w:rPr>
            </w:pPr>
            <w:r w:rsidRPr="002926D7">
              <w:rPr>
                <w:szCs w:val="20"/>
              </w:rPr>
              <w:t>KBA</w:t>
            </w:r>
          </w:p>
        </w:tc>
        <w:tc>
          <w:tcPr>
            <w:tcW w:w="7406" w:type="dxa"/>
          </w:tcPr>
          <w:p w14:paraId="197265B1" w14:textId="6EB01F19" w:rsidR="00042327" w:rsidRPr="002926D7" w:rsidRDefault="00042327" w:rsidP="002926D7">
            <w:pPr>
              <w:spacing w:after="20"/>
              <w:rPr>
                <w:szCs w:val="20"/>
              </w:rPr>
            </w:pPr>
            <w:r w:rsidRPr="002926D7">
              <w:rPr>
                <w:szCs w:val="20"/>
              </w:rPr>
              <w:t>Key biodiversity area</w:t>
            </w:r>
          </w:p>
        </w:tc>
      </w:tr>
      <w:tr w:rsidR="00042327" w:rsidRPr="002926D7" w14:paraId="422DA447" w14:textId="77777777" w:rsidTr="004F7E19">
        <w:tc>
          <w:tcPr>
            <w:tcW w:w="1620" w:type="dxa"/>
          </w:tcPr>
          <w:p w14:paraId="4BA4142B" w14:textId="74F130D4" w:rsidR="00042327" w:rsidRPr="002926D7" w:rsidRDefault="00042327" w:rsidP="002926D7">
            <w:pPr>
              <w:spacing w:after="20"/>
              <w:rPr>
                <w:szCs w:val="20"/>
              </w:rPr>
            </w:pPr>
            <w:r w:rsidRPr="002926D7">
              <w:rPr>
                <w:szCs w:val="20"/>
              </w:rPr>
              <w:t>KM</w:t>
            </w:r>
          </w:p>
        </w:tc>
        <w:tc>
          <w:tcPr>
            <w:tcW w:w="7406" w:type="dxa"/>
          </w:tcPr>
          <w:p w14:paraId="70A6984D" w14:textId="78A790B2" w:rsidR="00042327" w:rsidRPr="002926D7" w:rsidRDefault="00042327" w:rsidP="002926D7">
            <w:pPr>
              <w:spacing w:after="20"/>
              <w:rPr>
                <w:szCs w:val="20"/>
              </w:rPr>
            </w:pPr>
            <w:r w:rsidRPr="002926D7">
              <w:rPr>
                <w:szCs w:val="20"/>
              </w:rPr>
              <w:t>Knowledge management</w:t>
            </w:r>
          </w:p>
        </w:tc>
      </w:tr>
      <w:tr w:rsidR="000D01CE" w:rsidRPr="002926D7" w14:paraId="0BD0F671" w14:textId="77777777" w:rsidTr="004F7E19">
        <w:tc>
          <w:tcPr>
            <w:tcW w:w="1620" w:type="dxa"/>
          </w:tcPr>
          <w:p w14:paraId="557641A9" w14:textId="74B68926" w:rsidR="000D01CE" w:rsidRPr="002926D7" w:rsidRDefault="000D01CE" w:rsidP="002926D7">
            <w:pPr>
              <w:spacing w:after="20"/>
              <w:rPr>
                <w:szCs w:val="20"/>
              </w:rPr>
            </w:pPr>
            <w:r w:rsidRPr="002926D7">
              <w:rPr>
                <w:szCs w:val="20"/>
              </w:rPr>
              <w:t>LD</w:t>
            </w:r>
          </w:p>
        </w:tc>
        <w:tc>
          <w:tcPr>
            <w:tcW w:w="7406" w:type="dxa"/>
          </w:tcPr>
          <w:p w14:paraId="34C1D9E5" w14:textId="024202B8" w:rsidR="000D01CE" w:rsidRPr="002926D7" w:rsidRDefault="000D01CE" w:rsidP="002926D7">
            <w:pPr>
              <w:spacing w:after="20"/>
              <w:rPr>
                <w:szCs w:val="20"/>
              </w:rPr>
            </w:pPr>
            <w:r w:rsidRPr="002926D7">
              <w:rPr>
                <w:szCs w:val="20"/>
              </w:rPr>
              <w:t>Land degradation (GEF focal area)</w:t>
            </w:r>
          </w:p>
        </w:tc>
      </w:tr>
      <w:tr w:rsidR="003B2FDF" w:rsidRPr="002926D7" w14:paraId="137EF837" w14:textId="77777777" w:rsidTr="004F7E19">
        <w:tc>
          <w:tcPr>
            <w:tcW w:w="1620" w:type="dxa"/>
          </w:tcPr>
          <w:p w14:paraId="332D5977" w14:textId="7BA833EA" w:rsidR="003B2FDF" w:rsidRPr="002926D7" w:rsidRDefault="003B2FDF" w:rsidP="002926D7">
            <w:pPr>
              <w:spacing w:after="20"/>
              <w:rPr>
                <w:szCs w:val="20"/>
              </w:rPr>
            </w:pPr>
            <w:r w:rsidRPr="002926D7">
              <w:t>LNOB</w:t>
            </w:r>
          </w:p>
        </w:tc>
        <w:tc>
          <w:tcPr>
            <w:tcW w:w="7406" w:type="dxa"/>
          </w:tcPr>
          <w:p w14:paraId="6DCE0411" w14:textId="7EDC815A" w:rsidR="003B2FDF" w:rsidRPr="002926D7" w:rsidRDefault="003B2FDF" w:rsidP="002926D7">
            <w:pPr>
              <w:spacing w:after="20"/>
              <w:rPr>
                <w:szCs w:val="20"/>
              </w:rPr>
            </w:pPr>
            <w:r w:rsidRPr="002926D7">
              <w:rPr>
                <w:rFonts w:eastAsia="Calibri" w:cs="Calibri"/>
                <w:szCs w:val="20"/>
              </w:rPr>
              <w:t>Leaving No-One Behind</w:t>
            </w:r>
          </w:p>
        </w:tc>
      </w:tr>
      <w:tr w:rsidR="00042327" w:rsidRPr="002926D7" w14:paraId="2BB92A1D" w14:textId="77777777" w:rsidTr="004F7E19">
        <w:tc>
          <w:tcPr>
            <w:tcW w:w="1620" w:type="dxa"/>
          </w:tcPr>
          <w:p w14:paraId="2A0A3791" w14:textId="77777777" w:rsidR="00042327" w:rsidRPr="002926D7" w:rsidRDefault="00042327" w:rsidP="002926D7">
            <w:pPr>
              <w:spacing w:after="20"/>
              <w:rPr>
                <w:szCs w:val="20"/>
              </w:rPr>
            </w:pPr>
            <w:r w:rsidRPr="002926D7">
              <w:rPr>
                <w:szCs w:val="20"/>
              </w:rPr>
              <w:t>M&amp;E</w:t>
            </w:r>
          </w:p>
        </w:tc>
        <w:tc>
          <w:tcPr>
            <w:tcW w:w="7406" w:type="dxa"/>
          </w:tcPr>
          <w:p w14:paraId="65027E6E" w14:textId="26F283EA" w:rsidR="00042327" w:rsidRPr="002926D7" w:rsidRDefault="00042327" w:rsidP="002926D7">
            <w:pPr>
              <w:spacing w:after="20"/>
              <w:rPr>
                <w:szCs w:val="20"/>
              </w:rPr>
            </w:pPr>
            <w:r w:rsidRPr="002926D7">
              <w:rPr>
                <w:szCs w:val="20"/>
              </w:rPr>
              <w:t>Monitoring and evaluation</w:t>
            </w:r>
          </w:p>
        </w:tc>
      </w:tr>
      <w:tr w:rsidR="00E36CA7" w:rsidRPr="002926D7" w14:paraId="7EB99798" w14:textId="77777777" w:rsidTr="004F7E19">
        <w:tc>
          <w:tcPr>
            <w:tcW w:w="1620" w:type="dxa"/>
          </w:tcPr>
          <w:p w14:paraId="238AD93C" w14:textId="323AF0BA" w:rsidR="00E36CA7" w:rsidRPr="002926D7" w:rsidRDefault="00E36CA7" w:rsidP="002926D7">
            <w:pPr>
              <w:spacing w:after="20"/>
              <w:rPr>
                <w:szCs w:val="20"/>
              </w:rPr>
            </w:pPr>
            <w:r w:rsidRPr="002926D7">
              <w:rPr>
                <w:szCs w:val="20"/>
              </w:rPr>
              <w:t>MEA</w:t>
            </w:r>
          </w:p>
        </w:tc>
        <w:tc>
          <w:tcPr>
            <w:tcW w:w="7406" w:type="dxa"/>
          </w:tcPr>
          <w:p w14:paraId="20BC9C01" w14:textId="0E2BDE13" w:rsidR="00E36CA7" w:rsidRPr="002926D7" w:rsidRDefault="00E36CA7" w:rsidP="002926D7">
            <w:pPr>
              <w:spacing w:after="20"/>
              <w:rPr>
                <w:szCs w:val="20"/>
              </w:rPr>
            </w:pPr>
            <w:r w:rsidRPr="002926D7">
              <w:rPr>
                <w:szCs w:val="20"/>
              </w:rPr>
              <w:t>Multilateral environmental agreement</w:t>
            </w:r>
          </w:p>
        </w:tc>
      </w:tr>
      <w:tr w:rsidR="00042327" w:rsidRPr="002926D7" w14:paraId="6B70282A" w14:textId="77777777" w:rsidTr="004F7E19">
        <w:tc>
          <w:tcPr>
            <w:tcW w:w="1620" w:type="dxa"/>
          </w:tcPr>
          <w:p w14:paraId="680C08E0" w14:textId="27241256" w:rsidR="00042327" w:rsidRPr="002926D7" w:rsidRDefault="00042327" w:rsidP="002926D7">
            <w:pPr>
              <w:spacing w:after="20"/>
              <w:rPr>
                <w:szCs w:val="20"/>
              </w:rPr>
            </w:pPr>
            <w:r w:rsidRPr="002926D7">
              <w:rPr>
                <w:szCs w:val="20"/>
              </w:rPr>
              <w:t>METT</w:t>
            </w:r>
          </w:p>
        </w:tc>
        <w:tc>
          <w:tcPr>
            <w:tcW w:w="7406" w:type="dxa"/>
          </w:tcPr>
          <w:p w14:paraId="30BD5B9B" w14:textId="40669DFD" w:rsidR="00042327" w:rsidRPr="002926D7" w:rsidRDefault="00042327" w:rsidP="002926D7">
            <w:pPr>
              <w:spacing w:after="20"/>
              <w:rPr>
                <w:szCs w:val="20"/>
              </w:rPr>
            </w:pPr>
            <w:r w:rsidRPr="002926D7">
              <w:rPr>
                <w:szCs w:val="20"/>
              </w:rPr>
              <w:t>Management Effectiveness Tracking Tool</w:t>
            </w:r>
          </w:p>
        </w:tc>
      </w:tr>
      <w:tr w:rsidR="00042327" w:rsidRPr="002926D7" w14:paraId="461594C1" w14:textId="77777777" w:rsidTr="004F7E19">
        <w:tc>
          <w:tcPr>
            <w:tcW w:w="1620" w:type="dxa"/>
          </w:tcPr>
          <w:p w14:paraId="57203562" w14:textId="69B1B175" w:rsidR="00042327" w:rsidRPr="002926D7" w:rsidRDefault="00042327" w:rsidP="002926D7">
            <w:pPr>
              <w:spacing w:after="20"/>
              <w:rPr>
                <w:szCs w:val="20"/>
              </w:rPr>
            </w:pPr>
            <w:r w:rsidRPr="002926D7">
              <w:rPr>
                <w:szCs w:val="20"/>
              </w:rPr>
              <w:t>MoA / MoU</w:t>
            </w:r>
          </w:p>
        </w:tc>
        <w:tc>
          <w:tcPr>
            <w:tcW w:w="7406" w:type="dxa"/>
          </w:tcPr>
          <w:p w14:paraId="09ACD289" w14:textId="5E5328C2" w:rsidR="00042327" w:rsidRPr="002926D7" w:rsidRDefault="00042327" w:rsidP="002926D7">
            <w:pPr>
              <w:spacing w:after="20"/>
              <w:rPr>
                <w:szCs w:val="20"/>
              </w:rPr>
            </w:pPr>
            <w:r w:rsidRPr="002926D7">
              <w:rPr>
                <w:szCs w:val="20"/>
              </w:rPr>
              <w:t>Memorandum of Agreement / Memorandum of Understanding</w:t>
            </w:r>
          </w:p>
        </w:tc>
      </w:tr>
      <w:tr w:rsidR="00042327" w:rsidRPr="002926D7" w14:paraId="47C37895" w14:textId="77777777" w:rsidTr="004F7E19">
        <w:tc>
          <w:tcPr>
            <w:tcW w:w="1620" w:type="dxa"/>
          </w:tcPr>
          <w:p w14:paraId="4A8C233B" w14:textId="262EA1E4" w:rsidR="00042327" w:rsidRPr="002926D7" w:rsidRDefault="00042327" w:rsidP="002926D7">
            <w:pPr>
              <w:spacing w:after="20"/>
              <w:rPr>
                <w:szCs w:val="20"/>
              </w:rPr>
            </w:pPr>
            <w:r w:rsidRPr="002926D7">
              <w:rPr>
                <w:szCs w:val="20"/>
              </w:rPr>
              <w:t>MPA</w:t>
            </w:r>
          </w:p>
        </w:tc>
        <w:tc>
          <w:tcPr>
            <w:tcW w:w="7406" w:type="dxa"/>
          </w:tcPr>
          <w:p w14:paraId="7D3079F4" w14:textId="5B8D39FC" w:rsidR="00042327" w:rsidRPr="002926D7" w:rsidRDefault="00042327" w:rsidP="002926D7">
            <w:pPr>
              <w:spacing w:after="20"/>
              <w:rPr>
                <w:szCs w:val="20"/>
              </w:rPr>
            </w:pPr>
            <w:r w:rsidRPr="002926D7">
              <w:rPr>
                <w:szCs w:val="20"/>
              </w:rPr>
              <w:t>Marine protected area</w:t>
            </w:r>
          </w:p>
        </w:tc>
      </w:tr>
      <w:tr w:rsidR="004F7E19" w:rsidRPr="002926D7" w14:paraId="50F39BE1" w14:textId="77777777" w:rsidTr="004F7E19">
        <w:tc>
          <w:tcPr>
            <w:tcW w:w="1620" w:type="dxa"/>
          </w:tcPr>
          <w:p w14:paraId="4D552218" w14:textId="03C029B6" w:rsidR="004F7E19" w:rsidRPr="002926D7" w:rsidRDefault="004F7E19" w:rsidP="002926D7">
            <w:pPr>
              <w:spacing w:after="20"/>
              <w:rPr>
                <w:szCs w:val="20"/>
              </w:rPr>
            </w:pPr>
            <w:r w:rsidRPr="002926D7">
              <w:rPr>
                <w:szCs w:val="20"/>
              </w:rPr>
              <w:t>MPS</w:t>
            </w:r>
          </w:p>
        </w:tc>
        <w:tc>
          <w:tcPr>
            <w:tcW w:w="7406" w:type="dxa"/>
          </w:tcPr>
          <w:p w14:paraId="5609CC68" w14:textId="78CAA467" w:rsidR="004F7E19" w:rsidRPr="002926D7" w:rsidRDefault="004F7E19" w:rsidP="002926D7">
            <w:pPr>
              <w:spacing w:after="20"/>
              <w:rPr>
                <w:szCs w:val="20"/>
              </w:rPr>
            </w:pPr>
            <w:r w:rsidRPr="002926D7">
              <w:rPr>
                <w:szCs w:val="20"/>
              </w:rPr>
              <w:t>Mountain Partnership Secretariat</w:t>
            </w:r>
          </w:p>
        </w:tc>
      </w:tr>
      <w:tr w:rsidR="00042327" w:rsidRPr="002926D7" w14:paraId="61920E72" w14:textId="77777777" w:rsidTr="004F7E19">
        <w:tc>
          <w:tcPr>
            <w:tcW w:w="1620" w:type="dxa"/>
          </w:tcPr>
          <w:p w14:paraId="4BE5BC89" w14:textId="77777777" w:rsidR="00042327" w:rsidRPr="002926D7" w:rsidRDefault="00042327" w:rsidP="002926D7">
            <w:pPr>
              <w:spacing w:after="20"/>
              <w:rPr>
                <w:szCs w:val="20"/>
              </w:rPr>
            </w:pPr>
            <w:r w:rsidRPr="002926D7">
              <w:rPr>
                <w:szCs w:val="20"/>
              </w:rPr>
              <w:t>MTR</w:t>
            </w:r>
          </w:p>
        </w:tc>
        <w:tc>
          <w:tcPr>
            <w:tcW w:w="7406" w:type="dxa"/>
          </w:tcPr>
          <w:p w14:paraId="477EABCF" w14:textId="741AF761" w:rsidR="00042327" w:rsidRPr="002926D7" w:rsidRDefault="00042327" w:rsidP="002926D7">
            <w:pPr>
              <w:spacing w:after="20"/>
              <w:rPr>
                <w:szCs w:val="20"/>
              </w:rPr>
            </w:pPr>
            <w:r w:rsidRPr="002926D7">
              <w:rPr>
                <w:szCs w:val="20"/>
              </w:rPr>
              <w:t>Mid-term review</w:t>
            </w:r>
          </w:p>
        </w:tc>
      </w:tr>
      <w:tr w:rsidR="00042327" w:rsidRPr="002926D7" w14:paraId="162441E2" w14:textId="77777777" w:rsidTr="004F7E19">
        <w:tc>
          <w:tcPr>
            <w:tcW w:w="1620" w:type="dxa"/>
          </w:tcPr>
          <w:p w14:paraId="42F7E193" w14:textId="384DACF3" w:rsidR="00042327" w:rsidRPr="002926D7" w:rsidRDefault="00042327" w:rsidP="002926D7">
            <w:pPr>
              <w:spacing w:after="20"/>
              <w:rPr>
                <w:szCs w:val="20"/>
              </w:rPr>
            </w:pPr>
            <w:r w:rsidRPr="002926D7">
              <w:rPr>
                <w:szCs w:val="20"/>
              </w:rPr>
              <w:t>NBSAP</w:t>
            </w:r>
          </w:p>
        </w:tc>
        <w:tc>
          <w:tcPr>
            <w:tcW w:w="7406" w:type="dxa"/>
          </w:tcPr>
          <w:p w14:paraId="3A958BE2" w14:textId="37B61C5C" w:rsidR="00042327" w:rsidRPr="002926D7" w:rsidRDefault="00042327" w:rsidP="002926D7">
            <w:pPr>
              <w:spacing w:after="20"/>
              <w:rPr>
                <w:szCs w:val="20"/>
              </w:rPr>
            </w:pPr>
            <w:r w:rsidRPr="002926D7">
              <w:rPr>
                <w:szCs w:val="20"/>
              </w:rPr>
              <w:t>National Biodiversity Strategy and Action Plan</w:t>
            </w:r>
          </w:p>
        </w:tc>
      </w:tr>
      <w:tr w:rsidR="000E1BFD" w:rsidRPr="002926D7" w14:paraId="2DDFAF50" w14:textId="77777777" w:rsidTr="004F7E19">
        <w:tc>
          <w:tcPr>
            <w:tcW w:w="1620" w:type="dxa"/>
          </w:tcPr>
          <w:p w14:paraId="761CCE8B" w14:textId="588B259A" w:rsidR="000E1BFD" w:rsidRPr="002926D7" w:rsidRDefault="000E1BFD" w:rsidP="002926D7">
            <w:pPr>
              <w:spacing w:after="20"/>
              <w:rPr>
                <w:szCs w:val="20"/>
              </w:rPr>
            </w:pPr>
            <w:r w:rsidRPr="002926D7">
              <w:rPr>
                <w:szCs w:val="20"/>
              </w:rPr>
              <w:t>NC</w:t>
            </w:r>
          </w:p>
        </w:tc>
        <w:tc>
          <w:tcPr>
            <w:tcW w:w="7406" w:type="dxa"/>
          </w:tcPr>
          <w:p w14:paraId="4A2CA5C1" w14:textId="6AAF0120" w:rsidR="000E1BFD" w:rsidRPr="002926D7" w:rsidRDefault="000E1BFD" w:rsidP="002926D7">
            <w:pPr>
              <w:spacing w:after="20"/>
              <w:rPr>
                <w:szCs w:val="20"/>
              </w:rPr>
            </w:pPr>
            <w:r w:rsidRPr="002926D7">
              <w:rPr>
                <w:szCs w:val="20"/>
              </w:rPr>
              <w:t>National Coordinator</w:t>
            </w:r>
          </w:p>
        </w:tc>
      </w:tr>
      <w:tr w:rsidR="00042327" w:rsidRPr="002926D7" w14:paraId="00E75FA5" w14:textId="77777777" w:rsidTr="004F7E19">
        <w:tc>
          <w:tcPr>
            <w:tcW w:w="1620" w:type="dxa"/>
          </w:tcPr>
          <w:p w14:paraId="7FFDF0A1" w14:textId="4E1F8668" w:rsidR="00042327" w:rsidRPr="002926D7" w:rsidRDefault="00042327" w:rsidP="002926D7">
            <w:pPr>
              <w:spacing w:after="20"/>
              <w:rPr>
                <w:szCs w:val="20"/>
              </w:rPr>
            </w:pPr>
            <w:r w:rsidRPr="002926D7">
              <w:rPr>
                <w:szCs w:val="20"/>
              </w:rPr>
              <w:t>NDC</w:t>
            </w:r>
          </w:p>
        </w:tc>
        <w:tc>
          <w:tcPr>
            <w:tcW w:w="7406" w:type="dxa"/>
          </w:tcPr>
          <w:p w14:paraId="4C0542FA" w14:textId="0F98868C" w:rsidR="00042327" w:rsidRPr="002926D7" w:rsidRDefault="00042327" w:rsidP="002926D7">
            <w:pPr>
              <w:spacing w:after="20"/>
              <w:rPr>
                <w:szCs w:val="20"/>
              </w:rPr>
            </w:pPr>
            <w:r w:rsidRPr="002926D7">
              <w:rPr>
                <w:szCs w:val="20"/>
              </w:rPr>
              <w:t>Nationally Determined Contribution</w:t>
            </w:r>
          </w:p>
        </w:tc>
      </w:tr>
      <w:tr w:rsidR="00042327" w:rsidRPr="002926D7" w14:paraId="0F7518CB" w14:textId="77777777" w:rsidTr="004F7E19">
        <w:tc>
          <w:tcPr>
            <w:tcW w:w="1620" w:type="dxa"/>
          </w:tcPr>
          <w:p w14:paraId="6792F8AB" w14:textId="77777777" w:rsidR="00042327" w:rsidRPr="002926D7" w:rsidRDefault="00042327" w:rsidP="002926D7">
            <w:pPr>
              <w:spacing w:after="20"/>
              <w:rPr>
                <w:szCs w:val="20"/>
              </w:rPr>
            </w:pPr>
            <w:r w:rsidRPr="002926D7">
              <w:rPr>
                <w:szCs w:val="20"/>
              </w:rPr>
              <w:t>NGO</w:t>
            </w:r>
          </w:p>
        </w:tc>
        <w:tc>
          <w:tcPr>
            <w:tcW w:w="7406" w:type="dxa"/>
          </w:tcPr>
          <w:p w14:paraId="0C5AB8ED" w14:textId="4B171999" w:rsidR="00042327" w:rsidRPr="002926D7" w:rsidRDefault="00042327" w:rsidP="002926D7">
            <w:pPr>
              <w:spacing w:after="20"/>
              <w:rPr>
                <w:szCs w:val="20"/>
              </w:rPr>
            </w:pPr>
            <w:r w:rsidRPr="002926D7">
              <w:rPr>
                <w:szCs w:val="20"/>
              </w:rPr>
              <w:t>Non-governmental organization</w:t>
            </w:r>
          </w:p>
        </w:tc>
      </w:tr>
      <w:tr w:rsidR="000E1BFD" w:rsidRPr="002926D7" w14:paraId="38A65676" w14:textId="77777777" w:rsidTr="004F7E19">
        <w:tc>
          <w:tcPr>
            <w:tcW w:w="1620" w:type="dxa"/>
          </w:tcPr>
          <w:p w14:paraId="27AC831D" w14:textId="63A01746" w:rsidR="000E1BFD" w:rsidRPr="002926D7" w:rsidRDefault="000E1BFD" w:rsidP="002926D7">
            <w:pPr>
              <w:spacing w:after="20"/>
              <w:rPr>
                <w:szCs w:val="20"/>
              </w:rPr>
            </w:pPr>
            <w:r w:rsidRPr="002926D7">
              <w:rPr>
                <w:szCs w:val="20"/>
              </w:rPr>
              <w:lastRenderedPageBreak/>
              <w:t>NSC</w:t>
            </w:r>
          </w:p>
        </w:tc>
        <w:tc>
          <w:tcPr>
            <w:tcW w:w="7406" w:type="dxa"/>
          </w:tcPr>
          <w:p w14:paraId="202EA616" w14:textId="25D5A78A" w:rsidR="000E1BFD" w:rsidRPr="002926D7" w:rsidRDefault="000E1BFD" w:rsidP="002926D7">
            <w:pPr>
              <w:spacing w:after="20"/>
              <w:rPr>
                <w:szCs w:val="20"/>
              </w:rPr>
            </w:pPr>
            <w:r w:rsidRPr="002926D7">
              <w:rPr>
                <w:szCs w:val="20"/>
              </w:rPr>
              <w:t>National Steering Committee</w:t>
            </w:r>
          </w:p>
        </w:tc>
      </w:tr>
      <w:tr w:rsidR="00042327" w:rsidRPr="002926D7" w14:paraId="07CF27D8" w14:textId="77777777" w:rsidTr="004F7E19">
        <w:tc>
          <w:tcPr>
            <w:tcW w:w="1620" w:type="dxa"/>
          </w:tcPr>
          <w:p w14:paraId="74015D1F" w14:textId="385635AE" w:rsidR="00042327" w:rsidRPr="002926D7" w:rsidRDefault="00042327" w:rsidP="002926D7">
            <w:pPr>
              <w:spacing w:after="20"/>
              <w:rPr>
                <w:szCs w:val="20"/>
              </w:rPr>
            </w:pPr>
            <w:r w:rsidRPr="002926D7">
              <w:rPr>
                <w:szCs w:val="20"/>
              </w:rPr>
              <w:t>OECMs</w:t>
            </w:r>
          </w:p>
        </w:tc>
        <w:tc>
          <w:tcPr>
            <w:tcW w:w="7406" w:type="dxa"/>
          </w:tcPr>
          <w:p w14:paraId="735E682B" w14:textId="1369BBD5" w:rsidR="00042327" w:rsidRPr="002926D7" w:rsidRDefault="00042327" w:rsidP="002926D7">
            <w:pPr>
              <w:spacing w:after="20"/>
              <w:rPr>
                <w:rFonts w:eastAsia="Calibri" w:cs="Calibri"/>
                <w:szCs w:val="20"/>
              </w:rPr>
            </w:pPr>
            <w:r w:rsidRPr="002926D7">
              <w:rPr>
                <w:rFonts w:eastAsia="Calibri" w:cs="Calibri"/>
                <w:szCs w:val="20"/>
              </w:rPr>
              <w:t>Other effective area-based conservation measures</w:t>
            </w:r>
          </w:p>
        </w:tc>
      </w:tr>
      <w:tr w:rsidR="00042327" w:rsidRPr="002926D7" w14:paraId="223AE439" w14:textId="77777777" w:rsidTr="004F7E19">
        <w:tc>
          <w:tcPr>
            <w:tcW w:w="1620" w:type="dxa"/>
          </w:tcPr>
          <w:p w14:paraId="14EF7071" w14:textId="780D4DAD" w:rsidR="00042327" w:rsidRPr="002926D7" w:rsidRDefault="00042327" w:rsidP="002926D7">
            <w:pPr>
              <w:spacing w:after="20"/>
              <w:rPr>
                <w:szCs w:val="20"/>
              </w:rPr>
            </w:pPr>
            <w:r w:rsidRPr="002926D7">
              <w:rPr>
                <w:szCs w:val="20"/>
              </w:rPr>
              <w:t>OFP</w:t>
            </w:r>
          </w:p>
        </w:tc>
        <w:tc>
          <w:tcPr>
            <w:tcW w:w="7406" w:type="dxa"/>
          </w:tcPr>
          <w:p w14:paraId="40B95D3E" w14:textId="4541AAD5" w:rsidR="00042327" w:rsidRPr="002926D7" w:rsidRDefault="00042327" w:rsidP="002926D7">
            <w:pPr>
              <w:spacing w:after="20"/>
              <w:rPr>
                <w:rFonts w:eastAsia="Calibri" w:cs="Calibri"/>
                <w:szCs w:val="20"/>
              </w:rPr>
            </w:pPr>
            <w:r w:rsidRPr="002926D7">
              <w:rPr>
                <w:rFonts w:eastAsia="Calibri" w:cs="Calibri"/>
                <w:szCs w:val="20"/>
              </w:rPr>
              <w:t>Operational Focal Point (GEF)</w:t>
            </w:r>
          </w:p>
        </w:tc>
      </w:tr>
      <w:tr w:rsidR="000E1BFD" w:rsidRPr="002926D7" w14:paraId="316BB576" w14:textId="77777777" w:rsidTr="004F7E19">
        <w:tc>
          <w:tcPr>
            <w:tcW w:w="1620" w:type="dxa"/>
          </w:tcPr>
          <w:p w14:paraId="46898F20" w14:textId="5B790CBA" w:rsidR="000E1BFD" w:rsidRPr="002926D7" w:rsidRDefault="000E1BFD" w:rsidP="002926D7">
            <w:pPr>
              <w:spacing w:after="20"/>
              <w:rPr>
                <w:szCs w:val="20"/>
              </w:rPr>
            </w:pPr>
            <w:r w:rsidRPr="002926D7">
              <w:rPr>
                <w:szCs w:val="20"/>
              </w:rPr>
              <w:t>PA</w:t>
            </w:r>
          </w:p>
        </w:tc>
        <w:tc>
          <w:tcPr>
            <w:tcW w:w="7406" w:type="dxa"/>
          </w:tcPr>
          <w:p w14:paraId="26449DF0" w14:textId="08325FF9" w:rsidR="000E1BFD" w:rsidRPr="002926D7" w:rsidRDefault="000E1BFD" w:rsidP="002926D7">
            <w:pPr>
              <w:spacing w:after="20"/>
              <w:rPr>
                <w:rFonts w:asciiTheme="minorHAnsi" w:hAnsiTheme="minorHAnsi" w:cstheme="minorHAnsi"/>
                <w:szCs w:val="20"/>
              </w:rPr>
            </w:pPr>
            <w:r w:rsidRPr="002926D7">
              <w:rPr>
                <w:rFonts w:asciiTheme="minorHAnsi" w:hAnsiTheme="minorHAnsi" w:cstheme="minorHAnsi"/>
                <w:szCs w:val="20"/>
              </w:rPr>
              <w:t>Programme Assistant</w:t>
            </w:r>
          </w:p>
        </w:tc>
      </w:tr>
      <w:tr w:rsidR="00042327" w:rsidRPr="002926D7" w14:paraId="3EB903F2" w14:textId="77777777" w:rsidTr="004F7E19">
        <w:tc>
          <w:tcPr>
            <w:tcW w:w="1620" w:type="dxa"/>
          </w:tcPr>
          <w:p w14:paraId="54068E49" w14:textId="3F0A826E" w:rsidR="00042327" w:rsidRPr="002926D7" w:rsidRDefault="00042327" w:rsidP="002926D7">
            <w:pPr>
              <w:spacing w:after="20"/>
              <w:rPr>
                <w:szCs w:val="20"/>
              </w:rPr>
            </w:pPr>
            <w:r w:rsidRPr="002926D7">
              <w:rPr>
                <w:szCs w:val="20"/>
              </w:rPr>
              <w:t>PCAT</w:t>
            </w:r>
          </w:p>
        </w:tc>
        <w:tc>
          <w:tcPr>
            <w:tcW w:w="7406" w:type="dxa"/>
          </w:tcPr>
          <w:p w14:paraId="1A8D6DC6" w14:textId="1732AC19" w:rsidR="00042327" w:rsidRPr="002926D7" w:rsidRDefault="00042327" w:rsidP="002926D7">
            <w:pPr>
              <w:spacing w:after="20"/>
              <w:rPr>
                <w:rFonts w:eastAsia="Calibri" w:cs="Calibri"/>
                <w:szCs w:val="20"/>
              </w:rPr>
            </w:pPr>
            <w:r w:rsidRPr="002926D7">
              <w:rPr>
                <w:rFonts w:asciiTheme="minorHAnsi" w:hAnsiTheme="minorHAnsi" w:cstheme="minorHAnsi"/>
                <w:szCs w:val="20"/>
              </w:rPr>
              <w:t>Partner Capacity Assessment Tool</w:t>
            </w:r>
          </w:p>
        </w:tc>
      </w:tr>
      <w:tr w:rsidR="00042327" w:rsidRPr="002926D7" w14:paraId="6813E4D3" w14:textId="77777777" w:rsidTr="004F7E19">
        <w:tc>
          <w:tcPr>
            <w:tcW w:w="1620" w:type="dxa"/>
          </w:tcPr>
          <w:p w14:paraId="5478FEDA" w14:textId="6BAF625C" w:rsidR="00042327" w:rsidRPr="002926D7" w:rsidRDefault="00042327" w:rsidP="002926D7">
            <w:pPr>
              <w:spacing w:after="20"/>
              <w:rPr>
                <w:szCs w:val="20"/>
              </w:rPr>
            </w:pPr>
            <w:r w:rsidRPr="002926D7">
              <w:rPr>
                <w:szCs w:val="20"/>
              </w:rPr>
              <w:t>PIF</w:t>
            </w:r>
          </w:p>
        </w:tc>
        <w:tc>
          <w:tcPr>
            <w:tcW w:w="7406" w:type="dxa"/>
          </w:tcPr>
          <w:p w14:paraId="40D5E08A" w14:textId="7919A40F" w:rsidR="00042327" w:rsidRPr="002926D7" w:rsidRDefault="00042327" w:rsidP="002926D7">
            <w:pPr>
              <w:spacing w:after="20"/>
              <w:rPr>
                <w:rFonts w:eastAsia="Calibri" w:cs="Calibri"/>
                <w:szCs w:val="20"/>
              </w:rPr>
            </w:pPr>
            <w:r w:rsidRPr="002926D7">
              <w:rPr>
                <w:rFonts w:eastAsia="Calibri" w:cs="Calibri"/>
                <w:szCs w:val="20"/>
              </w:rPr>
              <w:t>Project Identification Form</w:t>
            </w:r>
          </w:p>
        </w:tc>
      </w:tr>
      <w:tr w:rsidR="00042327" w:rsidRPr="002926D7" w14:paraId="0AB275EF" w14:textId="77777777" w:rsidTr="004F7E19">
        <w:tc>
          <w:tcPr>
            <w:tcW w:w="1620" w:type="dxa"/>
          </w:tcPr>
          <w:p w14:paraId="2360E702" w14:textId="77777777" w:rsidR="00042327" w:rsidRPr="002926D7" w:rsidRDefault="00042327" w:rsidP="002926D7">
            <w:pPr>
              <w:spacing w:after="20"/>
              <w:rPr>
                <w:szCs w:val="20"/>
              </w:rPr>
            </w:pPr>
            <w:r w:rsidRPr="002926D7">
              <w:rPr>
                <w:szCs w:val="20"/>
              </w:rPr>
              <w:t>PIMS</w:t>
            </w:r>
          </w:p>
        </w:tc>
        <w:tc>
          <w:tcPr>
            <w:tcW w:w="7406" w:type="dxa"/>
          </w:tcPr>
          <w:p w14:paraId="578B0101" w14:textId="4296231B" w:rsidR="00042327" w:rsidRPr="002926D7" w:rsidRDefault="00042327" w:rsidP="002926D7">
            <w:pPr>
              <w:spacing w:after="20"/>
              <w:rPr>
                <w:szCs w:val="20"/>
              </w:rPr>
            </w:pPr>
            <w:r w:rsidRPr="002926D7">
              <w:rPr>
                <w:rFonts w:eastAsia="Calibri" w:cs="Calibri"/>
                <w:szCs w:val="20"/>
              </w:rPr>
              <w:t>Project information management system</w:t>
            </w:r>
          </w:p>
        </w:tc>
      </w:tr>
      <w:tr w:rsidR="00042327" w:rsidRPr="002926D7" w14:paraId="66B5109A" w14:textId="77777777" w:rsidTr="004F7E19">
        <w:tc>
          <w:tcPr>
            <w:tcW w:w="1620" w:type="dxa"/>
          </w:tcPr>
          <w:p w14:paraId="7B62FAE2" w14:textId="77777777" w:rsidR="00042327" w:rsidRPr="002926D7" w:rsidRDefault="00042327" w:rsidP="002926D7">
            <w:pPr>
              <w:spacing w:after="20"/>
              <w:rPr>
                <w:szCs w:val="20"/>
              </w:rPr>
            </w:pPr>
            <w:r w:rsidRPr="002926D7">
              <w:rPr>
                <w:szCs w:val="20"/>
              </w:rPr>
              <w:t>PIR</w:t>
            </w:r>
          </w:p>
        </w:tc>
        <w:tc>
          <w:tcPr>
            <w:tcW w:w="7406" w:type="dxa"/>
          </w:tcPr>
          <w:p w14:paraId="1F3F9EA0" w14:textId="1422786D" w:rsidR="00042327" w:rsidRPr="002926D7" w:rsidRDefault="00042327" w:rsidP="002926D7">
            <w:pPr>
              <w:spacing w:after="20"/>
              <w:rPr>
                <w:szCs w:val="20"/>
              </w:rPr>
            </w:pPr>
            <w:r w:rsidRPr="002926D7">
              <w:rPr>
                <w:szCs w:val="20"/>
              </w:rPr>
              <w:t>Project implementation report (GEF)</w:t>
            </w:r>
          </w:p>
        </w:tc>
      </w:tr>
      <w:tr w:rsidR="00042327" w:rsidRPr="002926D7" w14:paraId="4E65FEA4" w14:textId="77777777" w:rsidTr="004F7E19">
        <w:tc>
          <w:tcPr>
            <w:tcW w:w="1620" w:type="dxa"/>
          </w:tcPr>
          <w:p w14:paraId="73C13311" w14:textId="512FDBBF" w:rsidR="00042327" w:rsidRPr="002926D7" w:rsidRDefault="00042327" w:rsidP="002926D7">
            <w:pPr>
              <w:spacing w:after="20"/>
              <w:rPr>
                <w:szCs w:val="20"/>
              </w:rPr>
            </w:pPr>
            <w:r w:rsidRPr="002926D7">
              <w:rPr>
                <w:szCs w:val="20"/>
              </w:rPr>
              <w:t>PMC</w:t>
            </w:r>
          </w:p>
        </w:tc>
        <w:tc>
          <w:tcPr>
            <w:tcW w:w="7406" w:type="dxa"/>
          </w:tcPr>
          <w:p w14:paraId="55D102D1" w14:textId="671FF293" w:rsidR="00042327" w:rsidRPr="002926D7" w:rsidRDefault="00042327" w:rsidP="002926D7">
            <w:pPr>
              <w:spacing w:after="20"/>
              <w:rPr>
                <w:rFonts w:cs="Calibri"/>
                <w:szCs w:val="20"/>
              </w:rPr>
            </w:pPr>
            <w:r w:rsidRPr="002926D7">
              <w:rPr>
                <w:rFonts w:cs="Calibri"/>
                <w:szCs w:val="20"/>
              </w:rPr>
              <w:t>Project management cost</w:t>
            </w:r>
          </w:p>
        </w:tc>
      </w:tr>
      <w:tr w:rsidR="00042327" w:rsidRPr="002926D7" w14:paraId="7F330C41" w14:textId="77777777" w:rsidTr="004F7E19">
        <w:tc>
          <w:tcPr>
            <w:tcW w:w="1620" w:type="dxa"/>
          </w:tcPr>
          <w:p w14:paraId="7C2A9EA9" w14:textId="77777777" w:rsidR="00042327" w:rsidRPr="002926D7" w:rsidRDefault="00042327" w:rsidP="002926D7">
            <w:pPr>
              <w:spacing w:after="20"/>
              <w:rPr>
                <w:szCs w:val="20"/>
              </w:rPr>
            </w:pPr>
            <w:r w:rsidRPr="002926D7">
              <w:rPr>
                <w:szCs w:val="20"/>
              </w:rPr>
              <w:t>POPP</w:t>
            </w:r>
          </w:p>
        </w:tc>
        <w:tc>
          <w:tcPr>
            <w:tcW w:w="7406" w:type="dxa"/>
          </w:tcPr>
          <w:p w14:paraId="0A15BE52" w14:textId="0E12D588" w:rsidR="00042327" w:rsidRPr="002926D7" w:rsidRDefault="00042327" w:rsidP="002926D7">
            <w:pPr>
              <w:spacing w:after="20"/>
              <w:rPr>
                <w:szCs w:val="20"/>
              </w:rPr>
            </w:pPr>
            <w:r w:rsidRPr="002926D7">
              <w:rPr>
                <w:rFonts w:cs="Calibri"/>
                <w:szCs w:val="20"/>
              </w:rPr>
              <w:t>Programme and operations policies and procedures</w:t>
            </w:r>
          </w:p>
        </w:tc>
      </w:tr>
      <w:tr w:rsidR="00042327" w:rsidRPr="002926D7" w14:paraId="34A0DB63" w14:textId="77777777" w:rsidTr="004F7E19">
        <w:tc>
          <w:tcPr>
            <w:tcW w:w="1620" w:type="dxa"/>
          </w:tcPr>
          <w:p w14:paraId="50BFD913" w14:textId="0B578720" w:rsidR="00042327" w:rsidRPr="002926D7" w:rsidRDefault="00042327" w:rsidP="002926D7">
            <w:pPr>
              <w:spacing w:after="20"/>
              <w:rPr>
                <w:szCs w:val="20"/>
              </w:rPr>
            </w:pPr>
            <w:r w:rsidRPr="002926D7">
              <w:rPr>
                <w:szCs w:val="20"/>
              </w:rPr>
              <w:t>PoWPA</w:t>
            </w:r>
          </w:p>
        </w:tc>
        <w:tc>
          <w:tcPr>
            <w:tcW w:w="7406" w:type="dxa"/>
          </w:tcPr>
          <w:p w14:paraId="6AF78471" w14:textId="49544094" w:rsidR="00042327" w:rsidRPr="002926D7" w:rsidRDefault="00042327" w:rsidP="002926D7">
            <w:pPr>
              <w:spacing w:after="20"/>
              <w:rPr>
                <w:szCs w:val="20"/>
              </w:rPr>
            </w:pPr>
            <w:r w:rsidRPr="002926D7">
              <w:rPr>
                <w:szCs w:val="20"/>
              </w:rPr>
              <w:t>Programme of Work on Protected Areas</w:t>
            </w:r>
          </w:p>
        </w:tc>
      </w:tr>
      <w:tr w:rsidR="00042327" w:rsidRPr="002926D7" w14:paraId="50887772" w14:textId="77777777" w:rsidTr="004F7E19">
        <w:tc>
          <w:tcPr>
            <w:tcW w:w="1620" w:type="dxa"/>
          </w:tcPr>
          <w:p w14:paraId="5A7EA09E" w14:textId="2FD7E18E" w:rsidR="00042327" w:rsidRPr="002926D7" w:rsidRDefault="00042327" w:rsidP="002926D7">
            <w:pPr>
              <w:spacing w:after="20"/>
              <w:rPr>
                <w:szCs w:val="20"/>
              </w:rPr>
            </w:pPr>
            <w:r w:rsidRPr="002926D7">
              <w:rPr>
                <w:szCs w:val="20"/>
              </w:rPr>
              <w:t>PPP</w:t>
            </w:r>
          </w:p>
        </w:tc>
        <w:tc>
          <w:tcPr>
            <w:tcW w:w="7406" w:type="dxa"/>
          </w:tcPr>
          <w:p w14:paraId="46E4BF37" w14:textId="7122C501" w:rsidR="00042327" w:rsidRPr="002926D7" w:rsidRDefault="00042327" w:rsidP="002926D7">
            <w:pPr>
              <w:spacing w:after="20"/>
              <w:rPr>
                <w:szCs w:val="20"/>
              </w:rPr>
            </w:pPr>
            <w:r w:rsidRPr="002926D7">
              <w:rPr>
                <w:szCs w:val="20"/>
              </w:rPr>
              <w:t>Public-private partnership</w:t>
            </w:r>
          </w:p>
        </w:tc>
      </w:tr>
      <w:tr w:rsidR="00263A3C" w:rsidRPr="002926D7" w14:paraId="39FE0FD4" w14:textId="77777777" w:rsidTr="004F7E19">
        <w:tc>
          <w:tcPr>
            <w:tcW w:w="1620" w:type="dxa"/>
          </w:tcPr>
          <w:p w14:paraId="2266899B" w14:textId="42B39ECB" w:rsidR="00263A3C" w:rsidRPr="002926D7" w:rsidRDefault="00263A3C" w:rsidP="002926D7">
            <w:pPr>
              <w:spacing w:after="20"/>
              <w:rPr>
                <w:szCs w:val="20"/>
              </w:rPr>
            </w:pPr>
            <w:r w:rsidRPr="002926D7">
              <w:rPr>
                <w:szCs w:val="20"/>
              </w:rPr>
              <w:t>PWD</w:t>
            </w:r>
          </w:p>
        </w:tc>
        <w:tc>
          <w:tcPr>
            <w:tcW w:w="7406" w:type="dxa"/>
          </w:tcPr>
          <w:p w14:paraId="52B9B914" w14:textId="24A28D3F" w:rsidR="00263A3C" w:rsidRPr="002926D7" w:rsidRDefault="00263A3C" w:rsidP="002926D7">
            <w:pPr>
              <w:spacing w:after="20"/>
              <w:rPr>
                <w:szCs w:val="20"/>
              </w:rPr>
            </w:pPr>
            <w:r w:rsidRPr="002926D7">
              <w:rPr>
                <w:szCs w:val="20"/>
              </w:rPr>
              <w:t>Persons with disabilities</w:t>
            </w:r>
          </w:p>
        </w:tc>
      </w:tr>
      <w:tr w:rsidR="00042327" w:rsidRPr="002926D7" w14:paraId="579B47C8" w14:textId="77777777" w:rsidTr="004F7E19">
        <w:tc>
          <w:tcPr>
            <w:tcW w:w="1620" w:type="dxa"/>
          </w:tcPr>
          <w:p w14:paraId="42844897" w14:textId="77777777" w:rsidR="00042327" w:rsidRPr="002926D7" w:rsidRDefault="00042327" w:rsidP="002926D7">
            <w:pPr>
              <w:spacing w:after="20"/>
              <w:rPr>
                <w:szCs w:val="20"/>
              </w:rPr>
            </w:pPr>
            <w:r w:rsidRPr="002926D7">
              <w:rPr>
                <w:szCs w:val="20"/>
              </w:rPr>
              <w:t>RTA</w:t>
            </w:r>
          </w:p>
        </w:tc>
        <w:tc>
          <w:tcPr>
            <w:tcW w:w="7406" w:type="dxa"/>
          </w:tcPr>
          <w:p w14:paraId="67E1AC48" w14:textId="77777777" w:rsidR="00042327" w:rsidRPr="002926D7" w:rsidRDefault="00042327" w:rsidP="002926D7">
            <w:pPr>
              <w:spacing w:after="20"/>
              <w:rPr>
                <w:szCs w:val="20"/>
              </w:rPr>
            </w:pPr>
            <w:r w:rsidRPr="002926D7">
              <w:rPr>
                <w:szCs w:val="20"/>
              </w:rPr>
              <w:t>Regional Technical Advisor</w:t>
            </w:r>
          </w:p>
        </w:tc>
      </w:tr>
      <w:tr w:rsidR="00042327" w:rsidRPr="002926D7" w14:paraId="67AB6F3F" w14:textId="77777777" w:rsidTr="004F7E19">
        <w:tc>
          <w:tcPr>
            <w:tcW w:w="1620" w:type="dxa"/>
          </w:tcPr>
          <w:p w14:paraId="7B1DA6A2" w14:textId="77777777" w:rsidR="00042327" w:rsidRPr="002926D7" w:rsidRDefault="00042327" w:rsidP="002926D7">
            <w:pPr>
              <w:spacing w:after="20"/>
              <w:rPr>
                <w:szCs w:val="20"/>
              </w:rPr>
            </w:pPr>
            <w:r w:rsidRPr="002926D7">
              <w:rPr>
                <w:szCs w:val="20"/>
              </w:rPr>
              <w:t>SDG</w:t>
            </w:r>
          </w:p>
        </w:tc>
        <w:tc>
          <w:tcPr>
            <w:tcW w:w="7406" w:type="dxa"/>
          </w:tcPr>
          <w:p w14:paraId="3B8E9308" w14:textId="5E587BD7" w:rsidR="00042327" w:rsidRPr="002926D7" w:rsidRDefault="00042327" w:rsidP="002926D7">
            <w:pPr>
              <w:spacing w:after="20"/>
              <w:rPr>
                <w:szCs w:val="20"/>
              </w:rPr>
            </w:pPr>
            <w:r w:rsidRPr="002926D7">
              <w:rPr>
                <w:szCs w:val="20"/>
              </w:rPr>
              <w:t>Sustainable Development Goal</w:t>
            </w:r>
          </w:p>
        </w:tc>
      </w:tr>
      <w:tr w:rsidR="00042327" w:rsidRPr="002926D7" w14:paraId="4F5FEA6D" w14:textId="77777777" w:rsidTr="004F7E19">
        <w:tc>
          <w:tcPr>
            <w:tcW w:w="1620" w:type="dxa"/>
          </w:tcPr>
          <w:p w14:paraId="6FFDAB4A" w14:textId="27544A43" w:rsidR="00042327" w:rsidRPr="002926D7" w:rsidRDefault="00042327" w:rsidP="002926D7">
            <w:pPr>
              <w:spacing w:after="20"/>
              <w:rPr>
                <w:szCs w:val="20"/>
              </w:rPr>
            </w:pPr>
            <w:r w:rsidRPr="002926D7">
              <w:rPr>
                <w:szCs w:val="20"/>
              </w:rPr>
              <w:t>SEA</w:t>
            </w:r>
          </w:p>
        </w:tc>
        <w:tc>
          <w:tcPr>
            <w:tcW w:w="7406" w:type="dxa"/>
          </w:tcPr>
          <w:p w14:paraId="71A12D9E" w14:textId="616B0153" w:rsidR="00042327" w:rsidRPr="002926D7" w:rsidRDefault="00042327" w:rsidP="002926D7">
            <w:pPr>
              <w:spacing w:after="20"/>
              <w:rPr>
                <w:rFonts w:eastAsia="Calibri" w:cs="Calibri"/>
                <w:szCs w:val="20"/>
              </w:rPr>
            </w:pPr>
            <w:r w:rsidRPr="002926D7">
              <w:rPr>
                <w:rFonts w:eastAsia="Calibri" w:cs="Calibri"/>
                <w:szCs w:val="20"/>
              </w:rPr>
              <w:t>Sexual exploitation and abuse</w:t>
            </w:r>
          </w:p>
        </w:tc>
      </w:tr>
      <w:tr w:rsidR="00042327" w:rsidRPr="002926D7" w14:paraId="5B5475B7" w14:textId="77777777" w:rsidTr="004F7E19">
        <w:tc>
          <w:tcPr>
            <w:tcW w:w="1620" w:type="dxa"/>
          </w:tcPr>
          <w:p w14:paraId="1845057C" w14:textId="1BB40BD6" w:rsidR="00042327" w:rsidRPr="002926D7" w:rsidRDefault="00042327" w:rsidP="002926D7">
            <w:pPr>
              <w:spacing w:after="20"/>
              <w:rPr>
                <w:szCs w:val="20"/>
              </w:rPr>
            </w:pPr>
            <w:r w:rsidRPr="002926D7">
              <w:rPr>
                <w:szCs w:val="20"/>
              </w:rPr>
              <w:t>SECU</w:t>
            </w:r>
          </w:p>
        </w:tc>
        <w:tc>
          <w:tcPr>
            <w:tcW w:w="7406" w:type="dxa"/>
          </w:tcPr>
          <w:p w14:paraId="2AF02F54" w14:textId="52B607C8" w:rsidR="00042327" w:rsidRPr="002926D7" w:rsidRDefault="00042327" w:rsidP="002926D7">
            <w:pPr>
              <w:spacing w:after="20"/>
              <w:rPr>
                <w:rFonts w:eastAsia="Calibri" w:cs="Calibri"/>
                <w:szCs w:val="20"/>
              </w:rPr>
            </w:pPr>
            <w:r w:rsidRPr="002926D7">
              <w:rPr>
                <w:rFonts w:eastAsia="Calibri" w:cs="Calibri"/>
                <w:szCs w:val="20"/>
              </w:rPr>
              <w:t>Social and Environmental Compliance Unit (UNDP)</w:t>
            </w:r>
          </w:p>
        </w:tc>
      </w:tr>
      <w:tr w:rsidR="003B2FDF" w:rsidRPr="002926D7" w14:paraId="798E6481" w14:textId="77777777" w:rsidTr="004F7E19">
        <w:tc>
          <w:tcPr>
            <w:tcW w:w="1620" w:type="dxa"/>
          </w:tcPr>
          <w:p w14:paraId="54672453" w14:textId="2C951EDD" w:rsidR="003B2FDF" w:rsidRPr="002926D7" w:rsidRDefault="003B2FDF" w:rsidP="002926D7">
            <w:pPr>
              <w:spacing w:after="20"/>
              <w:rPr>
                <w:szCs w:val="20"/>
              </w:rPr>
            </w:pPr>
            <w:r w:rsidRPr="002926D7">
              <w:rPr>
                <w:szCs w:val="20"/>
              </w:rPr>
              <w:t>SEPLS</w:t>
            </w:r>
          </w:p>
        </w:tc>
        <w:tc>
          <w:tcPr>
            <w:tcW w:w="7406" w:type="dxa"/>
          </w:tcPr>
          <w:p w14:paraId="13E955D4" w14:textId="46BB4FB6" w:rsidR="003B2FDF" w:rsidRPr="002926D7" w:rsidRDefault="003B2FDF" w:rsidP="002926D7">
            <w:pPr>
              <w:spacing w:after="20"/>
              <w:rPr>
                <w:rFonts w:eastAsia="Calibri" w:cs="Calibri"/>
                <w:szCs w:val="20"/>
              </w:rPr>
            </w:pPr>
            <w:r w:rsidRPr="002926D7">
              <w:t xml:space="preserve">Socio-Ecological Production Landscapes and Seascapes </w:t>
            </w:r>
          </w:p>
        </w:tc>
      </w:tr>
      <w:tr w:rsidR="00042327" w:rsidRPr="002926D7" w14:paraId="12E458C6" w14:textId="77777777" w:rsidTr="004F7E19">
        <w:tc>
          <w:tcPr>
            <w:tcW w:w="1620" w:type="dxa"/>
          </w:tcPr>
          <w:p w14:paraId="1C67E7F0" w14:textId="651C6FB4" w:rsidR="00042327" w:rsidRPr="002926D7" w:rsidRDefault="00042327" w:rsidP="002926D7">
            <w:pPr>
              <w:spacing w:after="20"/>
              <w:rPr>
                <w:szCs w:val="20"/>
              </w:rPr>
            </w:pPr>
            <w:r w:rsidRPr="002926D7">
              <w:rPr>
                <w:szCs w:val="20"/>
              </w:rPr>
              <w:t>SES</w:t>
            </w:r>
          </w:p>
        </w:tc>
        <w:tc>
          <w:tcPr>
            <w:tcW w:w="7406" w:type="dxa"/>
          </w:tcPr>
          <w:p w14:paraId="5939A10D" w14:textId="0EF62928" w:rsidR="00042327" w:rsidRPr="002926D7" w:rsidRDefault="00042327" w:rsidP="002926D7">
            <w:pPr>
              <w:spacing w:after="20"/>
              <w:rPr>
                <w:rFonts w:eastAsia="Calibri" w:cs="Calibri"/>
                <w:szCs w:val="20"/>
              </w:rPr>
            </w:pPr>
            <w:r w:rsidRPr="002926D7">
              <w:rPr>
                <w:rFonts w:eastAsia="Calibri" w:cs="Calibri"/>
                <w:szCs w:val="20"/>
              </w:rPr>
              <w:t>Social and environmental standards (UNDP)</w:t>
            </w:r>
          </w:p>
        </w:tc>
      </w:tr>
      <w:tr w:rsidR="00042327" w:rsidRPr="002926D7" w14:paraId="5885D5B2" w14:textId="77777777" w:rsidTr="004F7E19">
        <w:tc>
          <w:tcPr>
            <w:tcW w:w="1620" w:type="dxa"/>
          </w:tcPr>
          <w:p w14:paraId="174E72A7" w14:textId="361B4AA9" w:rsidR="00042327" w:rsidRPr="002926D7" w:rsidRDefault="00042327" w:rsidP="002926D7">
            <w:pPr>
              <w:spacing w:after="20"/>
              <w:rPr>
                <w:szCs w:val="20"/>
              </w:rPr>
            </w:pPr>
            <w:r w:rsidRPr="002926D7">
              <w:rPr>
                <w:szCs w:val="20"/>
              </w:rPr>
              <w:t>SESP</w:t>
            </w:r>
          </w:p>
        </w:tc>
        <w:tc>
          <w:tcPr>
            <w:tcW w:w="7406" w:type="dxa"/>
          </w:tcPr>
          <w:p w14:paraId="37913408" w14:textId="500C1142" w:rsidR="00042327" w:rsidRPr="002926D7" w:rsidRDefault="00042327" w:rsidP="002926D7">
            <w:pPr>
              <w:spacing w:after="20"/>
              <w:rPr>
                <w:rFonts w:eastAsia="Calibri" w:cs="Calibri"/>
                <w:szCs w:val="20"/>
              </w:rPr>
            </w:pPr>
            <w:r w:rsidRPr="002926D7">
              <w:rPr>
                <w:rFonts w:eastAsia="Calibri" w:cs="Calibri"/>
                <w:szCs w:val="20"/>
              </w:rPr>
              <w:t>Social and environmental screening procedure (UNDP)</w:t>
            </w:r>
          </w:p>
        </w:tc>
      </w:tr>
      <w:tr w:rsidR="00042327" w:rsidRPr="002926D7" w14:paraId="3711A1AD" w14:textId="77777777" w:rsidTr="004F7E19">
        <w:tc>
          <w:tcPr>
            <w:tcW w:w="1620" w:type="dxa"/>
          </w:tcPr>
          <w:p w14:paraId="5C24A08A" w14:textId="3E8C4BF7" w:rsidR="00042327" w:rsidRPr="002926D7" w:rsidRDefault="00042327" w:rsidP="002926D7">
            <w:pPr>
              <w:spacing w:after="20"/>
              <w:rPr>
                <w:szCs w:val="20"/>
              </w:rPr>
            </w:pPr>
            <w:r w:rsidRPr="002926D7">
              <w:rPr>
                <w:szCs w:val="20"/>
              </w:rPr>
              <w:t>SGP</w:t>
            </w:r>
          </w:p>
        </w:tc>
        <w:tc>
          <w:tcPr>
            <w:tcW w:w="7406" w:type="dxa"/>
          </w:tcPr>
          <w:p w14:paraId="042FC127" w14:textId="6FF78A5E" w:rsidR="00042327" w:rsidRPr="002926D7" w:rsidRDefault="00042327" w:rsidP="002926D7">
            <w:pPr>
              <w:spacing w:after="20"/>
              <w:rPr>
                <w:szCs w:val="20"/>
              </w:rPr>
            </w:pPr>
            <w:r w:rsidRPr="002926D7">
              <w:rPr>
                <w:szCs w:val="20"/>
              </w:rPr>
              <w:t>Small Grants Programme</w:t>
            </w:r>
          </w:p>
        </w:tc>
      </w:tr>
      <w:tr w:rsidR="00E36CA7" w:rsidRPr="002926D7" w14:paraId="7B7B798B" w14:textId="77777777" w:rsidTr="004F7E19">
        <w:tc>
          <w:tcPr>
            <w:tcW w:w="1620" w:type="dxa"/>
          </w:tcPr>
          <w:p w14:paraId="3A458247" w14:textId="35B98161" w:rsidR="00E36CA7" w:rsidRPr="002926D7" w:rsidRDefault="00E36CA7" w:rsidP="002926D7">
            <w:pPr>
              <w:spacing w:after="20"/>
              <w:rPr>
                <w:szCs w:val="20"/>
              </w:rPr>
            </w:pPr>
            <w:r w:rsidRPr="002926D7">
              <w:rPr>
                <w:szCs w:val="20"/>
              </w:rPr>
              <w:t>SIDS</w:t>
            </w:r>
          </w:p>
        </w:tc>
        <w:tc>
          <w:tcPr>
            <w:tcW w:w="7406" w:type="dxa"/>
          </w:tcPr>
          <w:p w14:paraId="17A3A19B" w14:textId="6BAD4560" w:rsidR="00E36CA7" w:rsidRPr="002926D7" w:rsidRDefault="00E36CA7" w:rsidP="002926D7">
            <w:pPr>
              <w:spacing w:after="20"/>
              <w:rPr>
                <w:szCs w:val="20"/>
              </w:rPr>
            </w:pPr>
            <w:r w:rsidRPr="002926D7">
              <w:rPr>
                <w:szCs w:val="20"/>
              </w:rPr>
              <w:t>Small Island Developing States</w:t>
            </w:r>
          </w:p>
        </w:tc>
      </w:tr>
      <w:tr w:rsidR="003B2FDF" w:rsidRPr="002926D7" w14:paraId="7A9D5AA1" w14:textId="77777777" w:rsidTr="004F7E19">
        <w:tc>
          <w:tcPr>
            <w:tcW w:w="1620" w:type="dxa"/>
          </w:tcPr>
          <w:p w14:paraId="122087A4" w14:textId="10B1BD42" w:rsidR="003B2FDF" w:rsidRPr="002926D7" w:rsidRDefault="003B2FDF" w:rsidP="002926D7">
            <w:pPr>
              <w:spacing w:after="20"/>
              <w:rPr>
                <w:szCs w:val="20"/>
              </w:rPr>
            </w:pPr>
            <w:r w:rsidRPr="002926D7">
              <w:rPr>
                <w:szCs w:val="20"/>
              </w:rPr>
              <w:t>STAP</w:t>
            </w:r>
          </w:p>
        </w:tc>
        <w:tc>
          <w:tcPr>
            <w:tcW w:w="7406" w:type="dxa"/>
          </w:tcPr>
          <w:p w14:paraId="05006131" w14:textId="24FE665D" w:rsidR="003B2FDF" w:rsidRPr="002926D7" w:rsidRDefault="003B2FDF" w:rsidP="002926D7">
            <w:pPr>
              <w:spacing w:after="20"/>
              <w:rPr>
                <w:szCs w:val="20"/>
              </w:rPr>
            </w:pPr>
            <w:r w:rsidRPr="002926D7">
              <w:t>Scientific and Technical Advisory Panel (GEF)</w:t>
            </w:r>
          </w:p>
        </w:tc>
      </w:tr>
      <w:tr w:rsidR="00042327" w:rsidRPr="002926D7" w14:paraId="2A47BE8A" w14:textId="77777777" w:rsidTr="004F7E19">
        <w:tc>
          <w:tcPr>
            <w:tcW w:w="1620" w:type="dxa"/>
          </w:tcPr>
          <w:p w14:paraId="01AADDC9" w14:textId="77777777" w:rsidR="00042327" w:rsidRPr="002926D7" w:rsidRDefault="00042327" w:rsidP="002926D7">
            <w:pPr>
              <w:spacing w:after="20"/>
              <w:rPr>
                <w:szCs w:val="20"/>
              </w:rPr>
            </w:pPr>
            <w:r w:rsidRPr="002926D7">
              <w:rPr>
                <w:szCs w:val="20"/>
              </w:rPr>
              <w:t>TBD</w:t>
            </w:r>
          </w:p>
        </w:tc>
        <w:tc>
          <w:tcPr>
            <w:tcW w:w="7406" w:type="dxa"/>
          </w:tcPr>
          <w:p w14:paraId="130B0EE9" w14:textId="2C3500FF" w:rsidR="00042327" w:rsidRPr="002926D7" w:rsidRDefault="00042327" w:rsidP="002926D7">
            <w:pPr>
              <w:spacing w:after="20"/>
              <w:rPr>
                <w:szCs w:val="20"/>
              </w:rPr>
            </w:pPr>
            <w:r w:rsidRPr="002926D7">
              <w:rPr>
                <w:szCs w:val="20"/>
              </w:rPr>
              <w:t>To be determined</w:t>
            </w:r>
          </w:p>
        </w:tc>
      </w:tr>
      <w:tr w:rsidR="00042327" w:rsidRPr="002926D7" w14:paraId="131E033F" w14:textId="77777777" w:rsidTr="004F7E19">
        <w:tc>
          <w:tcPr>
            <w:tcW w:w="1620" w:type="dxa"/>
          </w:tcPr>
          <w:p w14:paraId="4E9C71D1" w14:textId="42F18BBC" w:rsidR="00042327" w:rsidRPr="002926D7" w:rsidRDefault="00042327" w:rsidP="002926D7">
            <w:pPr>
              <w:spacing w:after="20"/>
              <w:rPr>
                <w:szCs w:val="20"/>
              </w:rPr>
            </w:pPr>
            <w:r w:rsidRPr="002926D7">
              <w:rPr>
                <w:szCs w:val="20"/>
              </w:rPr>
              <w:t>TBWP</w:t>
            </w:r>
          </w:p>
        </w:tc>
        <w:tc>
          <w:tcPr>
            <w:tcW w:w="7406" w:type="dxa"/>
          </w:tcPr>
          <w:p w14:paraId="62C74E91" w14:textId="5AFC41FC" w:rsidR="00042327" w:rsidRPr="002926D7" w:rsidRDefault="00042327" w:rsidP="002926D7">
            <w:pPr>
              <w:spacing w:after="20"/>
              <w:rPr>
                <w:szCs w:val="20"/>
              </w:rPr>
            </w:pPr>
            <w:r w:rsidRPr="002926D7">
              <w:rPr>
                <w:szCs w:val="20"/>
              </w:rPr>
              <w:t>Total Budget and Work Plan</w:t>
            </w:r>
          </w:p>
        </w:tc>
      </w:tr>
      <w:tr w:rsidR="00042327" w:rsidRPr="002926D7" w14:paraId="20B980D3" w14:textId="77777777" w:rsidTr="004F7E19">
        <w:tc>
          <w:tcPr>
            <w:tcW w:w="1620" w:type="dxa"/>
          </w:tcPr>
          <w:p w14:paraId="1D657FF6" w14:textId="77777777" w:rsidR="00042327" w:rsidRPr="002926D7" w:rsidRDefault="00042327" w:rsidP="002926D7">
            <w:pPr>
              <w:spacing w:after="20"/>
              <w:rPr>
                <w:szCs w:val="20"/>
              </w:rPr>
            </w:pPr>
            <w:r w:rsidRPr="002926D7">
              <w:rPr>
                <w:szCs w:val="20"/>
              </w:rPr>
              <w:t>TE</w:t>
            </w:r>
          </w:p>
        </w:tc>
        <w:tc>
          <w:tcPr>
            <w:tcW w:w="7406" w:type="dxa"/>
          </w:tcPr>
          <w:p w14:paraId="59EAD350" w14:textId="6666F87A" w:rsidR="00042327" w:rsidRPr="002926D7" w:rsidRDefault="00042327" w:rsidP="002926D7">
            <w:pPr>
              <w:spacing w:after="20"/>
              <w:rPr>
                <w:szCs w:val="20"/>
              </w:rPr>
            </w:pPr>
            <w:r w:rsidRPr="002926D7">
              <w:rPr>
                <w:szCs w:val="20"/>
              </w:rPr>
              <w:t>Terminal evaluation</w:t>
            </w:r>
          </w:p>
        </w:tc>
      </w:tr>
      <w:tr w:rsidR="00042327" w:rsidRPr="002926D7" w14:paraId="7E2E6104" w14:textId="77777777" w:rsidTr="004F7E19">
        <w:tc>
          <w:tcPr>
            <w:tcW w:w="1620" w:type="dxa"/>
          </w:tcPr>
          <w:p w14:paraId="078FF38D" w14:textId="77777777" w:rsidR="00042327" w:rsidRPr="002926D7" w:rsidRDefault="00042327" w:rsidP="002926D7">
            <w:pPr>
              <w:pStyle w:val="NoSpacing"/>
              <w:spacing w:after="20"/>
              <w:rPr>
                <w:rFonts w:ascii="Calibri" w:hAnsi="Calibri" w:cs="Calibri"/>
                <w:szCs w:val="20"/>
              </w:rPr>
            </w:pPr>
            <w:r w:rsidRPr="002926D7">
              <w:rPr>
                <w:rFonts w:ascii="Calibri" w:hAnsi="Calibri" w:cs="Calibri"/>
                <w:szCs w:val="20"/>
              </w:rPr>
              <w:t>TOR</w:t>
            </w:r>
          </w:p>
        </w:tc>
        <w:tc>
          <w:tcPr>
            <w:tcW w:w="7406" w:type="dxa"/>
          </w:tcPr>
          <w:p w14:paraId="387F13FB" w14:textId="087BC747" w:rsidR="00042327" w:rsidRPr="002926D7" w:rsidRDefault="00042327" w:rsidP="002926D7">
            <w:pPr>
              <w:pStyle w:val="NoSpacing"/>
              <w:spacing w:after="20"/>
              <w:rPr>
                <w:rFonts w:ascii="Calibri" w:hAnsi="Calibri" w:cs="Calibri"/>
                <w:szCs w:val="20"/>
              </w:rPr>
            </w:pPr>
            <w:r w:rsidRPr="002926D7">
              <w:rPr>
                <w:rFonts w:ascii="Calibri" w:hAnsi="Calibri" w:cs="Calibri"/>
                <w:szCs w:val="20"/>
              </w:rPr>
              <w:t>Terms of reference</w:t>
            </w:r>
          </w:p>
        </w:tc>
      </w:tr>
      <w:tr w:rsidR="00042327" w:rsidRPr="002926D7" w14:paraId="5615845C" w14:textId="77777777" w:rsidTr="004F7E19">
        <w:tc>
          <w:tcPr>
            <w:tcW w:w="1620" w:type="dxa"/>
          </w:tcPr>
          <w:p w14:paraId="470148B6" w14:textId="77777777" w:rsidR="00042327" w:rsidRPr="002926D7" w:rsidRDefault="00042327" w:rsidP="002926D7">
            <w:pPr>
              <w:pStyle w:val="NoSpacing"/>
              <w:spacing w:after="20"/>
              <w:rPr>
                <w:rFonts w:ascii="Calibri" w:hAnsi="Calibri" w:cs="Calibri"/>
                <w:szCs w:val="20"/>
              </w:rPr>
            </w:pPr>
            <w:r w:rsidRPr="002926D7">
              <w:rPr>
                <w:rFonts w:ascii="Calibri" w:hAnsi="Calibri" w:cs="Calibri"/>
                <w:szCs w:val="20"/>
              </w:rPr>
              <w:t>UNDP</w:t>
            </w:r>
          </w:p>
        </w:tc>
        <w:tc>
          <w:tcPr>
            <w:tcW w:w="7406" w:type="dxa"/>
          </w:tcPr>
          <w:p w14:paraId="174F3E4B" w14:textId="77777777" w:rsidR="00042327" w:rsidRPr="002926D7" w:rsidRDefault="00042327" w:rsidP="002926D7">
            <w:pPr>
              <w:pStyle w:val="NoSpacing"/>
              <w:spacing w:after="20"/>
              <w:rPr>
                <w:rFonts w:ascii="Calibri" w:hAnsi="Calibri" w:cs="Calibri"/>
                <w:szCs w:val="20"/>
              </w:rPr>
            </w:pPr>
            <w:r w:rsidRPr="002926D7">
              <w:rPr>
                <w:rFonts w:ascii="Calibri" w:hAnsi="Calibri" w:cs="Calibri"/>
                <w:szCs w:val="20"/>
              </w:rPr>
              <w:t>United Nations Development Programme</w:t>
            </w:r>
          </w:p>
        </w:tc>
      </w:tr>
      <w:tr w:rsidR="00042327" w:rsidRPr="002926D7" w14:paraId="7FD626C5" w14:textId="77777777" w:rsidTr="004F7E19">
        <w:tc>
          <w:tcPr>
            <w:tcW w:w="1620" w:type="dxa"/>
          </w:tcPr>
          <w:p w14:paraId="6627D78B" w14:textId="60FE99AA" w:rsidR="00042327" w:rsidRPr="002926D7" w:rsidRDefault="00042327" w:rsidP="002926D7">
            <w:pPr>
              <w:pStyle w:val="NoSpacing"/>
              <w:spacing w:after="20"/>
              <w:rPr>
                <w:rFonts w:ascii="Calibri" w:hAnsi="Calibri" w:cs="Calibri"/>
                <w:szCs w:val="20"/>
              </w:rPr>
            </w:pPr>
            <w:r w:rsidRPr="002926D7">
              <w:rPr>
                <w:rFonts w:ascii="Calibri" w:hAnsi="Calibri" w:cs="Calibri"/>
                <w:szCs w:val="20"/>
              </w:rPr>
              <w:t>UNGA</w:t>
            </w:r>
          </w:p>
        </w:tc>
        <w:tc>
          <w:tcPr>
            <w:tcW w:w="7406" w:type="dxa"/>
          </w:tcPr>
          <w:p w14:paraId="2184D46D" w14:textId="497B9730" w:rsidR="00042327" w:rsidRPr="002926D7" w:rsidRDefault="00042327" w:rsidP="002926D7">
            <w:pPr>
              <w:pStyle w:val="NoSpacing"/>
              <w:spacing w:after="20"/>
              <w:rPr>
                <w:rFonts w:ascii="Calibri" w:hAnsi="Calibri" w:cs="Calibri"/>
                <w:szCs w:val="20"/>
              </w:rPr>
            </w:pPr>
            <w:r w:rsidRPr="002926D7">
              <w:rPr>
                <w:rFonts w:ascii="Calibri" w:hAnsi="Calibri" w:cs="Calibri"/>
                <w:szCs w:val="20"/>
              </w:rPr>
              <w:t>United Nations General Assembly</w:t>
            </w:r>
          </w:p>
        </w:tc>
      </w:tr>
      <w:tr w:rsidR="00042327" w:rsidRPr="002926D7" w14:paraId="1E051648" w14:textId="77777777" w:rsidTr="004F7E19">
        <w:trPr>
          <w:trHeight w:val="161"/>
        </w:trPr>
        <w:tc>
          <w:tcPr>
            <w:tcW w:w="1620" w:type="dxa"/>
          </w:tcPr>
          <w:p w14:paraId="5B73BD2D" w14:textId="25EA807F" w:rsidR="00042327" w:rsidRPr="002926D7" w:rsidRDefault="00042327" w:rsidP="002926D7">
            <w:pPr>
              <w:pStyle w:val="NoSpacing"/>
              <w:spacing w:after="20"/>
              <w:rPr>
                <w:rFonts w:ascii="Calibri" w:hAnsi="Calibri" w:cs="Calibri"/>
                <w:szCs w:val="20"/>
              </w:rPr>
            </w:pPr>
            <w:r w:rsidRPr="002926D7">
              <w:rPr>
                <w:rFonts w:ascii="Calibri" w:hAnsi="Calibri" w:cs="Calibri"/>
                <w:szCs w:val="20"/>
              </w:rPr>
              <w:t>USD</w:t>
            </w:r>
          </w:p>
        </w:tc>
        <w:tc>
          <w:tcPr>
            <w:tcW w:w="7406" w:type="dxa"/>
          </w:tcPr>
          <w:p w14:paraId="022D46E3" w14:textId="2F40FD84" w:rsidR="00042327" w:rsidRPr="002926D7" w:rsidRDefault="00042327" w:rsidP="002926D7">
            <w:pPr>
              <w:pStyle w:val="NoSpacing"/>
              <w:spacing w:after="20"/>
              <w:rPr>
                <w:rFonts w:ascii="Calibri" w:hAnsi="Calibri" w:cs="Calibri"/>
                <w:szCs w:val="20"/>
              </w:rPr>
            </w:pPr>
            <w:r w:rsidRPr="002926D7">
              <w:rPr>
                <w:rFonts w:ascii="Calibri" w:hAnsi="Calibri" w:cs="Calibri"/>
                <w:szCs w:val="20"/>
              </w:rPr>
              <w:t>United States dollar</w:t>
            </w:r>
          </w:p>
        </w:tc>
      </w:tr>
      <w:tr w:rsidR="00042327" w:rsidRPr="002926D7" w14:paraId="46FA4502" w14:textId="77777777" w:rsidTr="004F7E19">
        <w:tc>
          <w:tcPr>
            <w:tcW w:w="1620" w:type="dxa"/>
          </w:tcPr>
          <w:p w14:paraId="68C0078E" w14:textId="5F53C4F4" w:rsidR="00042327" w:rsidRPr="002926D7" w:rsidRDefault="007836F0" w:rsidP="002926D7">
            <w:pPr>
              <w:pStyle w:val="NoSpacing"/>
              <w:spacing w:after="20"/>
              <w:rPr>
                <w:rFonts w:ascii="Calibri" w:hAnsi="Calibri" w:cs="Calibri"/>
                <w:szCs w:val="20"/>
              </w:rPr>
            </w:pPr>
            <w:r w:rsidRPr="002926D7">
              <w:rPr>
                <w:rFonts w:ascii="Calibri" w:hAnsi="Calibri" w:cs="Calibri"/>
                <w:szCs w:val="20"/>
              </w:rPr>
              <w:t>VF</w:t>
            </w:r>
          </w:p>
        </w:tc>
        <w:tc>
          <w:tcPr>
            <w:tcW w:w="7406" w:type="dxa"/>
          </w:tcPr>
          <w:p w14:paraId="29EEBDF6" w14:textId="5833239C" w:rsidR="00042327" w:rsidRPr="002926D7" w:rsidRDefault="007836F0" w:rsidP="002926D7">
            <w:pPr>
              <w:pStyle w:val="NoSpacing"/>
              <w:spacing w:after="20"/>
              <w:rPr>
                <w:rFonts w:ascii="Calibri" w:hAnsi="Calibri" w:cs="Calibri"/>
                <w:szCs w:val="20"/>
              </w:rPr>
            </w:pPr>
            <w:r w:rsidRPr="002926D7">
              <w:rPr>
                <w:rFonts w:ascii="Calibri" w:hAnsi="Calibri" w:cs="Calibri"/>
                <w:szCs w:val="20"/>
              </w:rPr>
              <w:t>Vertical Fund</w:t>
            </w:r>
          </w:p>
        </w:tc>
      </w:tr>
      <w:bookmarkEnd w:id="10"/>
    </w:tbl>
    <w:p w14:paraId="5750B4D9" w14:textId="77777777" w:rsidR="0046170D" w:rsidRPr="002926D7" w:rsidRDefault="0046170D" w:rsidP="002926D7">
      <w:pPr>
        <w:jc w:val="left"/>
        <w:rPr>
          <w:b/>
          <w:smallCaps/>
          <w:spacing w:val="-2"/>
          <w:sz w:val="28"/>
          <w:szCs w:val="20"/>
        </w:rPr>
      </w:pPr>
      <w:r w:rsidRPr="002926D7">
        <w:br w:type="page"/>
      </w:r>
    </w:p>
    <w:p w14:paraId="1E9A74BE" w14:textId="6FF64F64" w:rsidR="00D218B7" w:rsidRPr="002926D7" w:rsidRDefault="008C65EB" w:rsidP="002926D7">
      <w:pPr>
        <w:pStyle w:val="Heading1"/>
        <w:spacing w:before="0" w:after="0" w:line="271" w:lineRule="auto"/>
        <w:jc w:val="left"/>
        <w:rPr>
          <w:rFonts w:ascii="Calibri" w:hAnsi="Calibri"/>
        </w:rPr>
      </w:pPr>
      <w:bookmarkStart w:id="11" w:name="_Toc151386977"/>
      <w:r w:rsidRPr="002926D7">
        <w:rPr>
          <w:rFonts w:ascii="Calibri" w:hAnsi="Calibri"/>
        </w:rPr>
        <w:lastRenderedPageBreak/>
        <w:t xml:space="preserve">Development </w:t>
      </w:r>
      <w:r w:rsidR="00005D48" w:rsidRPr="002926D7">
        <w:rPr>
          <w:rFonts w:ascii="Calibri" w:hAnsi="Calibri"/>
        </w:rPr>
        <w:t>C</w:t>
      </w:r>
      <w:r w:rsidR="004C3717" w:rsidRPr="002926D7">
        <w:rPr>
          <w:rFonts w:ascii="Calibri" w:hAnsi="Calibri"/>
        </w:rPr>
        <w:t>hallenge</w:t>
      </w:r>
      <w:bookmarkEnd w:id="9"/>
      <w:bookmarkEnd w:id="11"/>
      <w:r w:rsidR="00A25CCB" w:rsidRPr="002926D7">
        <w:rPr>
          <w:rFonts w:ascii="Calibri" w:hAnsi="Calibri"/>
        </w:rPr>
        <w:t xml:space="preserve"> </w:t>
      </w:r>
    </w:p>
    <w:p w14:paraId="171E0CA4" w14:textId="53CFC0E3" w:rsidR="00C61286" w:rsidRPr="002926D7" w:rsidRDefault="00C61286" w:rsidP="002926D7">
      <w:pPr>
        <w:rPr>
          <w:rFonts w:asciiTheme="minorHAnsi" w:hAnsiTheme="minorHAnsi" w:cstheme="minorHAnsi"/>
          <w:szCs w:val="20"/>
        </w:rPr>
      </w:pPr>
    </w:p>
    <w:p w14:paraId="3CF174A6" w14:textId="1E20B994" w:rsidR="009C1512" w:rsidRPr="002926D7" w:rsidRDefault="009C1512" w:rsidP="002926D7">
      <w:pPr>
        <w:rPr>
          <w:b/>
          <w:bCs/>
        </w:rPr>
      </w:pPr>
      <w:bookmarkStart w:id="12" w:name="_Hlk131867303"/>
      <w:bookmarkStart w:id="13" w:name="_Hlk153969399"/>
      <w:r w:rsidRPr="002926D7">
        <w:rPr>
          <w:b/>
          <w:bCs/>
          <w:u w:val="single"/>
        </w:rPr>
        <w:t>Global Environmental Problem</w:t>
      </w:r>
      <w:r w:rsidR="00AB275A" w:rsidRPr="002926D7">
        <w:rPr>
          <w:b/>
          <w:bCs/>
        </w:rPr>
        <w:t>:</w:t>
      </w:r>
    </w:p>
    <w:p w14:paraId="5C743699" w14:textId="77777777" w:rsidR="009C1512" w:rsidRPr="002926D7" w:rsidRDefault="009C1512" w:rsidP="002926D7"/>
    <w:p w14:paraId="12A41669" w14:textId="77777777" w:rsidR="005B5C50" w:rsidRPr="002926D7" w:rsidRDefault="005B5C50" w:rsidP="002926D7">
      <w:pPr>
        <w:numPr>
          <w:ilvl w:val="0"/>
          <w:numId w:val="8"/>
        </w:numPr>
        <w:ind w:left="0" w:firstLine="0"/>
        <w:rPr>
          <w:bCs/>
          <w:szCs w:val="20"/>
        </w:rPr>
      </w:pPr>
      <w:bookmarkStart w:id="14" w:name="_Hlk131867513"/>
      <w:bookmarkEnd w:id="12"/>
      <w:r w:rsidRPr="002926D7">
        <w:rPr>
          <w:bCs/>
          <w:szCs w:val="20"/>
        </w:rPr>
        <w:t xml:space="preserve">Humanity faces an integrated, multi-faceted planetary emergency of interrelated trends in biodiversity loss, climate change, land and water pollution, and ecosystem degradation. The health of the planet’s biodiversity and ecosystems – including agro-ecosystems - has been steadily declining over the past century, with accelerating losses in forest cover, coral reefs, mangroves, wetlands, soils, and water resources, among others. The ecosystem functions that provide the services sustaining human societies and economies are being rapidly eroded, endangering food and water security and threatening the wellbeing and resilience of billions of vulnerable urban and rural inhabitants. At the same time, the loss of ecosystem services underlies insecurity and conflict and impacts disadvantaged populations more severely, exacerbating inequality and driving involuntary migration to cities and abroad. </w:t>
      </w:r>
    </w:p>
    <w:p w14:paraId="6036DC37" w14:textId="77777777" w:rsidR="005B5C50" w:rsidRPr="002926D7" w:rsidRDefault="005B5C50" w:rsidP="002926D7">
      <w:pPr>
        <w:rPr>
          <w:bCs/>
          <w:szCs w:val="20"/>
        </w:rPr>
      </w:pPr>
    </w:p>
    <w:p w14:paraId="300DD993" w14:textId="5EFC6343" w:rsidR="007A551E" w:rsidRPr="002926D7" w:rsidRDefault="005B5C50" w:rsidP="002926D7">
      <w:pPr>
        <w:numPr>
          <w:ilvl w:val="0"/>
          <w:numId w:val="8"/>
        </w:numPr>
        <w:ind w:left="0" w:firstLine="0"/>
        <w:rPr>
          <w:bCs/>
          <w:szCs w:val="20"/>
        </w:rPr>
      </w:pPr>
      <w:r w:rsidRPr="002926D7">
        <w:rPr>
          <w:rFonts w:asciiTheme="minorHAnsi" w:eastAsia="Calibri" w:hAnsiTheme="minorHAnsi" w:cstheme="minorBidi"/>
          <w:color w:val="000000" w:themeColor="text1"/>
          <w:szCs w:val="20"/>
        </w:rPr>
        <w:t xml:space="preserve">This dynamic is intensified by the impacts of climate change on rainfall, temperatures, drought, sea level rise, species distributions, habitat stability, and other factors. Poor rural and urban populations are particularly vulnerable to climate change from their reliance on schemes of production, housing, energy, transportation and other systems that are susceptible to increasing climate risk from more variable rainfall, increasing temperatures, rising sea level, and drought, among other things. At the same time, the world is experiencing unprecedented and rising inequality with accompanying disparities in health and wellbeing. </w:t>
      </w:r>
    </w:p>
    <w:p w14:paraId="2D5CE7BF" w14:textId="77777777" w:rsidR="00113E09" w:rsidRPr="002926D7" w:rsidRDefault="00113E09" w:rsidP="002926D7">
      <w:pPr>
        <w:rPr>
          <w:rFonts w:asciiTheme="minorHAnsi" w:hAnsiTheme="minorHAnsi" w:cstheme="minorHAnsi"/>
          <w:szCs w:val="20"/>
        </w:rPr>
      </w:pPr>
    </w:p>
    <w:p w14:paraId="10B92EE7" w14:textId="538076B5" w:rsidR="00C61286" w:rsidRPr="002926D7" w:rsidRDefault="00CE7A1D" w:rsidP="002926D7">
      <w:pPr>
        <w:spacing w:after="120"/>
      </w:pPr>
      <w:bookmarkStart w:id="15" w:name="_Hlk121758829"/>
      <w:bookmarkStart w:id="16" w:name="_Hlk131867551"/>
      <w:bookmarkEnd w:id="14"/>
      <w:r w:rsidRPr="002926D7">
        <w:rPr>
          <w:b/>
          <w:bCs/>
          <w:u w:val="single"/>
        </w:rPr>
        <w:t xml:space="preserve">Threats and </w:t>
      </w:r>
      <w:r w:rsidR="00A17592" w:rsidRPr="002926D7">
        <w:rPr>
          <w:b/>
          <w:bCs/>
          <w:u w:val="single"/>
        </w:rPr>
        <w:t>Root Causes</w:t>
      </w:r>
      <w:r w:rsidR="00C61286" w:rsidRPr="002926D7">
        <w:t>:</w:t>
      </w:r>
      <w:bookmarkEnd w:id="15"/>
    </w:p>
    <w:p w14:paraId="5E68DE90" w14:textId="77777777" w:rsidR="005B5C50" w:rsidRPr="002926D7" w:rsidRDefault="005B5C50" w:rsidP="002926D7">
      <w:pPr>
        <w:numPr>
          <w:ilvl w:val="0"/>
          <w:numId w:val="8"/>
        </w:numPr>
        <w:ind w:left="0" w:firstLine="0"/>
        <w:rPr>
          <w:rFonts w:asciiTheme="minorHAnsi" w:eastAsia="Calibri" w:hAnsiTheme="minorHAnsi" w:cstheme="minorBidi"/>
          <w:color w:val="000000" w:themeColor="text1"/>
          <w:szCs w:val="20"/>
        </w:rPr>
      </w:pPr>
      <w:bookmarkStart w:id="17" w:name="_Hlk121759005"/>
      <w:bookmarkEnd w:id="16"/>
      <w:r w:rsidRPr="002926D7">
        <w:rPr>
          <w:rFonts w:asciiTheme="minorHAnsi" w:eastAsia="Calibri" w:hAnsiTheme="minorHAnsi" w:cstheme="minorBidi"/>
          <w:b/>
          <w:bCs/>
          <w:i/>
          <w:iCs/>
          <w:color w:val="000000" w:themeColor="text1"/>
          <w:szCs w:val="20"/>
        </w:rPr>
        <w:t>While this planetary emergency is global, its impacts are experienced locally</w:t>
      </w:r>
      <w:r w:rsidRPr="002926D7">
        <w:rPr>
          <w:rFonts w:asciiTheme="minorHAnsi" w:eastAsia="Calibri" w:hAnsiTheme="minorHAnsi" w:cstheme="minorBidi"/>
          <w:color w:val="000000" w:themeColor="text1"/>
          <w:szCs w:val="20"/>
        </w:rPr>
        <w:t xml:space="preserve">, with rural communities facing some of the largest threats from ecosystem degradation, biodiversity loss, and climate change, especially the more than two billion people who depend on agriculture, grasslands, fisheries and forests for their livelihoods. Poor and marginalized urban communities, as well, face increasing temperatures and lack of heat-reducing green landscaping or appropriate cooling technologies; pervasive pollution from motorized transport, plastic waste, and harmful chemicals; insufficient access to adequate clean water or dependable energy for cooking, lighting, heating or cooling; and increased disaster risk from extreme climate-driven rainfall events resulting in flooding, landslides, power outages and other effects. Rising inequality increases the vulnerability of disadvantaged groups in this context and decreases their ability to cope and recover. All these impacts are disproportionately borne by women, youth and children, the elderly, persons with disabilities, and ethnic, racial, LGBTQ, and other minorities. </w:t>
      </w:r>
    </w:p>
    <w:p w14:paraId="445B08DA" w14:textId="77777777" w:rsidR="005B5C50" w:rsidRPr="002926D7" w:rsidRDefault="005B5C50" w:rsidP="002926D7">
      <w:pPr>
        <w:rPr>
          <w:rFonts w:asciiTheme="minorHAnsi" w:eastAsia="Calibri" w:hAnsiTheme="minorHAnsi" w:cstheme="minorBidi"/>
          <w:color w:val="000000" w:themeColor="text1"/>
          <w:szCs w:val="20"/>
        </w:rPr>
      </w:pPr>
    </w:p>
    <w:p w14:paraId="3089354F" w14:textId="77777777" w:rsidR="005B5C50" w:rsidRPr="002926D7" w:rsidRDefault="005B5C50" w:rsidP="002926D7">
      <w:r w:rsidRPr="002926D7">
        <w:rPr>
          <w:b/>
          <w:bCs/>
          <w:u w:val="single"/>
        </w:rPr>
        <w:t>Baseline scenario</w:t>
      </w:r>
      <w:r w:rsidRPr="002926D7">
        <w:t>:</w:t>
      </w:r>
      <w:bookmarkStart w:id="18" w:name="_Hlk101780492"/>
      <w:bookmarkStart w:id="19" w:name="_Hlk89199624"/>
      <w:bookmarkStart w:id="20" w:name="_Hlk71027616"/>
    </w:p>
    <w:p w14:paraId="1ACEDAEA" w14:textId="77777777" w:rsidR="005B5C50" w:rsidRPr="002926D7" w:rsidRDefault="005B5C50" w:rsidP="002926D7"/>
    <w:p w14:paraId="0399063B" w14:textId="2090ABE0" w:rsidR="005B5C50" w:rsidRPr="002926D7" w:rsidRDefault="005B5C50" w:rsidP="002926D7">
      <w:pPr>
        <w:numPr>
          <w:ilvl w:val="0"/>
          <w:numId w:val="8"/>
        </w:numPr>
        <w:ind w:left="0" w:firstLine="0"/>
        <w:rPr>
          <w:rFonts w:asciiTheme="minorHAnsi" w:eastAsia="Calibri" w:hAnsiTheme="minorHAnsi" w:cstheme="minorBidi"/>
          <w:color w:val="000000" w:themeColor="text1"/>
          <w:szCs w:val="20"/>
        </w:rPr>
      </w:pPr>
      <w:r w:rsidRPr="002926D7">
        <w:rPr>
          <w:rFonts w:asciiTheme="minorHAnsi" w:eastAsia="Calibri" w:hAnsiTheme="minorHAnsi" w:cstheme="minorBidi"/>
          <w:i/>
          <w:iCs/>
          <w:color w:val="000000" w:themeColor="text1"/>
          <w:szCs w:val="20"/>
        </w:rPr>
        <w:t>Nevertheless, civil society and community-based organizations, particularly those of local communities and Indigenous Peoples, have not been passive in the face of these trends nor have they been inactive in addressing obstacles to the exercise of their rights and agency.</w:t>
      </w:r>
      <w:r w:rsidRPr="002926D7">
        <w:rPr>
          <w:rFonts w:asciiTheme="minorHAnsi" w:eastAsia="Calibri" w:hAnsiTheme="minorHAnsi" w:cstheme="minorBidi"/>
          <w:color w:val="000000" w:themeColor="text1"/>
          <w:szCs w:val="20"/>
        </w:rPr>
        <w:t xml:space="preserve"> Worldwide, there are thousands, if not tens of thousands, of civil society organizations (CSOs) and community-based organizations (CBOs), including women and youth, Indigenous Peoples, and other vulnerable groups, who have organized to address increasing ecological degradation of the landscapes and seascapes where they live and work and the rising vulnerability of their societies, cities, homes, and production systems. These organizations include a variety of formal and non-formal groupings: traditional community groups, producers’ cooperatives and associations, women’s organizations, neighborhood improvement associations, worker and artisan unions, and a multitude of others. The 2030 Sustainable Development Goals, UNDP’s Strategic Plan 2022 – 2025 and the GEF-8 Strategy and Programming Directions recognize the vital importance of CSOs/CBOs participating and working in partnership with local governments and private entrepreneurs, to address challenges facing their communities, leading to sustainable development at the landscape-seascape scale, enhancement of wellbeing and generation of global environment benefits.</w:t>
      </w:r>
      <w:bookmarkEnd w:id="18"/>
      <w:bookmarkEnd w:id="19"/>
      <w:bookmarkEnd w:id="20"/>
    </w:p>
    <w:p w14:paraId="4EF4C7D7" w14:textId="77777777" w:rsidR="005B5C50" w:rsidRPr="002926D7" w:rsidRDefault="005B5C50" w:rsidP="002926D7">
      <w:pPr>
        <w:rPr>
          <w:rFonts w:asciiTheme="minorHAnsi" w:eastAsia="Calibri" w:hAnsiTheme="minorHAnsi" w:cstheme="minorBidi"/>
          <w:color w:val="000000" w:themeColor="text1"/>
          <w:szCs w:val="20"/>
        </w:rPr>
      </w:pPr>
    </w:p>
    <w:p w14:paraId="4F47DE5A" w14:textId="77777777" w:rsidR="005B5C50" w:rsidRPr="002926D7" w:rsidRDefault="005B5C50" w:rsidP="002926D7">
      <w:pPr>
        <w:numPr>
          <w:ilvl w:val="0"/>
          <w:numId w:val="8"/>
        </w:numPr>
        <w:ind w:left="0" w:firstLine="0"/>
        <w:rPr>
          <w:rFonts w:asciiTheme="minorHAnsi" w:eastAsia="Calibri" w:hAnsiTheme="minorHAnsi" w:cstheme="minorBidi"/>
          <w:color w:val="000000" w:themeColor="text1"/>
          <w:szCs w:val="20"/>
        </w:rPr>
      </w:pPr>
      <w:r w:rsidRPr="002926D7">
        <w:rPr>
          <w:rFonts w:asciiTheme="minorHAnsi" w:eastAsia="Calibri" w:hAnsiTheme="minorHAnsi" w:cstheme="minorBidi"/>
          <w:b/>
          <w:bCs/>
          <w:i/>
          <w:iCs/>
          <w:color w:val="000000" w:themeColor="text1"/>
          <w:szCs w:val="20"/>
        </w:rPr>
        <w:t>While the impacts of the global emergency are felt locally</w:t>
      </w:r>
      <w:r w:rsidRPr="002926D7">
        <w:rPr>
          <w:rFonts w:asciiTheme="minorHAnsi" w:eastAsia="Calibri" w:hAnsiTheme="minorHAnsi" w:cstheme="minorBidi"/>
          <w:b/>
          <w:bCs/>
          <w:color w:val="000000" w:themeColor="text1"/>
          <w:szCs w:val="20"/>
        </w:rPr>
        <w:t xml:space="preserve">, </w:t>
      </w:r>
      <w:r w:rsidRPr="002926D7">
        <w:rPr>
          <w:rFonts w:asciiTheme="minorHAnsi" w:eastAsia="Calibri" w:hAnsiTheme="minorHAnsi" w:cstheme="minorBidi"/>
          <w:b/>
          <w:bCs/>
          <w:i/>
          <w:iCs/>
          <w:color w:val="000000" w:themeColor="text1"/>
          <w:szCs w:val="20"/>
        </w:rPr>
        <w:t xml:space="preserve">the solution - </w:t>
      </w:r>
      <w:r w:rsidRPr="002926D7">
        <w:rPr>
          <w:rFonts w:asciiTheme="minorHAnsi" w:eastAsia="Calibri" w:hAnsiTheme="minorHAnsi" w:cstheme="minorBidi"/>
          <w:color w:val="000000" w:themeColor="text1"/>
          <w:szCs w:val="20"/>
        </w:rPr>
        <w:t xml:space="preserve">to the loss of biodiversity and ecosystem function, declining water quality and availability, increasing climate vulnerability, mounting plastic and other pollution and other trends - </w:t>
      </w:r>
      <w:r w:rsidRPr="002926D7">
        <w:rPr>
          <w:rFonts w:asciiTheme="minorHAnsi" w:eastAsia="Calibri" w:hAnsiTheme="minorHAnsi" w:cstheme="minorBidi"/>
          <w:b/>
          <w:bCs/>
          <w:i/>
          <w:iCs/>
          <w:color w:val="000000" w:themeColor="text1"/>
          <w:szCs w:val="20"/>
        </w:rPr>
        <w:t>is also found locally</w:t>
      </w:r>
      <w:r w:rsidRPr="002926D7">
        <w:rPr>
          <w:rFonts w:asciiTheme="minorHAnsi" w:eastAsia="Calibri" w:hAnsiTheme="minorHAnsi" w:cstheme="minorBidi"/>
          <w:color w:val="000000" w:themeColor="text1"/>
          <w:szCs w:val="20"/>
        </w:rPr>
        <w:t xml:space="preserve">. CSOs/CBOs are highly motivated to act to address the drivers </w:t>
      </w:r>
      <w:r w:rsidRPr="002926D7">
        <w:rPr>
          <w:rFonts w:asciiTheme="minorHAnsi" w:eastAsia="Calibri" w:hAnsiTheme="minorHAnsi" w:cstheme="minorBidi"/>
          <w:color w:val="000000" w:themeColor="text1"/>
          <w:szCs w:val="20"/>
        </w:rPr>
        <w:lastRenderedPageBreak/>
        <w:t xml:space="preserve">and impacts of global environmental degradation as they relate to the resilience and productivity of the urban and rural landscapes where they live and work. They contribute with awareness raising and campaigning, as well as developing and piloting production innovations, testing consumer marketing, strengthening their organizational planning and management capacities, demonstrating applications of new technologies, and other activities. These organizations provide an engine for social capital formation, actively pursuing increased membership, exchanging knowledge and experience peer-to-peer, holding public events to engage and advocate, and exercising needed pressure on their peers to comply with social norms that enhance global environmental benefits and socio-ecological resilience. </w:t>
      </w:r>
    </w:p>
    <w:p w14:paraId="4F61E791" w14:textId="77777777" w:rsidR="005B5C50" w:rsidRPr="002926D7" w:rsidRDefault="005B5C50" w:rsidP="002926D7">
      <w:pPr>
        <w:rPr>
          <w:rFonts w:asciiTheme="minorHAnsi" w:eastAsia="Calibri" w:hAnsiTheme="minorHAnsi" w:cstheme="minorBidi"/>
          <w:color w:val="000000" w:themeColor="text1"/>
          <w:szCs w:val="20"/>
        </w:rPr>
      </w:pPr>
    </w:p>
    <w:p w14:paraId="50226CAA" w14:textId="76CF0AA6" w:rsidR="005B5C50" w:rsidRPr="002926D7" w:rsidRDefault="005B5C50" w:rsidP="002926D7">
      <w:pPr>
        <w:numPr>
          <w:ilvl w:val="0"/>
          <w:numId w:val="8"/>
        </w:numPr>
        <w:ind w:left="0" w:firstLine="0"/>
        <w:rPr>
          <w:rFonts w:asciiTheme="minorHAnsi" w:eastAsia="Calibri" w:hAnsiTheme="minorHAnsi" w:cstheme="minorBidi"/>
          <w:color w:val="000000" w:themeColor="text1"/>
          <w:szCs w:val="20"/>
        </w:rPr>
      </w:pPr>
      <w:r w:rsidRPr="002926D7">
        <w:rPr>
          <w:rFonts w:asciiTheme="minorHAnsi" w:eastAsia="Calibri" w:hAnsiTheme="minorHAnsi" w:cstheme="minorBidi"/>
          <w:color w:val="000000" w:themeColor="text1"/>
          <w:szCs w:val="20"/>
        </w:rPr>
        <w:t>CSOs/CBOs have considerable strengths, especially their commitment and accountability to their communities and landscapes-seascapes, as well as their ability to be flexible, nimble, and adapt to change. However,</w:t>
      </w:r>
      <w:r w:rsidR="00772129" w:rsidRPr="002926D7">
        <w:rPr>
          <w:rFonts w:asciiTheme="minorHAnsi" w:eastAsia="Calibri" w:hAnsiTheme="minorHAnsi" w:cstheme="minorBidi"/>
          <w:color w:val="000000" w:themeColor="text1"/>
          <w:szCs w:val="20"/>
        </w:rPr>
        <w:t xml:space="preserve"> as described below</w:t>
      </w:r>
      <w:r w:rsidRPr="002926D7">
        <w:rPr>
          <w:rFonts w:asciiTheme="minorHAnsi" w:eastAsia="Calibri" w:hAnsiTheme="minorHAnsi" w:cstheme="minorBidi"/>
          <w:color w:val="000000" w:themeColor="text1"/>
          <w:szCs w:val="20"/>
        </w:rPr>
        <w:t xml:space="preserve"> they face </w:t>
      </w:r>
      <w:r w:rsidRPr="002926D7">
        <w:rPr>
          <w:rFonts w:asciiTheme="minorHAnsi" w:eastAsia="Calibri" w:hAnsiTheme="minorHAnsi" w:cstheme="minorBidi"/>
          <w:i/>
          <w:iCs/>
          <w:color w:val="000000" w:themeColor="text1"/>
          <w:szCs w:val="20"/>
        </w:rPr>
        <w:t>substantial obstacles to undertaking concerted, collective action for sustainable development</w:t>
      </w:r>
      <w:r w:rsidRPr="002926D7">
        <w:rPr>
          <w:rFonts w:asciiTheme="minorHAnsi" w:eastAsia="Calibri" w:hAnsiTheme="minorHAnsi" w:cstheme="minorBidi"/>
          <w:color w:val="000000" w:themeColor="text1"/>
          <w:szCs w:val="20"/>
        </w:rPr>
        <w:t xml:space="preserve">, including financial, organizational, informational, technical and political constraints. </w:t>
      </w:r>
    </w:p>
    <w:p w14:paraId="53AFA926" w14:textId="77777777" w:rsidR="005B5C50" w:rsidRPr="002926D7" w:rsidRDefault="005B5C50" w:rsidP="002926D7">
      <w:pPr>
        <w:pStyle w:val="ListParagraph"/>
        <w:numPr>
          <w:ilvl w:val="0"/>
          <w:numId w:val="29"/>
        </w:numPr>
        <w:spacing w:before="60"/>
        <w:jc w:val="left"/>
        <w:rPr>
          <w:rFonts w:asciiTheme="minorHAnsi" w:eastAsia="Calibri" w:hAnsiTheme="minorHAnsi" w:cstheme="minorBidi"/>
          <w:color w:val="000000" w:themeColor="text1"/>
          <w:szCs w:val="20"/>
        </w:rPr>
      </w:pPr>
      <w:r w:rsidRPr="002926D7">
        <w:rPr>
          <w:rFonts w:asciiTheme="minorHAnsi" w:eastAsia="Calibri" w:hAnsiTheme="minorHAnsi" w:cstheme="minorBidi"/>
          <w:color w:val="000000" w:themeColor="text1"/>
          <w:szCs w:val="20"/>
        </w:rPr>
        <w:t xml:space="preserve">CSOs/CBOs suffer from generally poor financing and are more often reliant on sweat equity, external donors and member financial contributions. </w:t>
      </w:r>
    </w:p>
    <w:p w14:paraId="14F8E628" w14:textId="77777777" w:rsidR="005B5C50" w:rsidRPr="002926D7" w:rsidRDefault="005B5C50" w:rsidP="002926D7">
      <w:pPr>
        <w:pStyle w:val="ListParagraph"/>
        <w:numPr>
          <w:ilvl w:val="0"/>
          <w:numId w:val="29"/>
        </w:numPr>
        <w:spacing w:before="60"/>
        <w:jc w:val="left"/>
        <w:rPr>
          <w:rFonts w:asciiTheme="minorHAnsi" w:eastAsia="Calibri" w:hAnsiTheme="minorHAnsi" w:cstheme="minorBidi"/>
          <w:color w:val="000000" w:themeColor="text1"/>
          <w:szCs w:val="20"/>
        </w:rPr>
      </w:pPr>
      <w:r w:rsidRPr="002926D7">
        <w:rPr>
          <w:rFonts w:asciiTheme="minorHAnsi" w:eastAsia="Calibri" w:hAnsiTheme="minorHAnsi" w:cstheme="minorBidi"/>
          <w:color w:val="000000" w:themeColor="text1"/>
          <w:szCs w:val="20"/>
        </w:rPr>
        <w:t xml:space="preserve">Weak or unpredictable finance impedes their abilities to strengthen their capacities to become more effective and more equitable organizations and thus weakens their full participation as partners and allies in conserving biodiversity, enhancing ecosystem function and mitigating and building resilience to climate change in the landscapes-seascapes where they live and work. </w:t>
      </w:r>
    </w:p>
    <w:p w14:paraId="2BA24DB8" w14:textId="77777777" w:rsidR="005B5C50" w:rsidRPr="002926D7" w:rsidRDefault="005B5C50" w:rsidP="002926D7">
      <w:pPr>
        <w:pStyle w:val="ListParagraph"/>
        <w:numPr>
          <w:ilvl w:val="0"/>
          <w:numId w:val="29"/>
        </w:numPr>
        <w:spacing w:before="60"/>
        <w:jc w:val="left"/>
        <w:rPr>
          <w:rFonts w:asciiTheme="minorHAnsi" w:eastAsia="Calibri" w:hAnsiTheme="minorHAnsi" w:cstheme="minorBidi"/>
          <w:color w:val="000000" w:themeColor="text1"/>
          <w:szCs w:val="20"/>
        </w:rPr>
      </w:pPr>
      <w:r w:rsidRPr="002926D7">
        <w:rPr>
          <w:rFonts w:asciiTheme="minorHAnsi" w:eastAsia="Calibri" w:hAnsiTheme="minorHAnsi" w:cstheme="minorBidi"/>
          <w:color w:val="000000" w:themeColor="text1"/>
          <w:szCs w:val="20"/>
        </w:rPr>
        <w:t xml:space="preserve">CSOs/CBOs may be poorly organized and networked and unable to participate constructively and effectively in policy dialogues and debates in partnership with local governments and micro, small, and medium-sized enterprises (MSMEs) in decisions affecting their sustainable development. </w:t>
      </w:r>
    </w:p>
    <w:p w14:paraId="0C8C66BC" w14:textId="44C5CB48" w:rsidR="005B5C50" w:rsidRPr="002926D7" w:rsidRDefault="005B5C50" w:rsidP="002926D7">
      <w:pPr>
        <w:pStyle w:val="ListParagraph"/>
        <w:numPr>
          <w:ilvl w:val="0"/>
          <w:numId w:val="29"/>
        </w:numPr>
        <w:spacing w:before="60"/>
        <w:jc w:val="left"/>
        <w:rPr>
          <w:rFonts w:asciiTheme="minorHAnsi" w:eastAsia="Calibri" w:hAnsiTheme="minorHAnsi" w:cstheme="minorBidi"/>
          <w:color w:val="000000" w:themeColor="text1"/>
          <w:szCs w:val="20"/>
        </w:rPr>
      </w:pPr>
      <w:r w:rsidRPr="002926D7">
        <w:rPr>
          <w:rFonts w:asciiTheme="minorHAnsi" w:eastAsia="Calibri" w:hAnsiTheme="minorHAnsi" w:cstheme="minorBidi"/>
          <w:color w:val="000000" w:themeColor="text1"/>
          <w:szCs w:val="20"/>
        </w:rPr>
        <w:t>CSOs/CBOs often lack access to credit, investment opportunities or the grant and non-grant funding mechanisms necessary to innovate without crippling risk</w:t>
      </w:r>
      <w:r w:rsidR="004F7E19" w:rsidRPr="002926D7">
        <w:rPr>
          <w:rFonts w:asciiTheme="minorHAnsi" w:eastAsia="Calibri" w:hAnsiTheme="minorHAnsi" w:cstheme="minorBidi"/>
          <w:color w:val="000000" w:themeColor="text1"/>
          <w:szCs w:val="20"/>
        </w:rPr>
        <w:t>.</w:t>
      </w:r>
      <w:r w:rsidRPr="002926D7">
        <w:rPr>
          <w:rFonts w:asciiTheme="minorHAnsi" w:eastAsia="Calibri" w:hAnsiTheme="minorHAnsi" w:cstheme="minorBidi"/>
          <w:color w:val="000000" w:themeColor="text1"/>
          <w:szCs w:val="20"/>
        </w:rPr>
        <w:t xml:space="preserve"> </w:t>
      </w:r>
    </w:p>
    <w:p w14:paraId="014DFA71" w14:textId="5B3D4D9F" w:rsidR="005B5C50" w:rsidRPr="002926D7" w:rsidRDefault="005B5C50" w:rsidP="002926D7">
      <w:pPr>
        <w:pStyle w:val="ListParagraph"/>
        <w:numPr>
          <w:ilvl w:val="0"/>
          <w:numId w:val="29"/>
        </w:numPr>
        <w:spacing w:before="60"/>
        <w:jc w:val="left"/>
        <w:rPr>
          <w:rFonts w:asciiTheme="minorHAnsi" w:eastAsia="Calibri" w:hAnsiTheme="minorHAnsi" w:cstheme="minorBidi"/>
          <w:color w:val="000000" w:themeColor="text1"/>
          <w:szCs w:val="20"/>
        </w:rPr>
      </w:pPr>
      <w:r w:rsidRPr="002926D7">
        <w:rPr>
          <w:rFonts w:asciiTheme="minorHAnsi" w:eastAsia="Calibri" w:hAnsiTheme="minorHAnsi" w:cstheme="minorBidi"/>
          <w:color w:val="000000" w:themeColor="text1"/>
          <w:szCs w:val="20"/>
        </w:rPr>
        <w:t>CSOs/CBOs may have limited access to equitable markets, due to inadequate and inefficient distribution and production services</w:t>
      </w:r>
      <w:r w:rsidR="004F7E19" w:rsidRPr="002926D7">
        <w:rPr>
          <w:rFonts w:asciiTheme="minorHAnsi" w:eastAsia="Calibri" w:hAnsiTheme="minorHAnsi" w:cstheme="minorBidi"/>
          <w:color w:val="000000" w:themeColor="text1"/>
          <w:szCs w:val="20"/>
        </w:rPr>
        <w:t>.</w:t>
      </w:r>
    </w:p>
    <w:p w14:paraId="409AF991" w14:textId="2B31BFC9" w:rsidR="004F7E19" w:rsidRPr="002926D7" w:rsidRDefault="003E25A6" w:rsidP="002926D7">
      <w:pPr>
        <w:pStyle w:val="ListParagraph"/>
        <w:numPr>
          <w:ilvl w:val="0"/>
          <w:numId w:val="29"/>
        </w:numPr>
        <w:spacing w:before="60"/>
        <w:jc w:val="left"/>
        <w:rPr>
          <w:rFonts w:asciiTheme="minorHAnsi" w:eastAsia="Calibri" w:hAnsiTheme="minorHAnsi" w:cstheme="minorBidi"/>
          <w:color w:val="000000" w:themeColor="text1"/>
          <w:szCs w:val="20"/>
        </w:rPr>
      </w:pPr>
      <w:r w:rsidRPr="002926D7">
        <w:rPr>
          <w:rStyle w:val="xnormaltextrun"/>
          <w:szCs w:val="20"/>
          <w:shd w:val="clear" w:color="auto" w:fill="FFFFFF"/>
        </w:rPr>
        <w:t>Since some leaders/members of CSOs/CBOs are not registered, they struggle to register their own CSOs/CBOs in a country of operation and to open bank accounts to receive grants to finance its activities</w:t>
      </w:r>
      <w:r w:rsidR="004F7E19" w:rsidRPr="002926D7">
        <w:rPr>
          <w:rFonts w:asciiTheme="minorHAnsi" w:eastAsia="Calibri" w:hAnsiTheme="minorHAnsi" w:cstheme="minorBidi"/>
          <w:szCs w:val="20"/>
        </w:rPr>
        <w:t>.</w:t>
      </w:r>
    </w:p>
    <w:p w14:paraId="278D60BF" w14:textId="046CC139" w:rsidR="005B5C50" w:rsidRPr="002926D7" w:rsidRDefault="005B5C50" w:rsidP="002926D7">
      <w:pPr>
        <w:pStyle w:val="ListParagraph"/>
        <w:numPr>
          <w:ilvl w:val="0"/>
          <w:numId w:val="29"/>
        </w:numPr>
        <w:spacing w:before="60"/>
        <w:jc w:val="left"/>
        <w:rPr>
          <w:rFonts w:asciiTheme="minorHAnsi" w:eastAsia="Calibri" w:hAnsiTheme="minorHAnsi" w:cstheme="minorBidi"/>
          <w:color w:val="000000" w:themeColor="text1"/>
          <w:szCs w:val="20"/>
        </w:rPr>
      </w:pPr>
      <w:r w:rsidRPr="002926D7">
        <w:rPr>
          <w:rFonts w:asciiTheme="minorHAnsi" w:eastAsia="Calibri" w:hAnsiTheme="minorHAnsi" w:cstheme="minorBidi"/>
          <w:color w:val="000000" w:themeColor="text1"/>
          <w:szCs w:val="20"/>
        </w:rPr>
        <w:t>CSOs’/CBOs’ organizational capacities may be weak without the tools and experience required for transparent, democratic and visionary collective action in their communities and with other communities across their shared landscapes-seascapes</w:t>
      </w:r>
      <w:r w:rsidR="004F7E19" w:rsidRPr="002926D7">
        <w:rPr>
          <w:rFonts w:asciiTheme="minorHAnsi" w:eastAsia="Calibri" w:hAnsiTheme="minorHAnsi" w:cstheme="minorBidi"/>
          <w:color w:val="000000" w:themeColor="text1"/>
          <w:szCs w:val="20"/>
        </w:rPr>
        <w:t>.</w:t>
      </w:r>
      <w:r w:rsidRPr="002926D7">
        <w:rPr>
          <w:rFonts w:asciiTheme="minorHAnsi" w:eastAsia="Calibri" w:hAnsiTheme="minorHAnsi" w:cstheme="minorBidi"/>
          <w:color w:val="000000" w:themeColor="text1"/>
          <w:szCs w:val="20"/>
        </w:rPr>
        <w:t xml:space="preserve"> </w:t>
      </w:r>
    </w:p>
    <w:p w14:paraId="75C552DB" w14:textId="319DE337" w:rsidR="005B5C50" w:rsidRPr="002926D7" w:rsidRDefault="005B5C50" w:rsidP="002926D7">
      <w:pPr>
        <w:pStyle w:val="ListParagraph"/>
        <w:numPr>
          <w:ilvl w:val="0"/>
          <w:numId w:val="29"/>
        </w:numPr>
        <w:spacing w:before="60"/>
        <w:jc w:val="left"/>
        <w:rPr>
          <w:rFonts w:asciiTheme="minorHAnsi" w:eastAsia="Calibri" w:hAnsiTheme="minorHAnsi" w:cstheme="minorBidi"/>
          <w:color w:val="000000" w:themeColor="text1"/>
          <w:szCs w:val="20"/>
        </w:rPr>
      </w:pPr>
      <w:r w:rsidRPr="002926D7">
        <w:rPr>
          <w:rFonts w:asciiTheme="minorHAnsi" w:eastAsia="Calibri" w:hAnsiTheme="minorHAnsi" w:cstheme="minorBidi"/>
          <w:color w:val="000000" w:themeColor="text1"/>
          <w:szCs w:val="20"/>
        </w:rPr>
        <w:t>CSOs’/CBOs’ technical capacities to adopt or adapt new, more sustainable practices may be poor, and their access to accurate information, including digital solutions and tools, may be weak and insufficient.</w:t>
      </w:r>
    </w:p>
    <w:p w14:paraId="76189C98" w14:textId="4051397F" w:rsidR="00772129" w:rsidRPr="002926D7" w:rsidRDefault="00772129" w:rsidP="002926D7">
      <w:pPr>
        <w:pStyle w:val="ListParagraph"/>
        <w:numPr>
          <w:ilvl w:val="0"/>
          <w:numId w:val="29"/>
        </w:numPr>
        <w:spacing w:before="60"/>
        <w:jc w:val="left"/>
        <w:rPr>
          <w:rFonts w:asciiTheme="minorHAnsi" w:eastAsia="Calibri" w:hAnsiTheme="minorHAnsi" w:cstheme="minorBidi"/>
          <w:color w:val="000000" w:themeColor="text1"/>
          <w:szCs w:val="20"/>
        </w:rPr>
      </w:pPr>
      <w:r w:rsidRPr="002926D7">
        <w:rPr>
          <w:rFonts w:asciiTheme="minorHAnsi" w:eastAsia="Calibri" w:hAnsiTheme="minorHAnsi" w:cstheme="minorBidi"/>
          <w:color w:val="000000" w:themeColor="text1"/>
          <w:szCs w:val="20"/>
        </w:rPr>
        <w:t>CSOs/CBOs often lack access to meaningfully participate in local, regional and global governance and natural resource management initiatives.</w:t>
      </w:r>
    </w:p>
    <w:p w14:paraId="09E9269C" w14:textId="77777777" w:rsidR="00053B63" w:rsidRPr="002926D7" w:rsidRDefault="00053B63" w:rsidP="002926D7">
      <w:pPr>
        <w:pStyle w:val="ListParagraph"/>
        <w:numPr>
          <w:ilvl w:val="0"/>
          <w:numId w:val="29"/>
        </w:numPr>
        <w:spacing w:before="60"/>
        <w:jc w:val="left"/>
        <w:rPr>
          <w:rFonts w:asciiTheme="minorHAnsi" w:eastAsia="Calibri" w:hAnsiTheme="minorHAnsi" w:cstheme="minorBidi"/>
          <w:color w:val="000000" w:themeColor="text1"/>
        </w:rPr>
      </w:pPr>
      <w:r w:rsidRPr="002926D7">
        <w:rPr>
          <w:rFonts w:asciiTheme="minorHAnsi" w:eastAsia="Calibri" w:hAnsiTheme="minorHAnsi" w:cstheme="minorBidi"/>
          <w:color w:val="000000" w:themeColor="text1"/>
        </w:rPr>
        <w:t>Many Indigenous Peoples and local communities (IPs and LCs), which make up the primary CSO/CBO direct beneficiaries of the SGP are often situated in remote and isolated locations which makes accessing information and resources challenging.</w:t>
      </w:r>
    </w:p>
    <w:p w14:paraId="7ACF6D5C" w14:textId="507AF46E" w:rsidR="007404B8" w:rsidRPr="002926D7" w:rsidRDefault="00053B63" w:rsidP="002926D7">
      <w:pPr>
        <w:pStyle w:val="ListParagraph"/>
        <w:numPr>
          <w:ilvl w:val="0"/>
          <w:numId w:val="29"/>
        </w:numPr>
        <w:spacing w:before="60"/>
        <w:jc w:val="left"/>
        <w:rPr>
          <w:rFonts w:asciiTheme="minorHAnsi" w:eastAsia="Calibri" w:hAnsiTheme="minorHAnsi" w:cstheme="minorBidi"/>
          <w:color w:val="000000" w:themeColor="text1"/>
          <w:szCs w:val="20"/>
        </w:rPr>
      </w:pPr>
      <w:r w:rsidRPr="002926D7">
        <w:rPr>
          <w:rFonts w:asciiTheme="minorHAnsi" w:eastAsia="Calibri" w:hAnsiTheme="minorHAnsi" w:cstheme="minorBidi"/>
          <w:color w:val="000000" w:themeColor="text1"/>
        </w:rPr>
        <w:t>Information on access to capacity building and grant funding opportunities is often unavailable in local languages</w:t>
      </w:r>
      <w:r w:rsidR="007404B8" w:rsidRPr="002926D7">
        <w:rPr>
          <w:rFonts w:asciiTheme="minorHAnsi" w:eastAsia="Calibri" w:hAnsiTheme="minorHAnsi" w:cstheme="minorBidi"/>
          <w:color w:val="000000" w:themeColor="text1"/>
          <w:szCs w:val="20"/>
        </w:rPr>
        <w:t>.</w:t>
      </w:r>
    </w:p>
    <w:p w14:paraId="2E088E3D" w14:textId="77777777" w:rsidR="005B5C50" w:rsidRPr="002926D7" w:rsidRDefault="005B5C50" w:rsidP="002926D7">
      <w:pPr>
        <w:rPr>
          <w:rFonts w:asciiTheme="minorHAnsi" w:eastAsia="Calibri" w:hAnsiTheme="minorHAnsi" w:cstheme="minorBidi"/>
          <w:color w:val="000000" w:themeColor="text1"/>
          <w:szCs w:val="20"/>
        </w:rPr>
      </w:pPr>
    </w:p>
    <w:p w14:paraId="4C62666A" w14:textId="0F7DBEAD" w:rsidR="005B5C50" w:rsidRPr="002926D7" w:rsidRDefault="00583295" w:rsidP="002926D7">
      <w:pPr>
        <w:numPr>
          <w:ilvl w:val="0"/>
          <w:numId w:val="8"/>
        </w:numPr>
        <w:ind w:left="0" w:firstLine="0"/>
        <w:rPr>
          <w:rFonts w:asciiTheme="minorHAnsi" w:eastAsia="Calibri" w:hAnsiTheme="minorHAnsi" w:cstheme="minorBidi"/>
          <w:color w:val="000000" w:themeColor="text1"/>
          <w:szCs w:val="20"/>
        </w:rPr>
      </w:pPr>
      <w:r w:rsidRPr="002926D7">
        <w:rPr>
          <w:rFonts w:asciiTheme="minorHAnsi" w:eastAsia="Calibri" w:hAnsiTheme="minorHAnsi" w:cstheme="minorBidi"/>
          <w:color w:val="000000" w:themeColor="text1"/>
        </w:rPr>
        <w:t>At the local level, in both rural and urban landscapes</w:t>
      </w:r>
      <w:r w:rsidR="00053B63" w:rsidRPr="002926D7">
        <w:rPr>
          <w:rFonts w:asciiTheme="minorHAnsi" w:eastAsia="Calibri" w:hAnsiTheme="minorHAnsi" w:cstheme="minorBidi"/>
          <w:color w:val="000000" w:themeColor="text1"/>
        </w:rPr>
        <w:t>-seascapes</w:t>
      </w:r>
      <w:r w:rsidRPr="002926D7">
        <w:rPr>
          <w:rFonts w:asciiTheme="minorHAnsi" w:eastAsia="Calibri" w:hAnsiTheme="minorHAnsi" w:cstheme="minorBidi"/>
          <w:color w:val="000000" w:themeColor="text1"/>
        </w:rPr>
        <w:t xml:space="preserve">, </w:t>
      </w:r>
      <w:r w:rsidR="007404B8" w:rsidRPr="002926D7">
        <w:rPr>
          <w:rFonts w:asciiTheme="minorHAnsi" w:eastAsia="Calibri" w:hAnsiTheme="minorHAnsi" w:cstheme="minorBidi"/>
          <w:color w:val="000000" w:themeColor="text1"/>
        </w:rPr>
        <w:t>technical</w:t>
      </w:r>
      <w:r w:rsidRPr="002926D7">
        <w:rPr>
          <w:rFonts w:asciiTheme="minorHAnsi" w:eastAsia="Calibri" w:hAnsiTheme="minorHAnsi" w:cstheme="minorBidi"/>
          <w:b/>
          <w:bCs/>
          <w:i/>
          <w:iCs/>
          <w:color w:val="000000" w:themeColor="text1"/>
        </w:rPr>
        <w:t xml:space="preserve"> expertise and know-how </w:t>
      </w:r>
      <w:r w:rsidRPr="002926D7">
        <w:rPr>
          <w:rFonts w:asciiTheme="minorHAnsi" w:eastAsia="Calibri" w:hAnsiTheme="minorHAnsi" w:cstheme="minorBidi"/>
          <w:color w:val="000000" w:themeColor="text1"/>
        </w:rPr>
        <w:t xml:space="preserve">is found to transform policy into concrete action on the ground, and to feed the lessons of effective local action back to sustainable development policy. At this level, the closest </w:t>
      </w:r>
      <w:r w:rsidRPr="002926D7">
        <w:rPr>
          <w:rFonts w:asciiTheme="minorHAnsi" w:eastAsia="Calibri" w:hAnsiTheme="minorHAnsi" w:cstheme="minorBidi"/>
          <w:b/>
          <w:bCs/>
          <w:i/>
          <w:iCs/>
          <w:color w:val="000000" w:themeColor="text1"/>
        </w:rPr>
        <w:t>interactions between government, civil society and the private sector</w:t>
      </w:r>
      <w:r w:rsidRPr="002926D7">
        <w:rPr>
          <w:rFonts w:asciiTheme="minorHAnsi" w:eastAsia="Calibri" w:hAnsiTheme="minorHAnsi" w:cstheme="minorBidi"/>
          <w:color w:val="000000" w:themeColor="text1"/>
        </w:rPr>
        <w:t xml:space="preserve"> are found to realize true whole-of-society approaches, where these local level actors can engage collectively in impact-oriented action. Strengthening and promoting multi-stakeholder local action ensures a more effective response to the planetary crisis, particularly including climate-vulnerable and marginalized populations (e.g., Indigenous Peoples, women, youth, elderly, persons with disabilities). CSOs/CBOs are important sources of influence based on trust and peer-to-peer interactions, and they can play a decisive role in galvanizing collective </w:t>
      </w:r>
      <w:r w:rsidRPr="002926D7">
        <w:rPr>
          <w:rFonts w:asciiTheme="minorHAnsi" w:eastAsia="Calibri" w:hAnsiTheme="minorHAnsi" w:cstheme="minorBidi"/>
          <w:color w:val="000000" w:themeColor="text1"/>
        </w:rPr>
        <w:lastRenderedPageBreak/>
        <w:t>action, raising awareness, advocating policy reforms, and generating multi-stakeholder collaboration in developing and implementing innovative approaches to effective action</w:t>
      </w:r>
      <w:r w:rsidR="005B5C50" w:rsidRPr="002926D7">
        <w:rPr>
          <w:rFonts w:asciiTheme="minorHAnsi" w:eastAsia="Calibri" w:hAnsiTheme="minorHAnsi" w:cstheme="minorBidi"/>
          <w:color w:val="000000" w:themeColor="text1"/>
          <w:szCs w:val="20"/>
        </w:rPr>
        <w:t>.</w:t>
      </w:r>
    </w:p>
    <w:p w14:paraId="2339C963" w14:textId="77777777" w:rsidR="005B5C50" w:rsidRPr="002926D7" w:rsidRDefault="005B5C50" w:rsidP="002926D7">
      <w:pPr>
        <w:rPr>
          <w:rFonts w:asciiTheme="minorHAnsi" w:eastAsia="Calibri" w:hAnsiTheme="minorHAnsi" w:cstheme="minorBidi"/>
          <w:color w:val="000000" w:themeColor="text1"/>
          <w:szCs w:val="20"/>
        </w:rPr>
      </w:pPr>
    </w:p>
    <w:p w14:paraId="1795F3A0" w14:textId="7776B214" w:rsidR="005B5C50" w:rsidRPr="002926D7" w:rsidRDefault="005B5C50" w:rsidP="002926D7">
      <w:pPr>
        <w:numPr>
          <w:ilvl w:val="0"/>
          <w:numId w:val="8"/>
        </w:numPr>
        <w:ind w:left="0" w:firstLine="0"/>
        <w:rPr>
          <w:rFonts w:asciiTheme="minorHAnsi" w:eastAsia="Calibri" w:hAnsiTheme="minorHAnsi" w:cstheme="minorBidi"/>
          <w:color w:val="000000" w:themeColor="text1"/>
          <w:szCs w:val="20"/>
        </w:rPr>
      </w:pPr>
      <w:r w:rsidRPr="002926D7">
        <w:rPr>
          <w:rFonts w:asciiTheme="minorHAnsi" w:eastAsia="Calibri" w:hAnsiTheme="minorHAnsi" w:cstheme="minorBidi"/>
          <w:color w:val="000000" w:themeColor="text1"/>
          <w:szCs w:val="20"/>
        </w:rPr>
        <w:t xml:space="preserve">The need to </w:t>
      </w:r>
      <w:r w:rsidRPr="002926D7">
        <w:rPr>
          <w:rFonts w:asciiTheme="minorHAnsi" w:eastAsia="Calibri" w:hAnsiTheme="minorHAnsi" w:cstheme="minorBidi"/>
          <w:b/>
          <w:bCs/>
          <w:i/>
          <w:iCs/>
          <w:color w:val="000000" w:themeColor="text1"/>
          <w:szCs w:val="20"/>
        </w:rPr>
        <w:t>support locally owned priorities through decentralized finance and decision making</w:t>
      </w:r>
      <w:r w:rsidRPr="002926D7">
        <w:rPr>
          <w:rFonts w:asciiTheme="minorHAnsi" w:eastAsia="Calibri" w:hAnsiTheme="minorHAnsi" w:cstheme="minorBidi"/>
          <w:color w:val="000000" w:themeColor="text1"/>
          <w:szCs w:val="20"/>
        </w:rPr>
        <w:t xml:space="preserve"> is central to effective and efficient implementation of sustainable development and environmental policies and programs. Locally</w:t>
      </w:r>
      <w:r w:rsidR="00053B63" w:rsidRPr="002926D7">
        <w:rPr>
          <w:rFonts w:asciiTheme="minorHAnsi" w:eastAsia="Calibri" w:hAnsiTheme="minorHAnsi" w:cstheme="minorBidi"/>
          <w:color w:val="000000" w:themeColor="text1"/>
          <w:szCs w:val="20"/>
        </w:rPr>
        <w:t>-</w:t>
      </w:r>
      <w:r w:rsidRPr="002926D7">
        <w:rPr>
          <w:rFonts w:asciiTheme="minorHAnsi" w:eastAsia="Calibri" w:hAnsiTheme="minorHAnsi" w:cstheme="minorBidi"/>
          <w:color w:val="000000" w:themeColor="text1"/>
          <w:szCs w:val="20"/>
        </w:rPr>
        <w:t xml:space="preserve">led action means local actors have </w:t>
      </w:r>
      <w:r w:rsidRPr="002926D7">
        <w:rPr>
          <w:rFonts w:asciiTheme="minorHAnsi" w:eastAsia="Calibri" w:hAnsiTheme="minorHAnsi" w:cstheme="minorBidi"/>
          <w:b/>
          <w:bCs/>
          <w:i/>
          <w:iCs/>
          <w:color w:val="000000" w:themeColor="text1"/>
          <w:szCs w:val="20"/>
        </w:rPr>
        <w:t>individual and collective agency</w:t>
      </w:r>
      <w:r w:rsidRPr="002926D7">
        <w:rPr>
          <w:rFonts w:asciiTheme="minorHAnsi" w:eastAsia="Calibri" w:hAnsiTheme="minorHAnsi" w:cstheme="minorBidi"/>
          <w:color w:val="000000" w:themeColor="text1"/>
          <w:szCs w:val="20"/>
        </w:rPr>
        <w:t xml:space="preserve"> over defining, prioritizing, designing, implementing, monitoring and evaluating their chosen initiatives. This includes ecosystem restoration, climate resilient and biodiversity-friendly integrated agriculture and food systems and production, water resource management, sustainable and resilient livelihoods, and other locally defined priorities, as well as climate mitigation options regarding energy and water use efficiency, urban greening, renewable energy applications, clean fuel transport, and other locally supported possibilities and innovations. </w:t>
      </w:r>
    </w:p>
    <w:p w14:paraId="6EAFF666" w14:textId="77777777" w:rsidR="005B5C50" w:rsidRPr="002926D7" w:rsidRDefault="005B5C50" w:rsidP="002926D7">
      <w:pPr>
        <w:pStyle w:val="ListParagraph"/>
        <w:rPr>
          <w:rFonts w:asciiTheme="minorHAnsi" w:eastAsia="Calibri" w:hAnsiTheme="minorHAnsi" w:cstheme="minorBidi"/>
          <w:color w:val="000000" w:themeColor="text1"/>
          <w:szCs w:val="20"/>
        </w:rPr>
      </w:pPr>
    </w:p>
    <w:p w14:paraId="5DC4C6E5" w14:textId="77777777" w:rsidR="005B5C50" w:rsidRPr="002926D7" w:rsidRDefault="005B5C50" w:rsidP="002926D7">
      <w:pPr>
        <w:numPr>
          <w:ilvl w:val="0"/>
          <w:numId w:val="8"/>
        </w:numPr>
        <w:ind w:left="0" w:firstLine="0"/>
        <w:rPr>
          <w:rFonts w:asciiTheme="minorHAnsi" w:eastAsia="Calibri" w:hAnsiTheme="minorHAnsi" w:cstheme="minorBidi"/>
          <w:color w:val="000000" w:themeColor="text1"/>
          <w:szCs w:val="20"/>
        </w:rPr>
      </w:pPr>
      <w:r w:rsidRPr="002926D7">
        <w:rPr>
          <w:rFonts w:asciiTheme="minorHAnsi" w:eastAsia="Calibri" w:hAnsiTheme="minorHAnsi" w:cstheme="minorBidi"/>
          <w:color w:val="000000" w:themeColor="text1"/>
          <w:szCs w:val="20"/>
        </w:rPr>
        <w:t xml:space="preserve">CSOs/CBOs should also be empowered to design, implement and deliver </w:t>
      </w:r>
      <w:r w:rsidRPr="002926D7">
        <w:rPr>
          <w:rFonts w:asciiTheme="minorHAnsi" w:eastAsia="Calibri" w:hAnsiTheme="minorHAnsi" w:cstheme="minorBidi"/>
          <w:b/>
          <w:bCs/>
          <w:i/>
          <w:iCs/>
          <w:color w:val="000000" w:themeColor="text1"/>
          <w:szCs w:val="20"/>
        </w:rPr>
        <w:t>their own innovative solutions</w:t>
      </w:r>
      <w:r w:rsidRPr="002926D7">
        <w:rPr>
          <w:rFonts w:asciiTheme="minorHAnsi" w:eastAsia="Calibri" w:hAnsiTheme="minorHAnsi" w:cstheme="minorBidi"/>
          <w:color w:val="000000" w:themeColor="text1"/>
          <w:szCs w:val="20"/>
        </w:rPr>
        <w:t xml:space="preserve"> – technologies, practices, systems - so that interventions respect cultural practices and traditional knowledge, are contextually fit-for-purpose, and become a central part of everyday lives and local enterprises and institutions. Because of their profound knowledge from immersion in the socio-ecological context, CSOs/CBOs have developed and continue to develop innovations in practices, systems and technologies; for example, in access to energy, pest control, soil, water and species conservation practices, plant breeding, post-harvest processing, sustainable economic alternatives and other areas of resource use. However, local innovation is rarely supported, and the cultural values and biodiversity that sustain it are eroding. </w:t>
      </w:r>
    </w:p>
    <w:p w14:paraId="610F1A87" w14:textId="77777777" w:rsidR="005B5C50" w:rsidRPr="002926D7" w:rsidRDefault="005B5C50" w:rsidP="002926D7">
      <w:pPr>
        <w:pStyle w:val="ListParagraph"/>
        <w:rPr>
          <w:rFonts w:asciiTheme="minorHAnsi" w:eastAsia="Calibri" w:hAnsiTheme="minorHAnsi" w:cstheme="minorBidi"/>
          <w:color w:val="000000" w:themeColor="text1"/>
          <w:szCs w:val="20"/>
        </w:rPr>
      </w:pPr>
    </w:p>
    <w:p w14:paraId="63CB17AC" w14:textId="47136A37" w:rsidR="005B5C50" w:rsidRPr="002926D7" w:rsidRDefault="00583295" w:rsidP="002926D7">
      <w:pPr>
        <w:numPr>
          <w:ilvl w:val="0"/>
          <w:numId w:val="8"/>
        </w:numPr>
        <w:ind w:left="0" w:firstLine="0"/>
        <w:rPr>
          <w:rFonts w:asciiTheme="minorHAnsi" w:eastAsia="Calibri" w:hAnsiTheme="minorHAnsi" w:cstheme="minorBidi"/>
          <w:color w:val="000000" w:themeColor="text1"/>
          <w:szCs w:val="20"/>
        </w:rPr>
      </w:pPr>
      <w:r w:rsidRPr="002926D7">
        <w:rPr>
          <w:rFonts w:asciiTheme="minorHAnsi" w:eastAsia="Calibri" w:hAnsiTheme="minorHAnsi" w:cstheme="minorBidi"/>
          <w:color w:val="000000" w:themeColor="text1"/>
        </w:rPr>
        <w:t>Locally</w:t>
      </w:r>
      <w:r w:rsidR="00053B63" w:rsidRPr="002926D7">
        <w:rPr>
          <w:rFonts w:asciiTheme="minorHAnsi" w:eastAsia="Calibri" w:hAnsiTheme="minorHAnsi" w:cstheme="minorBidi"/>
          <w:color w:val="000000" w:themeColor="text1"/>
        </w:rPr>
        <w:t>-</w:t>
      </w:r>
      <w:r w:rsidRPr="002926D7">
        <w:rPr>
          <w:rFonts w:asciiTheme="minorHAnsi" w:eastAsia="Calibri" w:hAnsiTheme="minorHAnsi" w:cstheme="minorBidi"/>
          <w:color w:val="000000" w:themeColor="text1"/>
        </w:rPr>
        <w:t xml:space="preserve">led action builds on </w:t>
      </w:r>
      <w:r w:rsidRPr="002926D7">
        <w:rPr>
          <w:rFonts w:asciiTheme="minorHAnsi" w:eastAsia="Calibri" w:hAnsiTheme="minorHAnsi" w:cstheme="minorBidi"/>
          <w:b/>
          <w:bCs/>
          <w:i/>
          <w:iCs/>
          <w:color w:val="000000" w:themeColor="text1"/>
        </w:rPr>
        <w:t>traditional knowledge</w:t>
      </w:r>
      <w:r w:rsidRPr="002926D7">
        <w:rPr>
          <w:rFonts w:asciiTheme="minorHAnsi" w:eastAsia="Calibri" w:hAnsiTheme="minorHAnsi" w:cstheme="minorBidi"/>
          <w:color w:val="000000" w:themeColor="text1"/>
        </w:rPr>
        <w:t xml:space="preserve"> to increase effectiveness and the feeling of ownership of sustainable development outcomes, including those generating global environmental benefits and climate resilience. It is crucial to support locally</w:t>
      </w:r>
      <w:r w:rsidR="00053B63" w:rsidRPr="002926D7">
        <w:rPr>
          <w:rFonts w:asciiTheme="minorHAnsi" w:eastAsia="Calibri" w:hAnsiTheme="minorHAnsi" w:cstheme="minorBidi"/>
          <w:color w:val="000000" w:themeColor="text1"/>
        </w:rPr>
        <w:t>-</w:t>
      </w:r>
      <w:r w:rsidRPr="002926D7">
        <w:rPr>
          <w:rFonts w:asciiTheme="minorHAnsi" w:eastAsia="Calibri" w:hAnsiTheme="minorHAnsi" w:cstheme="minorBidi"/>
          <w:color w:val="000000" w:themeColor="text1"/>
        </w:rPr>
        <w:t xml:space="preserve">led </w:t>
      </w:r>
      <w:r w:rsidRPr="002926D7">
        <w:rPr>
          <w:rFonts w:asciiTheme="minorHAnsi" w:eastAsia="Calibri" w:hAnsiTheme="minorHAnsi" w:cstheme="minorBidi"/>
          <w:b/>
          <w:bCs/>
          <w:i/>
          <w:iCs/>
          <w:color w:val="000000" w:themeColor="text1"/>
        </w:rPr>
        <w:t>approaches that support indigenous governance and management systems and traditional knowledge.</w:t>
      </w:r>
      <w:r w:rsidRPr="002926D7">
        <w:rPr>
          <w:rFonts w:asciiTheme="minorHAnsi" w:eastAsia="Calibri" w:hAnsiTheme="minorHAnsi" w:cstheme="minorBidi"/>
          <w:color w:val="000000" w:themeColor="text1"/>
        </w:rPr>
        <w:t xml:space="preserve"> Participatory vulnerability analysis of local socio-ecological landscapes-seascapes, including agro-ecosystems and use of indigenous crop species for agriculture and improved food security based on traditional knowledge, is an important process that empowers local actors. In coastal areas, similar approaches might be used by groups with traditional knowledge to identify more robust approaches in reducing erosion, stabilizing shorelines, protecting fisheries and sustainably using other coastal and marine resources</w:t>
      </w:r>
      <w:r w:rsidR="005B5C50" w:rsidRPr="002926D7">
        <w:rPr>
          <w:rFonts w:asciiTheme="minorHAnsi" w:eastAsia="Calibri" w:hAnsiTheme="minorHAnsi" w:cstheme="minorBidi"/>
          <w:color w:val="000000" w:themeColor="text1"/>
          <w:szCs w:val="20"/>
        </w:rPr>
        <w:t xml:space="preserve">. </w:t>
      </w:r>
    </w:p>
    <w:p w14:paraId="0158121B" w14:textId="77777777" w:rsidR="005B5C50" w:rsidRPr="002926D7" w:rsidRDefault="005B5C50" w:rsidP="002926D7">
      <w:pPr>
        <w:pStyle w:val="ListParagraph"/>
        <w:rPr>
          <w:rFonts w:asciiTheme="minorHAnsi" w:eastAsia="Calibri" w:hAnsiTheme="minorHAnsi" w:cstheme="minorBidi"/>
          <w:color w:val="000000" w:themeColor="text1"/>
          <w:szCs w:val="20"/>
        </w:rPr>
      </w:pPr>
    </w:p>
    <w:p w14:paraId="4178BA1E" w14:textId="27B70CE0" w:rsidR="005B5C50" w:rsidRPr="002926D7" w:rsidRDefault="00053B63" w:rsidP="002926D7">
      <w:pPr>
        <w:numPr>
          <w:ilvl w:val="0"/>
          <w:numId w:val="8"/>
        </w:numPr>
        <w:ind w:left="0" w:firstLine="0"/>
        <w:rPr>
          <w:rFonts w:asciiTheme="minorHAnsi" w:eastAsia="Calibri" w:hAnsiTheme="minorHAnsi" w:cstheme="minorBidi"/>
          <w:color w:val="000000" w:themeColor="text1"/>
          <w:szCs w:val="20"/>
        </w:rPr>
      </w:pPr>
      <w:r w:rsidRPr="002926D7">
        <w:rPr>
          <w:rFonts w:asciiTheme="minorHAnsi" w:eastAsia="Calibri" w:hAnsiTheme="minorHAnsi" w:cstheme="minorBidi"/>
          <w:color w:val="000000" w:themeColor="text1"/>
        </w:rPr>
        <w:t xml:space="preserve">Locally-led action requires </w:t>
      </w:r>
      <w:r w:rsidRPr="002926D7">
        <w:rPr>
          <w:rFonts w:asciiTheme="minorHAnsi" w:eastAsia="Calibri" w:hAnsiTheme="minorHAnsi" w:cstheme="minorBidi"/>
          <w:b/>
          <w:bCs/>
          <w:i/>
          <w:iCs/>
          <w:color w:val="000000" w:themeColor="text1"/>
        </w:rPr>
        <w:t>equitable governance</w:t>
      </w:r>
      <w:r w:rsidRPr="002926D7">
        <w:rPr>
          <w:rFonts w:asciiTheme="minorHAnsi" w:eastAsia="Calibri" w:hAnsiTheme="minorHAnsi" w:cstheme="minorBidi"/>
          <w:color w:val="000000" w:themeColor="text1"/>
        </w:rPr>
        <w:t xml:space="preserve"> that recognizes and respects the human and resource rights of local communities and people in rural and urban landscapes-seascapes directly experiencing environmental degradation and the impacts of the climate change, as well as the local institutions and organizations (including civil society organizations, production federations, micro, small and medium enterprises and others) representing and supporting them. A central tenet of </w:t>
      </w:r>
      <w:bookmarkStart w:id="21" w:name="_Int_kxGpUgHb"/>
      <w:r w:rsidRPr="002926D7">
        <w:rPr>
          <w:rFonts w:asciiTheme="minorHAnsi" w:eastAsia="Calibri" w:hAnsiTheme="minorHAnsi" w:cstheme="minorBidi"/>
          <w:color w:val="000000" w:themeColor="text1"/>
        </w:rPr>
        <w:t xml:space="preserve"> locally-led action</w:t>
      </w:r>
      <w:bookmarkEnd w:id="21"/>
      <w:r w:rsidRPr="002926D7">
        <w:rPr>
          <w:rFonts w:asciiTheme="minorHAnsi" w:eastAsia="Calibri" w:hAnsiTheme="minorHAnsi" w:cstheme="minorBidi"/>
          <w:color w:val="000000" w:themeColor="text1"/>
        </w:rPr>
        <w:t xml:space="preserve"> is </w:t>
      </w:r>
      <w:r w:rsidRPr="002926D7">
        <w:rPr>
          <w:rFonts w:asciiTheme="minorHAnsi" w:eastAsia="Calibri" w:hAnsiTheme="minorHAnsi" w:cstheme="minorBidi"/>
          <w:i/>
          <w:iCs/>
          <w:color w:val="000000" w:themeColor="text1"/>
        </w:rPr>
        <w:t>multi-stakeholder governance over action</w:t>
      </w:r>
      <w:r w:rsidRPr="002926D7">
        <w:rPr>
          <w:rFonts w:asciiTheme="minorHAnsi" w:eastAsia="Calibri" w:hAnsiTheme="minorHAnsi" w:cstheme="minorBidi"/>
          <w:color w:val="000000" w:themeColor="text1"/>
        </w:rPr>
        <w:t xml:space="preserve"> wherever possible. This enables local actors to consider multiple perspectives, working collaboratively to resolve trade-offs and combine valuable local, intergenerational, indigenous, traditional and cultural knowledge with scientific and technical knowledge</w:t>
      </w:r>
      <w:r w:rsidR="005B5C50" w:rsidRPr="002926D7">
        <w:rPr>
          <w:rFonts w:asciiTheme="minorHAnsi" w:eastAsia="Calibri" w:hAnsiTheme="minorHAnsi" w:cstheme="minorBidi"/>
          <w:color w:val="000000" w:themeColor="text1"/>
          <w:szCs w:val="20"/>
        </w:rPr>
        <w:t>.</w:t>
      </w:r>
    </w:p>
    <w:p w14:paraId="4F88D7EE" w14:textId="77777777" w:rsidR="005B5C50" w:rsidRPr="002926D7" w:rsidRDefault="005B5C50" w:rsidP="002926D7">
      <w:pPr>
        <w:pStyle w:val="ListParagraph"/>
        <w:rPr>
          <w:rFonts w:asciiTheme="minorHAnsi" w:eastAsia="Calibri" w:hAnsiTheme="minorHAnsi" w:cstheme="minorBidi"/>
          <w:color w:val="000000" w:themeColor="text1"/>
          <w:szCs w:val="20"/>
        </w:rPr>
      </w:pPr>
    </w:p>
    <w:p w14:paraId="7E7CB4D0" w14:textId="77777777" w:rsidR="005B5C50" w:rsidRPr="002926D7" w:rsidRDefault="005B5C50" w:rsidP="002926D7">
      <w:pPr>
        <w:numPr>
          <w:ilvl w:val="0"/>
          <w:numId w:val="8"/>
        </w:numPr>
        <w:ind w:left="0" w:firstLine="0"/>
        <w:rPr>
          <w:rFonts w:asciiTheme="minorHAnsi" w:eastAsia="Calibri" w:hAnsiTheme="minorHAnsi" w:cstheme="minorBidi"/>
          <w:color w:val="000000" w:themeColor="text1"/>
          <w:szCs w:val="20"/>
        </w:rPr>
      </w:pPr>
      <w:r w:rsidRPr="002926D7">
        <w:rPr>
          <w:rFonts w:asciiTheme="minorHAnsi" w:eastAsia="Calibri" w:hAnsiTheme="minorHAnsi" w:cstheme="minorBidi"/>
          <w:color w:val="000000" w:themeColor="text1"/>
          <w:szCs w:val="20"/>
        </w:rPr>
        <w:t xml:space="preserve">To act effectively to meet the challenges of global environmental degradation, local actors must be capable and unconstrained in collectively exercising agency by making their own decisions; they must have ready access to consistent and reliable technical expertise, training, knowledge and information vital to managing the risks of innovating and sustaining solutions to these challenges, as well as “patient and permissive” financing, in particular, grant financing, which can also be used to reduce or leverage non-grant financing. </w:t>
      </w:r>
    </w:p>
    <w:p w14:paraId="11317D09" w14:textId="77777777" w:rsidR="005B5C50" w:rsidRPr="002926D7" w:rsidRDefault="005B5C50" w:rsidP="002926D7">
      <w:pPr>
        <w:pStyle w:val="ListParagraph"/>
        <w:rPr>
          <w:rFonts w:asciiTheme="minorHAnsi" w:eastAsia="Calibri" w:hAnsiTheme="minorHAnsi" w:cstheme="minorBidi"/>
          <w:color w:val="000000" w:themeColor="text1"/>
          <w:szCs w:val="20"/>
        </w:rPr>
      </w:pPr>
    </w:p>
    <w:p w14:paraId="3E3E150B" w14:textId="5FB6AFA2" w:rsidR="005B5C50" w:rsidRPr="002926D7" w:rsidRDefault="005B5C50" w:rsidP="002926D7">
      <w:pPr>
        <w:numPr>
          <w:ilvl w:val="0"/>
          <w:numId w:val="8"/>
        </w:numPr>
        <w:ind w:left="0" w:firstLine="0"/>
        <w:rPr>
          <w:rFonts w:asciiTheme="minorHAnsi" w:eastAsia="Calibri" w:hAnsiTheme="minorHAnsi" w:cstheme="minorBidi"/>
          <w:color w:val="000000" w:themeColor="text1"/>
          <w:szCs w:val="20"/>
        </w:rPr>
      </w:pPr>
      <w:r w:rsidRPr="002926D7">
        <w:rPr>
          <w:rFonts w:asciiTheme="minorHAnsi" w:eastAsia="Calibri" w:hAnsiTheme="minorHAnsi" w:cstheme="minorBidi"/>
          <w:color w:val="000000" w:themeColor="text1"/>
          <w:szCs w:val="20"/>
        </w:rPr>
        <w:t>The organizational and civic capacities of CSOs/CBOs are strengthened through learning-by-doing, their increasing sense of responsibility and ownership, and their firm commitment to landscape management goals and decisions. Decision making bodies – to be respected - must be representative and inclusive; this means that overcoming structural inequalities faced by different groups and populations living and working in the landscape-seascape must be a central goal of landscape-seascape governance to ensure effective resource management to enhance resilience.</w:t>
      </w:r>
    </w:p>
    <w:p w14:paraId="6EBA24BB" w14:textId="77777777" w:rsidR="005B5C50" w:rsidRPr="002926D7" w:rsidRDefault="005B5C50" w:rsidP="002926D7">
      <w:pPr>
        <w:rPr>
          <w:rFonts w:asciiTheme="minorHAnsi" w:eastAsia="Calibri" w:hAnsiTheme="minorHAnsi" w:cstheme="minorBidi"/>
          <w:color w:val="000000" w:themeColor="text1"/>
          <w:szCs w:val="20"/>
        </w:rPr>
      </w:pPr>
      <w:r w:rsidRPr="002926D7">
        <w:rPr>
          <w:rFonts w:asciiTheme="minorHAnsi" w:eastAsia="Calibri" w:hAnsiTheme="minorHAnsi" w:cstheme="minorBidi"/>
          <w:color w:val="000000" w:themeColor="text1"/>
          <w:szCs w:val="20"/>
        </w:rPr>
        <w:t xml:space="preserve"> </w:t>
      </w:r>
    </w:p>
    <w:p w14:paraId="1C476C6D" w14:textId="6B00E0C2" w:rsidR="000A0BD9" w:rsidRPr="002926D7" w:rsidRDefault="003258E9" w:rsidP="002926D7">
      <w:pPr>
        <w:rPr>
          <w:b/>
          <w:bCs/>
          <w:u w:val="single"/>
        </w:rPr>
      </w:pPr>
      <w:r w:rsidRPr="002926D7">
        <w:rPr>
          <w:b/>
          <w:bCs/>
          <w:u w:val="single"/>
        </w:rPr>
        <w:t xml:space="preserve">Barriers hindering effective and </w:t>
      </w:r>
      <w:r w:rsidR="005B5C50" w:rsidRPr="002926D7">
        <w:rPr>
          <w:b/>
          <w:bCs/>
          <w:u w:val="single"/>
        </w:rPr>
        <w:t>collective action by CSOs/CBOs</w:t>
      </w:r>
      <w:r w:rsidR="3CC6CD8C" w:rsidRPr="002926D7">
        <w:rPr>
          <w:b/>
          <w:bCs/>
          <w:u w:val="single"/>
        </w:rPr>
        <w:t>:</w:t>
      </w:r>
    </w:p>
    <w:bookmarkEnd w:id="17"/>
    <w:p w14:paraId="1F5E706D" w14:textId="77777777" w:rsidR="008161E0" w:rsidRPr="002926D7" w:rsidRDefault="008161E0" w:rsidP="002926D7">
      <w:pPr>
        <w:rPr>
          <w:szCs w:val="20"/>
        </w:rPr>
      </w:pPr>
    </w:p>
    <w:p w14:paraId="2283A5CB" w14:textId="73506BF2" w:rsidR="005B5C50" w:rsidRPr="002926D7" w:rsidRDefault="00053B63" w:rsidP="002926D7">
      <w:pPr>
        <w:numPr>
          <w:ilvl w:val="0"/>
          <w:numId w:val="8"/>
        </w:numPr>
        <w:ind w:left="0" w:firstLine="0"/>
        <w:rPr>
          <w:rFonts w:asciiTheme="minorHAnsi" w:eastAsia="Calibri" w:hAnsiTheme="minorHAnsi" w:cstheme="minorBidi"/>
          <w:color w:val="000000" w:themeColor="text1"/>
          <w:szCs w:val="20"/>
        </w:rPr>
      </w:pPr>
      <w:bookmarkStart w:id="22" w:name="_Hlk121759131"/>
      <w:r w:rsidRPr="002926D7">
        <w:rPr>
          <w:rFonts w:asciiTheme="minorHAnsi" w:eastAsia="Calibri" w:hAnsiTheme="minorHAnsi" w:cstheme="minorBidi"/>
          <w:color w:val="000000" w:themeColor="text1"/>
        </w:rPr>
        <w:t>Local actors at landscape-seascape level – government, private sector and civil society – often act separately and at times at cross-purposes. By coming together around a jointly developed, shared programme of action across the landscape-seascape (catchment, valley, coastal zone, small island, etc.), local actors can act more effectively and efficiently, ensure compliance with agreed norms and standards, exchange information and knowledge and ensure transparency and accountability of decision-making and governance. Local government institutions can be strengthened by consistent, direct and frequent interactions with civil society and private sector actors within a flexible landscape-seascape governance framework that prizes participation, learning, joint programming and partnership building. This inclusive, representative governance platform also becomes a venue for analysis and discussion of risks and uncertainties, identification and prioritization of outcomes, assessment of potential solutions or responses, and strategy development and programming for collective action and investment</w:t>
      </w:r>
      <w:r w:rsidR="005B5C50" w:rsidRPr="002926D7">
        <w:rPr>
          <w:rFonts w:asciiTheme="minorHAnsi" w:eastAsia="Calibri" w:hAnsiTheme="minorHAnsi" w:cstheme="minorBidi"/>
          <w:color w:val="000000" w:themeColor="text1"/>
          <w:szCs w:val="20"/>
        </w:rPr>
        <w:t>.</w:t>
      </w:r>
    </w:p>
    <w:p w14:paraId="474A7813" w14:textId="77777777" w:rsidR="005B5C50" w:rsidRPr="002926D7" w:rsidRDefault="005B5C50" w:rsidP="002926D7">
      <w:pPr>
        <w:rPr>
          <w:rFonts w:asciiTheme="minorHAnsi" w:eastAsia="Calibri" w:hAnsiTheme="minorHAnsi" w:cstheme="minorBidi"/>
          <w:color w:val="000000" w:themeColor="text1"/>
          <w:szCs w:val="20"/>
        </w:rPr>
      </w:pPr>
    </w:p>
    <w:p w14:paraId="456A459A" w14:textId="76399743" w:rsidR="005B5C50" w:rsidRPr="002926D7" w:rsidRDefault="00E444CC" w:rsidP="002926D7">
      <w:pPr>
        <w:numPr>
          <w:ilvl w:val="0"/>
          <w:numId w:val="8"/>
        </w:numPr>
        <w:ind w:left="0" w:firstLine="0"/>
        <w:rPr>
          <w:rFonts w:asciiTheme="minorHAnsi" w:eastAsia="Calibri" w:hAnsiTheme="minorHAnsi" w:cstheme="minorBidi"/>
          <w:color w:val="000000" w:themeColor="text1"/>
          <w:szCs w:val="20"/>
        </w:rPr>
      </w:pPr>
      <w:r w:rsidRPr="002926D7">
        <w:rPr>
          <w:rFonts w:asciiTheme="minorHAnsi" w:eastAsia="Calibri" w:hAnsiTheme="minorHAnsi" w:cstheme="minorHAnsi"/>
          <w:color w:val="000000" w:themeColor="text1"/>
          <w:szCs w:val="22"/>
        </w:rPr>
        <w:t xml:space="preserve">For locally-led actions to achieve sustainable development goals and generation of global environmental benefits, such initiatives must be </w:t>
      </w:r>
      <w:r w:rsidRPr="002926D7">
        <w:rPr>
          <w:rFonts w:asciiTheme="minorHAnsi" w:eastAsia="Calibri" w:hAnsiTheme="minorHAnsi" w:cstheme="minorHAnsi"/>
          <w:b/>
          <w:bCs/>
          <w:i/>
          <w:iCs/>
          <w:color w:val="000000" w:themeColor="text1"/>
          <w:szCs w:val="22"/>
        </w:rPr>
        <w:t xml:space="preserve">urgently scaled-out </w:t>
      </w:r>
      <w:r w:rsidRPr="002926D7">
        <w:rPr>
          <w:rFonts w:asciiTheme="minorHAnsi" w:eastAsia="Calibri" w:hAnsiTheme="minorHAnsi" w:cstheme="minorHAnsi"/>
          <w:color w:val="000000" w:themeColor="text1"/>
          <w:szCs w:val="22"/>
        </w:rPr>
        <w:t xml:space="preserve">in rural and urban landscapes-seascapes across the world. Mobilizing stronger investment and technical assistance for locally-led actions – where finance and decision-making power should reside to meet local priorities, needs, interests, rights, and implementation, in reflection of NDCs, NBSAPs, NAPs and other commitments – is a key priority for UNDP and the GEF. Although considerable collective action can be and is carried out using local level resources, including cash and sweat equity, the requirements of effective, long-lasting climate-adaptive sustainable development </w:t>
      </w:r>
      <w:r w:rsidRPr="002926D7">
        <w:rPr>
          <w:rFonts w:asciiTheme="minorHAnsi" w:eastAsia="Calibri" w:hAnsiTheme="minorHAnsi" w:cstheme="minorHAnsi"/>
          <w:i/>
          <w:iCs/>
          <w:color w:val="000000" w:themeColor="text1"/>
          <w:szCs w:val="22"/>
        </w:rPr>
        <w:t>at scale</w:t>
      </w:r>
      <w:r w:rsidRPr="002926D7">
        <w:rPr>
          <w:rFonts w:asciiTheme="minorHAnsi" w:eastAsia="Calibri" w:hAnsiTheme="minorHAnsi" w:cstheme="minorHAnsi"/>
          <w:color w:val="000000" w:themeColor="text1"/>
          <w:szCs w:val="22"/>
        </w:rPr>
        <w:t xml:space="preserve"> almost certainly require greater volumes of finance, particularly in the context of increasing climate vulnerability. By developing </w:t>
      </w:r>
      <w:r w:rsidRPr="002926D7">
        <w:rPr>
          <w:rFonts w:asciiTheme="minorHAnsi" w:eastAsia="Calibri" w:hAnsiTheme="minorHAnsi" w:cstheme="minorHAnsi"/>
          <w:b/>
          <w:bCs/>
          <w:i/>
          <w:iCs/>
          <w:color w:val="000000" w:themeColor="text1"/>
          <w:szCs w:val="22"/>
        </w:rPr>
        <w:t>joint, consensus-based landscape-seascape level programmes of locally-led action</w:t>
      </w:r>
      <w:r w:rsidRPr="002926D7">
        <w:rPr>
          <w:rFonts w:asciiTheme="minorHAnsi" w:eastAsia="Calibri" w:hAnsiTheme="minorHAnsi" w:cstheme="minorHAnsi"/>
          <w:color w:val="000000" w:themeColor="text1"/>
          <w:szCs w:val="22"/>
        </w:rPr>
        <w:t>, CSOs/CBOs can engage and deploy their resources more effectively, develop partnerships with outside investors and lenders, and sequence or blend funding, as needed</w:t>
      </w:r>
      <w:r w:rsidR="005B5C50" w:rsidRPr="002926D7">
        <w:rPr>
          <w:rFonts w:asciiTheme="minorHAnsi" w:eastAsia="Calibri" w:hAnsiTheme="minorHAnsi" w:cstheme="minorBidi"/>
          <w:color w:val="000000" w:themeColor="text1"/>
          <w:szCs w:val="20"/>
        </w:rPr>
        <w:t>.</w:t>
      </w:r>
    </w:p>
    <w:p w14:paraId="3EB5A073" w14:textId="77777777" w:rsidR="005B5C50" w:rsidRPr="002926D7" w:rsidRDefault="005B5C50" w:rsidP="002926D7">
      <w:pPr>
        <w:rPr>
          <w:rFonts w:asciiTheme="minorHAnsi" w:eastAsia="Calibri" w:hAnsiTheme="minorHAnsi" w:cstheme="minorBidi"/>
          <w:color w:val="000000" w:themeColor="text1"/>
          <w:szCs w:val="20"/>
        </w:rPr>
      </w:pPr>
    </w:p>
    <w:p w14:paraId="7D2873C5" w14:textId="07E9AC70" w:rsidR="005B5C50" w:rsidRPr="002926D7" w:rsidRDefault="005B5C50" w:rsidP="002926D7">
      <w:pPr>
        <w:numPr>
          <w:ilvl w:val="0"/>
          <w:numId w:val="8"/>
        </w:numPr>
        <w:ind w:left="0" w:firstLine="0"/>
        <w:rPr>
          <w:rFonts w:asciiTheme="minorHAnsi" w:eastAsia="Calibri" w:hAnsiTheme="minorHAnsi" w:cstheme="minorBidi"/>
          <w:color w:val="000000" w:themeColor="text1"/>
          <w:szCs w:val="20"/>
        </w:rPr>
      </w:pPr>
      <w:r w:rsidRPr="002926D7">
        <w:rPr>
          <w:rFonts w:asciiTheme="minorHAnsi" w:eastAsia="Calibri" w:hAnsiTheme="minorHAnsi" w:cstheme="minorBidi"/>
          <w:color w:val="000000" w:themeColor="text1"/>
          <w:szCs w:val="20"/>
        </w:rPr>
        <w:t>While organizations from local communities, urban neighborhoods, smallholders, Indigenous Peoples and others may be fiercely committed to locally led sustainable development, they typically face a variety of obstacles in realizing their capacities and carrying out the activities required to achieve the sustainability, resilience and global environmental benefits of the landscapes where they live and work.  These barriers are described as follow:</w:t>
      </w:r>
    </w:p>
    <w:p w14:paraId="13EE3744" w14:textId="3BCAF249" w:rsidR="005B5C50" w:rsidRPr="002926D7" w:rsidRDefault="00053B63" w:rsidP="002926D7">
      <w:pPr>
        <w:pStyle w:val="ListParagraph"/>
        <w:numPr>
          <w:ilvl w:val="0"/>
          <w:numId w:val="21"/>
        </w:numPr>
        <w:spacing w:before="60"/>
        <w:ind w:left="720"/>
        <w:jc w:val="left"/>
        <w:rPr>
          <w:rFonts w:asciiTheme="minorHAnsi" w:eastAsia="Calibri" w:hAnsiTheme="minorHAnsi" w:cstheme="minorBidi"/>
          <w:szCs w:val="22"/>
        </w:rPr>
      </w:pPr>
      <w:r w:rsidRPr="002926D7">
        <w:rPr>
          <w:rFonts w:asciiTheme="minorHAnsi" w:eastAsia="Calibri" w:hAnsiTheme="minorHAnsi" w:cstheme="minorBidi"/>
          <w:b/>
          <w:bCs/>
          <w:i/>
          <w:iCs/>
        </w:rPr>
        <w:t>Landscape-seascape level governance</w:t>
      </w:r>
      <w:r w:rsidRPr="002926D7">
        <w:rPr>
          <w:rFonts w:asciiTheme="minorHAnsi" w:eastAsia="Calibri" w:hAnsiTheme="minorHAnsi" w:cstheme="minorBidi"/>
          <w:b/>
          <w:bCs/>
        </w:rPr>
        <w:t xml:space="preserve"> </w:t>
      </w:r>
      <w:r w:rsidRPr="002926D7">
        <w:rPr>
          <w:rFonts w:asciiTheme="minorHAnsi" w:eastAsia="Calibri" w:hAnsiTheme="minorHAnsi" w:cstheme="minorBidi"/>
          <w:b/>
          <w:bCs/>
          <w:i/>
          <w:iCs/>
        </w:rPr>
        <w:t>mechanisms are not in place</w:t>
      </w:r>
      <w:r w:rsidRPr="002926D7">
        <w:rPr>
          <w:rFonts w:asciiTheme="minorHAnsi" w:eastAsia="Calibri" w:hAnsiTheme="minorHAnsi" w:cstheme="minorBidi"/>
        </w:rPr>
        <w:t xml:space="preserve"> to enable local actors to substantially engage in and influence decision making, which can further distance them from accessing funding, enhance elite capture, and increase marginalization; lack of governance mechanisms results in </w:t>
      </w:r>
      <w:r w:rsidRPr="002926D7">
        <w:rPr>
          <w:rFonts w:asciiTheme="minorHAnsi" w:eastAsia="Calibri" w:hAnsiTheme="minorHAnsi" w:cstheme="minorBidi"/>
          <w:b/>
          <w:bCs/>
          <w:i/>
          <w:iCs/>
        </w:rPr>
        <w:t>weak coordination among local actors at landscape-seascape levels</w:t>
      </w:r>
      <w:r w:rsidRPr="002926D7">
        <w:rPr>
          <w:rFonts w:asciiTheme="minorHAnsi" w:eastAsia="Calibri" w:hAnsiTheme="minorHAnsi" w:cstheme="minorBidi"/>
        </w:rPr>
        <w:t xml:space="preserve"> to manage resources for resilience and the global environment, to advocate policy reforms or to attract investment; weak local representative participation in landscape-seascape governance does little to strengthen transparency and accountability of decision making and governance; although the most vulnerable to environmental degradation, women, youth, children, persons with disabilities, people who are displaced, Indigenous peoples and marginalized ethnic groups are under-represented in decision making and governance at local levels.  For Indigenous Peoples, lack of respect on their rights, specifically Free, Prior, Informed Consent (FPIC) as stated in the </w:t>
      </w:r>
      <w:r w:rsidRPr="002926D7">
        <w:t xml:space="preserve"> </w:t>
      </w:r>
      <w:hyperlink r:id="rId15">
        <w:r w:rsidRPr="002926D7">
          <w:rPr>
            <w:rStyle w:val="Hyperlink"/>
            <w:rFonts w:ascii="Segoe UI" w:eastAsia="Segoe UI" w:hAnsi="Segoe UI" w:cs="Segoe UI"/>
            <w:sz w:val="18"/>
            <w:szCs w:val="18"/>
          </w:rPr>
          <w:t>United Nations Declaration on the Rights of Indigenous Peoples</w:t>
        </w:r>
      </w:hyperlink>
      <w:r w:rsidRPr="002926D7">
        <w:rPr>
          <w:rFonts w:ascii="Segoe UI" w:eastAsia="Segoe UI" w:hAnsi="Segoe UI" w:cs="Segoe UI"/>
          <w:color w:val="333333"/>
          <w:sz w:val="18"/>
          <w:szCs w:val="18"/>
        </w:rPr>
        <w:t xml:space="preserve"> (UNDRIP) often leads to the absence of equitable governance and effective management of natural resources in their territories.  This in turn leads to environmental degradation from extractive industries and other sectoral initiatives within and outside Indigenous Peoples’ lands</w:t>
      </w:r>
      <w:r w:rsidR="00583295" w:rsidRPr="002926D7">
        <w:rPr>
          <w:rFonts w:asciiTheme="minorHAnsi" w:eastAsia="Calibri" w:hAnsiTheme="minorHAnsi" w:cstheme="minorBidi"/>
          <w:szCs w:val="22"/>
        </w:rPr>
        <w:t>.</w:t>
      </w:r>
    </w:p>
    <w:p w14:paraId="34CAF85B" w14:textId="77777777" w:rsidR="005B5C50" w:rsidRPr="002926D7" w:rsidRDefault="005B5C50" w:rsidP="002926D7">
      <w:pPr>
        <w:pStyle w:val="ListParagraph"/>
        <w:numPr>
          <w:ilvl w:val="0"/>
          <w:numId w:val="21"/>
        </w:numPr>
        <w:spacing w:before="60"/>
        <w:ind w:left="720"/>
        <w:jc w:val="left"/>
        <w:rPr>
          <w:rFonts w:asciiTheme="minorHAnsi" w:eastAsia="Calibri" w:hAnsiTheme="minorHAnsi" w:cstheme="minorBidi"/>
          <w:szCs w:val="22"/>
        </w:rPr>
      </w:pPr>
      <w:r w:rsidRPr="002926D7">
        <w:rPr>
          <w:rFonts w:asciiTheme="minorHAnsi" w:eastAsia="Calibri" w:hAnsiTheme="minorHAnsi" w:cstheme="minorBidi"/>
          <w:szCs w:val="22"/>
        </w:rPr>
        <w:t xml:space="preserve">Despite the need for collective action to build socio-ecological resilience at landscape-seascape levels, CSOs/CBOs have </w:t>
      </w:r>
      <w:r w:rsidRPr="002926D7">
        <w:rPr>
          <w:rFonts w:asciiTheme="minorHAnsi" w:eastAsia="Calibri" w:hAnsiTheme="minorHAnsi" w:cstheme="minorBidi"/>
          <w:b/>
          <w:bCs/>
          <w:i/>
          <w:iCs/>
          <w:szCs w:val="22"/>
        </w:rPr>
        <w:t>limited consensus-based vision or collaborative plan</w:t>
      </w:r>
      <w:r w:rsidRPr="002926D7">
        <w:rPr>
          <w:rFonts w:asciiTheme="minorHAnsi" w:eastAsia="Calibri" w:hAnsiTheme="minorHAnsi" w:cstheme="minorBidi"/>
          <w:szCs w:val="22"/>
        </w:rPr>
        <w:t xml:space="preserve"> that identifies and prioritizes financing and action to address global environmental degradation and climate change adaptation and mitigation, nor engages partners in providing grant and non-grant financing to local actors. There is also limited explicit learning and knowledge generation efforts to sustain adaptive management of land and resources and landscape-seascape governance. </w:t>
      </w:r>
    </w:p>
    <w:p w14:paraId="69A68DED" w14:textId="6EA765D7" w:rsidR="005B5C50" w:rsidRPr="002926D7" w:rsidRDefault="00053B63" w:rsidP="002926D7">
      <w:pPr>
        <w:pStyle w:val="ListParagraph"/>
        <w:numPr>
          <w:ilvl w:val="0"/>
          <w:numId w:val="21"/>
        </w:numPr>
        <w:spacing w:before="60"/>
        <w:ind w:left="720"/>
        <w:jc w:val="left"/>
        <w:rPr>
          <w:rFonts w:asciiTheme="minorHAnsi" w:eastAsia="Calibri" w:hAnsiTheme="minorHAnsi" w:cstheme="minorBidi"/>
          <w:szCs w:val="22"/>
        </w:rPr>
      </w:pPr>
      <w:r w:rsidRPr="002926D7">
        <w:rPr>
          <w:rFonts w:asciiTheme="minorHAnsi" w:eastAsia="Calibri" w:hAnsiTheme="minorHAnsi" w:cstheme="minorBidi"/>
        </w:rPr>
        <w:t xml:space="preserve">Local CSOs/CBOs have difficulties to plan and manage landscape-seascape resources or climate risks in rural and urban landscapes-seascapes due to </w:t>
      </w:r>
      <w:r w:rsidRPr="002926D7">
        <w:rPr>
          <w:rFonts w:asciiTheme="minorHAnsi" w:eastAsia="Calibri" w:hAnsiTheme="minorHAnsi" w:cstheme="minorBidi"/>
          <w:b/>
          <w:bCs/>
          <w:i/>
          <w:iCs/>
        </w:rPr>
        <w:t>lack of ready access to timely, actionable, user-friendly information and knowledge</w:t>
      </w:r>
      <w:r w:rsidRPr="002926D7">
        <w:rPr>
          <w:rFonts w:asciiTheme="minorHAnsi" w:eastAsia="Calibri" w:hAnsiTheme="minorHAnsi" w:cstheme="minorBidi"/>
        </w:rPr>
        <w:t>; local actors require early warning of climate-induced extreme weather or other risks but may be the least informed or connected</w:t>
      </w:r>
      <w:r w:rsidR="005B5C50" w:rsidRPr="002926D7">
        <w:rPr>
          <w:rFonts w:asciiTheme="minorHAnsi" w:eastAsia="Calibri" w:hAnsiTheme="minorHAnsi" w:cstheme="minorBidi"/>
          <w:szCs w:val="22"/>
        </w:rPr>
        <w:t>.</w:t>
      </w:r>
    </w:p>
    <w:p w14:paraId="359FB941" w14:textId="77777777" w:rsidR="005B5C50" w:rsidRPr="002926D7" w:rsidRDefault="005B5C50" w:rsidP="002926D7">
      <w:pPr>
        <w:pStyle w:val="ListParagraph"/>
        <w:numPr>
          <w:ilvl w:val="0"/>
          <w:numId w:val="21"/>
        </w:numPr>
        <w:spacing w:before="60"/>
        <w:ind w:left="720"/>
        <w:jc w:val="left"/>
        <w:rPr>
          <w:rFonts w:asciiTheme="minorHAnsi" w:eastAsia="Calibri" w:hAnsiTheme="minorHAnsi" w:cstheme="minorHAnsi"/>
          <w:szCs w:val="22"/>
        </w:rPr>
      </w:pPr>
      <w:r w:rsidRPr="002926D7">
        <w:rPr>
          <w:rFonts w:asciiTheme="minorHAnsi" w:eastAsia="Calibri" w:hAnsiTheme="minorHAnsi" w:cstheme="minorHAnsi"/>
          <w:b/>
          <w:bCs/>
          <w:i/>
          <w:iCs/>
          <w:szCs w:val="22"/>
        </w:rPr>
        <w:lastRenderedPageBreak/>
        <w:t>Local CSOs/CBOs often lack the technical skills to identify and implement practices</w:t>
      </w:r>
      <w:r w:rsidRPr="002926D7">
        <w:rPr>
          <w:rFonts w:asciiTheme="minorHAnsi" w:eastAsia="Calibri" w:hAnsiTheme="minorHAnsi" w:cstheme="minorHAnsi"/>
          <w:szCs w:val="22"/>
        </w:rPr>
        <w:t xml:space="preserve"> and techniques that optimize ecosystem functions in production and protected rural and urban landscapes-seascapes, underlying the water provisioning, disaster reduction and other ecosystem services that support socio-ecological resilience. Where traditional knowledge is accessible, it is sometimes undervalued by or lost to younger generations.</w:t>
      </w:r>
    </w:p>
    <w:p w14:paraId="4B92CBA1" w14:textId="77777777" w:rsidR="005B5C50" w:rsidRPr="002926D7" w:rsidRDefault="005B5C50" w:rsidP="002926D7">
      <w:pPr>
        <w:pStyle w:val="ListParagraph"/>
        <w:numPr>
          <w:ilvl w:val="0"/>
          <w:numId w:val="21"/>
        </w:numPr>
        <w:spacing w:before="60"/>
        <w:ind w:left="720"/>
        <w:jc w:val="left"/>
        <w:rPr>
          <w:rFonts w:asciiTheme="minorHAnsi" w:eastAsia="Calibri" w:hAnsiTheme="minorHAnsi" w:cstheme="minorHAnsi"/>
          <w:szCs w:val="22"/>
        </w:rPr>
      </w:pPr>
      <w:r w:rsidRPr="002926D7">
        <w:rPr>
          <w:rFonts w:asciiTheme="minorHAnsi" w:eastAsia="Calibri" w:hAnsiTheme="minorHAnsi" w:cstheme="minorHAnsi"/>
          <w:szCs w:val="22"/>
        </w:rPr>
        <w:t xml:space="preserve">The necessary </w:t>
      </w:r>
      <w:r w:rsidRPr="002926D7">
        <w:rPr>
          <w:rFonts w:asciiTheme="minorHAnsi" w:eastAsia="Calibri" w:hAnsiTheme="minorHAnsi" w:cstheme="minorHAnsi"/>
          <w:b/>
          <w:bCs/>
          <w:i/>
          <w:iCs/>
          <w:szCs w:val="22"/>
        </w:rPr>
        <w:t>organizational, analytical, financial, planning and management capacities of civil society and producers’ organizations</w:t>
      </w:r>
      <w:r w:rsidRPr="002926D7">
        <w:rPr>
          <w:rFonts w:asciiTheme="minorHAnsi" w:eastAsia="Calibri" w:hAnsiTheme="minorHAnsi" w:cstheme="minorHAnsi"/>
          <w:szCs w:val="22"/>
        </w:rPr>
        <w:t xml:space="preserve"> to improve productivity, optimize ecosystem services, maximize socio-ecological resilience and efficient and renewable energy access and adoption, are weak or absent in many rural and urban landscapes-seascapes.</w:t>
      </w:r>
    </w:p>
    <w:p w14:paraId="599AB13C" w14:textId="28D247B6" w:rsidR="005B5C50" w:rsidRPr="002926D7" w:rsidRDefault="00053B63" w:rsidP="002926D7">
      <w:pPr>
        <w:pStyle w:val="ListParagraph"/>
        <w:numPr>
          <w:ilvl w:val="0"/>
          <w:numId w:val="21"/>
        </w:numPr>
        <w:spacing w:before="60"/>
        <w:ind w:left="720"/>
        <w:jc w:val="left"/>
        <w:rPr>
          <w:rFonts w:asciiTheme="minorHAnsi" w:eastAsia="Calibri" w:hAnsiTheme="minorHAnsi" w:cstheme="minorBidi"/>
          <w:szCs w:val="22"/>
        </w:rPr>
      </w:pPr>
      <w:r w:rsidRPr="002926D7">
        <w:rPr>
          <w:rFonts w:asciiTheme="minorHAnsi" w:eastAsia="Calibri" w:hAnsiTheme="minorHAnsi" w:cstheme="minorBidi"/>
          <w:b/>
          <w:bCs/>
          <w:i/>
          <w:iCs/>
        </w:rPr>
        <w:t>Funding for l</w:t>
      </w:r>
      <w:r w:rsidRPr="002926D7">
        <w:rPr>
          <w:rFonts w:asciiTheme="minorHAnsi" w:eastAsia="Calibri" w:hAnsiTheme="minorHAnsi" w:cstheme="minorBidi"/>
          <w:b/>
          <w:bCs/>
          <w:i/>
          <w:iCs/>
          <w:color w:val="000000" w:themeColor="text1"/>
        </w:rPr>
        <w:t>ocally-led</w:t>
      </w:r>
      <w:r w:rsidRPr="002926D7">
        <w:rPr>
          <w:rFonts w:asciiTheme="minorHAnsi" w:eastAsia="Calibri" w:hAnsiTheme="minorHAnsi" w:cstheme="minorBidi"/>
          <w:b/>
          <w:bCs/>
          <w:i/>
          <w:iCs/>
        </w:rPr>
        <w:t xml:space="preserve"> landscape-seascape management plans is scarce</w:t>
      </w:r>
      <w:r w:rsidRPr="002926D7">
        <w:rPr>
          <w:rFonts w:asciiTheme="minorHAnsi" w:eastAsia="Calibri" w:hAnsiTheme="minorHAnsi" w:cstheme="minorBidi"/>
        </w:rPr>
        <w:t xml:space="preserve"> and, where it is available, it is insufficient to meet the tangible manifestations of global environmental degradation and climate change effectively, tending to be project-based, ad hoc and bound within short time frames</w:t>
      </w:r>
      <w:r w:rsidR="005B5C50" w:rsidRPr="002926D7">
        <w:rPr>
          <w:rFonts w:asciiTheme="minorHAnsi" w:eastAsia="Calibri" w:hAnsiTheme="minorHAnsi" w:cstheme="minorBidi"/>
          <w:szCs w:val="22"/>
        </w:rPr>
        <w:t>.</w:t>
      </w:r>
    </w:p>
    <w:p w14:paraId="7AFE76AA" w14:textId="77777777" w:rsidR="005B5C50" w:rsidRPr="002926D7" w:rsidRDefault="005B5C50" w:rsidP="002926D7">
      <w:pPr>
        <w:pStyle w:val="ListParagraph"/>
        <w:numPr>
          <w:ilvl w:val="0"/>
          <w:numId w:val="21"/>
        </w:numPr>
        <w:spacing w:before="60"/>
        <w:ind w:left="720"/>
        <w:jc w:val="left"/>
        <w:rPr>
          <w:rFonts w:asciiTheme="minorHAnsi" w:eastAsia="Calibri" w:hAnsiTheme="minorHAnsi" w:cstheme="minorHAnsi"/>
          <w:szCs w:val="22"/>
        </w:rPr>
      </w:pPr>
      <w:r w:rsidRPr="002926D7">
        <w:rPr>
          <w:rFonts w:asciiTheme="minorHAnsi" w:eastAsia="Calibri" w:hAnsiTheme="minorHAnsi" w:cstheme="minorHAnsi"/>
          <w:b/>
          <w:bCs/>
          <w:i/>
          <w:iCs/>
          <w:szCs w:val="22"/>
        </w:rPr>
        <w:t>Local producers’ organizations are unable to access credit</w:t>
      </w:r>
      <w:r w:rsidRPr="002926D7">
        <w:rPr>
          <w:rFonts w:asciiTheme="minorHAnsi" w:eastAsia="Calibri" w:hAnsiTheme="minorHAnsi" w:cstheme="minorHAnsi"/>
          <w:szCs w:val="22"/>
        </w:rPr>
        <w:t xml:space="preserve"> in rural and urban landscapes-seascapes because of the perception of the </w:t>
      </w:r>
      <w:r w:rsidRPr="002926D7">
        <w:rPr>
          <w:rFonts w:asciiTheme="minorHAnsi" w:eastAsia="Calibri" w:hAnsiTheme="minorHAnsi" w:cstheme="minorHAnsi"/>
          <w:i/>
          <w:iCs/>
          <w:szCs w:val="22"/>
        </w:rPr>
        <w:t>financial risks</w:t>
      </w:r>
      <w:r w:rsidRPr="002926D7">
        <w:rPr>
          <w:rFonts w:asciiTheme="minorHAnsi" w:eastAsia="Calibri" w:hAnsiTheme="minorHAnsi" w:cstheme="minorHAnsi"/>
          <w:szCs w:val="22"/>
        </w:rPr>
        <w:t xml:space="preserve"> involved. Private sector engagement with resilient production, processing and commercialization, and clean, efficient and renewable energy solutions is limited due to the financial risk of working with local producers, lack of value chain coordination, and difficulties in collaboration with producers’ organizations in terms of volumes, quality and timeliness of production;</w:t>
      </w:r>
    </w:p>
    <w:p w14:paraId="18FC37F4" w14:textId="394F8F54" w:rsidR="00705557" w:rsidRPr="002926D7" w:rsidRDefault="00083534" w:rsidP="002926D7">
      <w:pPr>
        <w:pStyle w:val="ListParagraph"/>
        <w:numPr>
          <w:ilvl w:val="0"/>
          <w:numId w:val="21"/>
        </w:numPr>
        <w:spacing w:before="60"/>
        <w:ind w:left="720"/>
        <w:jc w:val="left"/>
        <w:rPr>
          <w:rFonts w:asciiTheme="minorHAnsi" w:eastAsia="Calibri" w:hAnsiTheme="minorHAnsi" w:cstheme="minorHAnsi"/>
          <w:szCs w:val="22"/>
        </w:rPr>
      </w:pPr>
      <w:r w:rsidRPr="002926D7">
        <w:rPr>
          <w:rFonts w:asciiTheme="minorHAnsi" w:eastAsia="Calibri" w:hAnsiTheme="minorHAnsi" w:cstheme="minorHAnsi"/>
          <w:b/>
          <w:bCs/>
          <w:i/>
          <w:iCs/>
          <w:szCs w:val="22"/>
        </w:rPr>
        <w:t>Insufficient access to digital connectivity, technology, literacy and capacity</w:t>
      </w:r>
      <w:r w:rsidRPr="002926D7">
        <w:rPr>
          <w:rFonts w:asciiTheme="minorHAnsi" w:eastAsia="Calibri" w:hAnsiTheme="minorHAnsi" w:cstheme="minorHAnsi"/>
          <w:i/>
          <w:iCs/>
          <w:szCs w:val="22"/>
        </w:rPr>
        <w:t xml:space="preserve"> </w:t>
      </w:r>
      <w:r w:rsidRPr="002926D7">
        <w:rPr>
          <w:rFonts w:asciiTheme="minorHAnsi" w:eastAsia="Calibri" w:hAnsiTheme="minorHAnsi" w:cstheme="minorHAnsi"/>
          <w:szCs w:val="22"/>
        </w:rPr>
        <w:t>by local actors including private sector, youth entrepreneurs, women and communities, limit the uptake and scaling benefits of modern digitalization</w:t>
      </w:r>
      <w:r w:rsidR="005B5C50" w:rsidRPr="002926D7">
        <w:rPr>
          <w:rFonts w:asciiTheme="minorHAnsi" w:eastAsia="Calibri" w:hAnsiTheme="minorHAnsi" w:cstheme="minorHAnsi"/>
          <w:szCs w:val="22"/>
        </w:rPr>
        <w:t>.</w:t>
      </w:r>
    </w:p>
    <w:bookmarkEnd w:id="13"/>
    <w:p w14:paraId="36A1B153" w14:textId="77777777" w:rsidR="00113E09" w:rsidRPr="002926D7" w:rsidRDefault="00113E09" w:rsidP="002926D7">
      <w:pPr>
        <w:pStyle w:val="ListParagraph"/>
        <w:rPr>
          <w:szCs w:val="20"/>
        </w:rPr>
      </w:pPr>
    </w:p>
    <w:p w14:paraId="4C74F45C" w14:textId="1A90E7CF" w:rsidR="00C61286" w:rsidRPr="002926D7" w:rsidRDefault="005B3E4D" w:rsidP="002926D7">
      <w:bookmarkStart w:id="23" w:name="_Hlk121938440"/>
      <w:bookmarkStart w:id="24" w:name="_Hlk153969897"/>
      <w:bookmarkEnd w:id="22"/>
      <w:r w:rsidRPr="002926D7">
        <w:rPr>
          <w:b/>
          <w:bCs/>
          <w:u w:val="single"/>
        </w:rPr>
        <w:t>Consistency with national priorities and regional and international conventions</w:t>
      </w:r>
      <w:r w:rsidR="00C61286" w:rsidRPr="002926D7">
        <w:t>:</w:t>
      </w:r>
    </w:p>
    <w:p w14:paraId="2B4EFFFB" w14:textId="168E13E8" w:rsidR="005B3E4D" w:rsidRPr="002926D7" w:rsidRDefault="005B3E4D" w:rsidP="002926D7">
      <w:pPr>
        <w:rPr>
          <w:szCs w:val="20"/>
        </w:rPr>
      </w:pPr>
      <w:bookmarkStart w:id="25" w:name="_Hlk89353535"/>
      <w:bookmarkStart w:id="26" w:name="_Hlk71021010"/>
      <w:bookmarkStart w:id="27" w:name="_Hlk47274214"/>
    </w:p>
    <w:bookmarkEnd w:id="23"/>
    <w:p w14:paraId="6C48D24A" w14:textId="391FD814" w:rsidR="005B5C50" w:rsidRPr="002926D7" w:rsidRDefault="00053B63" w:rsidP="002926D7">
      <w:pPr>
        <w:numPr>
          <w:ilvl w:val="0"/>
          <w:numId w:val="8"/>
        </w:numPr>
        <w:ind w:left="0" w:firstLine="0"/>
        <w:rPr>
          <w:rFonts w:cs="Segoe UI"/>
          <w:color w:val="000000"/>
          <w:szCs w:val="20"/>
        </w:rPr>
      </w:pPr>
      <w:r w:rsidRPr="002926D7">
        <w:t xml:space="preserve">The stakeholder consultations conducted during the OP8 preparation phase (see </w:t>
      </w:r>
      <w:r w:rsidRPr="002926D7">
        <w:rPr>
          <w:b/>
          <w:bCs/>
        </w:rPr>
        <w:t>Annex 6</w:t>
      </w:r>
      <w:r w:rsidRPr="002926D7">
        <w:t xml:space="preserve">) confirmed that the OP8 country programme strategies will be aligned with national priorities. </w:t>
      </w:r>
      <w:r w:rsidRPr="002926D7">
        <w:rPr>
          <w:rFonts w:cs="Segoe UI"/>
          <w:color w:val="000000" w:themeColor="text1"/>
        </w:rPr>
        <w:t>In each of the participating countries, the SGP will facilitate close linkages and synergies with multilateral environmental agreements and related policies and strategies such as National Biodiversity Strategy and Action Plan (NBSAP), National Adaptation Plan (NAP), Nationally Determined Contributions (NDCs), and others, all of which emphasize the importance of engaging wider stakeholders, including civil society, Indigenous Peoples and local communities, women, and marginalized populations, to achieve the national priorities outlined in Nationally Determined Contributions (NDCs), National Biodiversity Strategies and Action Plans (NBSAP), National Adaptation Plans (NAPs), Sustainable Development Goals (SDGs), etc. With respect to management of chemicals and wastes, the Stockholm and the Minamata Conventions are also increasingly recognizing the role of civil society in addressing their challenges and have been closely working with the SGP to reach out to the local and community level</w:t>
      </w:r>
      <w:r w:rsidR="00DC6CF1" w:rsidRPr="002926D7">
        <w:rPr>
          <w:rFonts w:cs="Segoe UI"/>
          <w:color w:val="000000"/>
          <w:szCs w:val="20"/>
        </w:rPr>
        <w:t>.</w:t>
      </w:r>
    </w:p>
    <w:p w14:paraId="31129873" w14:textId="77777777" w:rsidR="00113E09" w:rsidRPr="002926D7" w:rsidRDefault="00113E09" w:rsidP="002926D7">
      <w:pPr>
        <w:rPr>
          <w:szCs w:val="20"/>
        </w:rPr>
      </w:pPr>
    </w:p>
    <w:p w14:paraId="693951F3" w14:textId="27AEECF1" w:rsidR="00C61286" w:rsidRPr="002926D7" w:rsidRDefault="00C61286" w:rsidP="002926D7">
      <w:bookmarkStart w:id="28" w:name="_Hlk131936127"/>
      <w:bookmarkStart w:id="29" w:name="_Hlk121938548"/>
      <w:bookmarkEnd w:id="25"/>
      <w:bookmarkEnd w:id="26"/>
      <w:bookmarkEnd w:id="27"/>
      <w:r w:rsidRPr="002926D7">
        <w:rPr>
          <w:b/>
          <w:bCs/>
          <w:u w:val="single"/>
        </w:rPr>
        <w:t>Relevance to Sustainable Development Goals (SDGs</w:t>
      </w:r>
      <w:r w:rsidR="00A736A9" w:rsidRPr="002926D7">
        <w:rPr>
          <w:b/>
          <w:bCs/>
          <w:u w:val="single"/>
        </w:rPr>
        <w:t>)</w:t>
      </w:r>
      <w:r w:rsidRPr="002926D7">
        <w:t>:</w:t>
      </w:r>
    </w:p>
    <w:p w14:paraId="7F567789" w14:textId="77777777" w:rsidR="004A7AC7" w:rsidRPr="002926D7" w:rsidRDefault="004A7AC7" w:rsidP="002926D7"/>
    <w:p w14:paraId="5758BB49" w14:textId="77F190E1" w:rsidR="00A736A9" w:rsidRPr="002926D7" w:rsidRDefault="00053B63" w:rsidP="002926D7">
      <w:pPr>
        <w:numPr>
          <w:ilvl w:val="0"/>
          <w:numId w:val="8"/>
        </w:numPr>
        <w:ind w:left="0" w:firstLine="0"/>
      </w:pPr>
      <w:bookmarkStart w:id="30" w:name="_Hlk89354787"/>
      <w:r w:rsidRPr="002926D7">
        <w:t xml:space="preserve">The project is relevant to the Sustainable Development Goals (SDGs), </w:t>
      </w:r>
      <w:r w:rsidRPr="002926D7">
        <w:rPr>
          <w:rFonts w:cs="Calibri"/>
        </w:rPr>
        <w:t>most notably SDG 14 (Life Below Water), SDG 15 (Life on land) and SDG 1 (No Poverty), SDG 5 (Gender Equality), SDG 12 (Responsible Consumption and Production), SDG 13 (Climate Action), SGP 16 (Peace, Justice and Strong Institutions), and SDG 17 (Partnerships for the Goals)</w:t>
      </w:r>
      <w:bookmarkEnd w:id="30"/>
      <w:r w:rsidRPr="002926D7">
        <w:rPr>
          <w:rFonts w:cs="Calibri"/>
        </w:rPr>
        <w:t>.</w:t>
      </w:r>
    </w:p>
    <w:p w14:paraId="5E852D5A" w14:textId="303AA3A9" w:rsidR="00680C7C" w:rsidRPr="002926D7" w:rsidRDefault="00680C7C" w:rsidP="002926D7">
      <w:bookmarkStart w:id="31" w:name="_Toc207800911"/>
      <w:bookmarkEnd w:id="28"/>
    </w:p>
    <w:p w14:paraId="54A54AD5" w14:textId="4D5DD89C" w:rsidR="00441730" w:rsidRPr="002926D7" w:rsidRDefault="00441730" w:rsidP="002926D7">
      <w:pPr>
        <w:rPr>
          <w:b/>
          <w:bCs/>
          <w:u w:val="single"/>
        </w:rPr>
      </w:pPr>
      <w:r w:rsidRPr="002926D7">
        <w:rPr>
          <w:b/>
          <w:bCs/>
          <w:u w:val="single"/>
        </w:rPr>
        <w:t xml:space="preserve">Relevance to </w:t>
      </w:r>
      <w:r w:rsidR="00E74156" w:rsidRPr="002926D7">
        <w:rPr>
          <w:b/>
          <w:bCs/>
          <w:u w:val="single"/>
        </w:rPr>
        <w:t xml:space="preserve">the </w:t>
      </w:r>
      <w:r w:rsidRPr="002926D7">
        <w:rPr>
          <w:b/>
          <w:bCs/>
          <w:u w:val="single"/>
        </w:rPr>
        <w:t>UNDP Strateg</w:t>
      </w:r>
      <w:r w:rsidR="00731B69" w:rsidRPr="002926D7">
        <w:rPr>
          <w:b/>
          <w:bCs/>
          <w:u w:val="single"/>
        </w:rPr>
        <w:t>ic</w:t>
      </w:r>
      <w:r w:rsidRPr="002926D7">
        <w:rPr>
          <w:b/>
          <w:bCs/>
          <w:u w:val="single"/>
        </w:rPr>
        <w:t xml:space="preserve"> Plan 2022-2025:</w:t>
      </w:r>
    </w:p>
    <w:p w14:paraId="0B556363" w14:textId="77777777" w:rsidR="00C37416" w:rsidRPr="002926D7" w:rsidRDefault="00C37416" w:rsidP="002926D7"/>
    <w:p w14:paraId="57F1B895" w14:textId="3660A3EF" w:rsidR="00441730" w:rsidRPr="002926D7" w:rsidRDefault="00457ABC" w:rsidP="002926D7">
      <w:pPr>
        <w:numPr>
          <w:ilvl w:val="0"/>
          <w:numId w:val="8"/>
        </w:numPr>
        <w:ind w:left="0" w:firstLine="0"/>
      </w:pPr>
      <w:r w:rsidRPr="002926D7">
        <w:t>The expected project results will also contribute towards achievement of the</w:t>
      </w:r>
      <w:r w:rsidRPr="002926D7">
        <w:rPr>
          <w:b/>
          <w:bCs/>
        </w:rPr>
        <w:t xml:space="preserve"> </w:t>
      </w:r>
      <w:r w:rsidR="00441730" w:rsidRPr="002926D7">
        <w:rPr>
          <w:b/>
          <w:bCs/>
        </w:rPr>
        <w:t>UNDP Strategic Plan (2022-2025)</w:t>
      </w:r>
      <w:r w:rsidRPr="002926D7">
        <w:rPr>
          <w:b/>
          <w:bCs/>
        </w:rPr>
        <w:t xml:space="preserve">, </w:t>
      </w:r>
      <w:r w:rsidRPr="002926D7">
        <w:t xml:space="preserve">namely </w:t>
      </w:r>
      <w:r w:rsidR="00441730" w:rsidRPr="002926D7">
        <w:t xml:space="preserve">Output Signature Solution #4 (Environment); contributing to UNDP SP Result 4.1: </w:t>
      </w:r>
      <w:r w:rsidRPr="002926D7">
        <w:t>“</w:t>
      </w:r>
      <w:r w:rsidR="00441730" w:rsidRPr="002926D7">
        <w:t>Natural resources protected and managed to enhance sustainable productivity and livelihoods</w:t>
      </w:r>
      <w:r w:rsidRPr="002926D7">
        <w:t>”</w:t>
      </w:r>
      <w:r w:rsidR="00441730" w:rsidRPr="002926D7">
        <w:t xml:space="preserve">; and Result 4.2: </w:t>
      </w:r>
      <w:r w:rsidRPr="002926D7">
        <w:t>“</w:t>
      </w:r>
      <w:r w:rsidR="00441730" w:rsidRPr="002926D7">
        <w:t>Public and private investment mechanisms mobilized for biodiversity, water, oceans, and climate solutions</w:t>
      </w:r>
      <w:r w:rsidRPr="002926D7">
        <w:t>”</w:t>
      </w:r>
      <w:r w:rsidR="00441730" w:rsidRPr="002926D7">
        <w:t>.</w:t>
      </w:r>
      <w:r w:rsidRPr="002926D7">
        <w:t xml:space="preserve"> Under the Integrated results and resources framework (IRRF) of the UNDP Strategic Plan, the project</w:t>
      </w:r>
      <w:r w:rsidR="00395AFF" w:rsidRPr="002926D7">
        <w:t xml:space="preserve"> will contribute towards Indicator 4.1.1 (“Number of people directly benefitting from initiatives to protect nature and promote sustainable use of </w:t>
      </w:r>
      <w:r w:rsidR="00395AFF" w:rsidRPr="002926D7">
        <w:lastRenderedPageBreak/>
        <w:t>resources”)</w:t>
      </w:r>
      <w:r w:rsidR="00753914" w:rsidRPr="002926D7">
        <w:t>,</w:t>
      </w:r>
      <w:r w:rsidR="008F4AFA" w:rsidRPr="002926D7">
        <w:t xml:space="preserve"> Indicator 4.1.2 (Natural resources that are managed under a sustainable use, conservation, access, and benefit-sharing regime)</w:t>
      </w:r>
      <w:r w:rsidR="00753914" w:rsidRPr="002926D7">
        <w:t xml:space="preserve"> and Indicator 4.2.1 (“Number of people directly benefitting from mechanisms for biodiversity, water, oceans, and climate solutions funded by public and/or private sector resources”)</w:t>
      </w:r>
      <w:bookmarkEnd w:id="29"/>
      <w:r w:rsidR="00BE01CD" w:rsidRPr="002926D7">
        <w:rPr>
          <w:szCs w:val="20"/>
        </w:rPr>
        <w:t>.</w:t>
      </w:r>
      <w:r w:rsidR="003342E8" w:rsidRPr="002926D7">
        <w:rPr>
          <w:szCs w:val="20"/>
        </w:rPr>
        <w:t xml:space="preserve"> The SGP OP8-Part 1 strategy was also developed according to the </w:t>
      </w:r>
      <w:r w:rsidR="00EE1F51" w:rsidRPr="002926D7">
        <w:rPr>
          <w:szCs w:val="20"/>
        </w:rPr>
        <w:t>“Leaving No One Behind” framework, a core principle of the SGP.</w:t>
      </w:r>
    </w:p>
    <w:bookmarkEnd w:id="24"/>
    <w:p w14:paraId="53C7D5BE" w14:textId="77777777" w:rsidR="00A736A9" w:rsidRPr="002926D7" w:rsidRDefault="00A736A9" w:rsidP="002926D7">
      <w:pPr>
        <w:rPr>
          <w:b/>
          <w:bCs/>
        </w:rPr>
      </w:pPr>
    </w:p>
    <w:p w14:paraId="20E4EBF5" w14:textId="75613E1C" w:rsidR="00D218B7" w:rsidRPr="002926D7" w:rsidRDefault="004C3717" w:rsidP="002926D7">
      <w:pPr>
        <w:pStyle w:val="Heading1"/>
        <w:spacing w:before="0" w:after="0"/>
        <w:jc w:val="left"/>
        <w:rPr>
          <w:rFonts w:ascii="Calibri" w:hAnsi="Calibri"/>
          <w:szCs w:val="28"/>
        </w:rPr>
      </w:pPr>
      <w:bookmarkStart w:id="32" w:name="_Toc151386978"/>
      <w:bookmarkStart w:id="33" w:name="_Hlk99037820"/>
      <w:r w:rsidRPr="002926D7">
        <w:rPr>
          <w:rFonts w:ascii="Calibri" w:hAnsi="Calibri"/>
          <w:szCs w:val="28"/>
        </w:rPr>
        <w:t>Strategy</w:t>
      </w:r>
      <w:bookmarkEnd w:id="32"/>
      <w:r w:rsidR="00A25CCB" w:rsidRPr="002926D7">
        <w:rPr>
          <w:rFonts w:ascii="Calibri" w:hAnsi="Calibri"/>
          <w:szCs w:val="28"/>
        </w:rPr>
        <w:t xml:space="preserve"> </w:t>
      </w:r>
      <w:bookmarkEnd w:id="31"/>
    </w:p>
    <w:p w14:paraId="1907A4F4" w14:textId="12FB8746" w:rsidR="00B55FE3" w:rsidRPr="002926D7" w:rsidRDefault="00B55FE3" w:rsidP="002926D7">
      <w:pPr>
        <w:jc w:val="left"/>
        <w:rPr>
          <w:szCs w:val="20"/>
        </w:rPr>
      </w:pPr>
    </w:p>
    <w:p w14:paraId="3FE113B7" w14:textId="77777777" w:rsidR="00335C78" w:rsidRPr="002926D7" w:rsidRDefault="00E74156" w:rsidP="002926D7">
      <w:pPr>
        <w:rPr>
          <w:b/>
          <w:bCs/>
          <w:szCs w:val="20"/>
          <w:u w:val="single"/>
        </w:rPr>
      </w:pPr>
      <w:bookmarkStart w:id="34" w:name="_Hlk131870982"/>
      <w:bookmarkStart w:id="35" w:name="_Hlk71027907"/>
      <w:bookmarkStart w:id="36" w:name="_Hlk153970019"/>
      <w:r w:rsidRPr="002926D7">
        <w:rPr>
          <w:b/>
          <w:bCs/>
          <w:szCs w:val="20"/>
          <w:u w:val="single"/>
        </w:rPr>
        <w:t>Proposed Alternative Scenario</w:t>
      </w:r>
      <w:bookmarkStart w:id="37" w:name="_Hlk122100031"/>
      <w:bookmarkStart w:id="38" w:name="_Hlk101780809"/>
      <w:r w:rsidR="005B336F" w:rsidRPr="002926D7">
        <w:rPr>
          <w:b/>
          <w:bCs/>
          <w:szCs w:val="20"/>
          <w:u w:val="single"/>
        </w:rPr>
        <w:t xml:space="preserve">: </w:t>
      </w:r>
    </w:p>
    <w:p w14:paraId="716D8503" w14:textId="77777777" w:rsidR="00335C78" w:rsidRPr="002926D7" w:rsidRDefault="00335C78" w:rsidP="002926D7">
      <w:pPr>
        <w:rPr>
          <w:b/>
          <w:bCs/>
          <w:szCs w:val="20"/>
          <w:u w:val="single"/>
        </w:rPr>
      </w:pPr>
    </w:p>
    <w:p w14:paraId="5D57D1C7" w14:textId="77777777" w:rsidR="00335C78" w:rsidRPr="002926D7" w:rsidRDefault="00335C78" w:rsidP="002926D7">
      <w:pPr>
        <w:numPr>
          <w:ilvl w:val="0"/>
          <w:numId w:val="8"/>
        </w:numPr>
        <w:ind w:left="0" w:firstLine="0"/>
        <w:rPr>
          <w:rFonts w:eastAsia="Calibri" w:cs="Calibri"/>
          <w:color w:val="000000" w:themeColor="text1"/>
          <w:szCs w:val="20"/>
        </w:rPr>
      </w:pPr>
      <w:r w:rsidRPr="002926D7">
        <w:rPr>
          <w:rFonts w:eastAsia="Calibri" w:cs="Calibri"/>
          <w:color w:val="000000" w:themeColor="text1"/>
          <w:szCs w:val="20"/>
        </w:rPr>
        <w:t xml:space="preserve">The proposed GEF alternative to overcoming the barriers hindering achievement of sustainable development, socio-ecological resilience and global environmental benefits in project landscapes-seascapes is predicated on a participatory and integrated adaptive landscape-seascape management approach, as outlined in the project theory of change in the figure below. The landscape-seascape management programme in each country will be constituted by locally identified initiatives consonant with the Strategic Initiatives described in the GEF-8 </w:t>
      </w:r>
      <w:r w:rsidRPr="002926D7">
        <w:rPr>
          <w:rFonts w:eastAsia="Calibri" w:cs="Calibri"/>
          <w:i/>
          <w:iCs/>
          <w:color w:val="000000" w:themeColor="text1"/>
          <w:szCs w:val="20"/>
        </w:rPr>
        <w:t>Strategic Positioning and Programming Directions</w:t>
      </w:r>
      <w:r w:rsidRPr="002926D7">
        <w:rPr>
          <w:rFonts w:eastAsia="Calibri" w:cs="Calibri"/>
          <w:color w:val="000000" w:themeColor="text1"/>
          <w:szCs w:val="20"/>
        </w:rPr>
        <w:t xml:space="preserve"> and the GEF </w:t>
      </w:r>
      <w:r w:rsidRPr="002926D7">
        <w:rPr>
          <w:rFonts w:eastAsia="Calibri" w:cs="Calibri"/>
          <w:i/>
          <w:iCs/>
          <w:color w:val="000000" w:themeColor="text1"/>
          <w:szCs w:val="20"/>
        </w:rPr>
        <w:t>Small Grants Programme 2.0 Implementation Arrangements for GEF-8</w:t>
      </w:r>
      <w:r w:rsidRPr="002926D7">
        <w:rPr>
          <w:rFonts w:eastAsia="Calibri" w:cs="Calibri"/>
          <w:color w:val="000000" w:themeColor="text1"/>
          <w:szCs w:val="20"/>
        </w:rPr>
        <w:t>.  As such, “[d]uring GEF-8, as an overarching strategy, SGP would continue to adopt and strengthen its Landscape and Seascape Approach that focuses its programming on globally recognized priority landscapes and seascapes” and “[u]nder the Landscape and Seascape Approach, SGP proposes to strengthen, and refine and integrate the following strategic programs and cross-cutting initiatives”:</w:t>
      </w:r>
    </w:p>
    <w:p w14:paraId="0D17A905" w14:textId="77777777" w:rsidR="00335C78" w:rsidRPr="002926D7" w:rsidRDefault="00335C78" w:rsidP="002926D7">
      <w:pPr>
        <w:spacing w:line="259" w:lineRule="auto"/>
        <w:rPr>
          <w:rFonts w:eastAsia="Calibri" w:cs="Calibri"/>
          <w:color w:val="000000" w:themeColor="text1"/>
          <w:szCs w:val="20"/>
        </w:rPr>
      </w:pPr>
    </w:p>
    <w:p w14:paraId="5FBBE39B" w14:textId="49DE50CF" w:rsidR="00335C78" w:rsidRPr="002926D7" w:rsidRDefault="00335C78" w:rsidP="002926D7">
      <w:pPr>
        <w:pStyle w:val="ListParagraph"/>
        <w:ind w:left="900" w:hanging="540"/>
        <w:rPr>
          <w:rFonts w:eastAsia="Calibri" w:cs="Calibri"/>
          <w:szCs w:val="20"/>
        </w:rPr>
      </w:pPr>
      <w:r w:rsidRPr="002926D7">
        <w:rPr>
          <w:rFonts w:eastAsia="Calibri" w:cs="Calibri"/>
          <w:szCs w:val="20"/>
        </w:rPr>
        <w:t xml:space="preserve">(i)  </w:t>
      </w:r>
      <w:r w:rsidRPr="002926D7">
        <w:rPr>
          <w:rFonts w:eastAsia="Calibri" w:cs="Calibri"/>
          <w:szCs w:val="20"/>
        </w:rPr>
        <w:tab/>
        <w:t xml:space="preserve">Community-based management of threatened ecosystems and species, </w:t>
      </w:r>
    </w:p>
    <w:p w14:paraId="46179364" w14:textId="4F3932D8" w:rsidR="00335C78" w:rsidRPr="002926D7" w:rsidRDefault="00335C78" w:rsidP="002926D7">
      <w:pPr>
        <w:pStyle w:val="ListParagraph"/>
        <w:ind w:left="900" w:hanging="540"/>
        <w:rPr>
          <w:rFonts w:eastAsia="Calibri" w:cs="Calibri"/>
          <w:szCs w:val="20"/>
        </w:rPr>
      </w:pPr>
      <w:r w:rsidRPr="002926D7">
        <w:rPr>
          <w:rFonts w:eastAsia="Calibri" w:cs="Calibri"/>
          <w:szCs w:val="20"/>
        </w:rPr>
        <w:t xml:space="preserve">(ii)  </w:t>
      </w:r>
      <w:r w:rsidRPr="002926D7">
        <w:rPr>
          <w:rFonts w:eastAsia="Calibri" w:cs="Calibri"/>
          <w:szCs w:val="20"/>
        </w:rPr>
        <w:tab/>
        <w:t xml:space="preserve">Sustainable agriculture and fisheries, and food security, </w:t>
      </w:r>
    </w:p>
    <w:p w14:paraId="117E3441" w14:textId="6F76E209" w:rsidR="00335C78" w:rsidRPr="002926D7" w:rsidRDefault="00335C78" w:rsidP="002926D7">
      <w:pPr>
        <w:pStyle w:val="ListParagraph"/>
        <w:ind w:left="900" w:hanging="540"/>
        <w:rPr>
          <w:rFonts w:eastAsia="Calibri" w:cs="Calibri"/>
          <w:szCs w:val="20"/>
        </w:rPr>
      </w:pPr>
      <w:r w:rsidRPr="002926D7">
        <w:rPr>
          <w:rFonts w:eastAsia="Calibri" w:cs="Calibri"/>
          <w:szCs w:val="20"/>
        </w:rPr>
        <w:t xml:space="preserve">(iii)  </w:t>
      </w:r>
      <w:r w:rsidRPr="002926D7">
        <w:rPr>
          <w:rFonts w:eastAsia="Calibri" w:cs="Calibri"/>
          <w:szCs w:val="20"/>
        </w:rPr>
        <w:tab/>
        <w:t xml:space="preserve">Low-carbon energy access and co-benefits, </w:t>
      </w:r>
    </w:p>
    <w:p w14:paraId="31A75BAF" w14:textId="788031E8" w:rsidR="00335C78" w:rsidRPr="002926D7" w:rsidRDefault="00335C78" w:rsidP="002926D7">
      <w:pPr>
        <w:pStyle w:val="ListParagraph"/>
        <w:ind w:left="900" w:hanging="540"/>
        <w:rPr>
          <w:rFonts w:eastAsia="Calibri" w:cs="Calibri"/>
          <w:szCs w:val="20"/>
        </w:rPr>
      </w:pPr>
      <w:r w:rsidRPr="002926D7">
        <w:rPr>
          <w:rFonts w:eastAsia="Calibri" w:cs="Calibri"/>
          <w:szCs w:val="20"/>
        </w:rPr>
        <w:t xml:space="preserve">(iv)  </w:t>
      </w:r>
      <w:r w:rsidRPr="002926D7">
        <w:rPr>
          <w:rFonts w:eastAsia="Calibri" w:cs="Calibri"/>
          <w:szCs w:val="20"/>
        </w:rPr>
        <w:tab/>
        <w:t xml:space="preserve">Local to global coalitions for chemicals and waste management, and </w:t>
      </w:r>
    </w:p>
    <w:p w14:paraId="7C7519A5" w14:textId="619EBCCA" w:rsidR="00335C78" w:rsidRPr="002926D7" w:rsidRDefault="00335C78" w:rsidP="002926D7">
      <w:pPr>
        <w:pStyle w:val="ListParagraph"/>
        <w:ind w:left="900" w:hanging="540"/>
        <w:rPr>
          <w:rFonts w:eastAsia="Calibri" w:cs="Calibri"/>
          <w:szCs w:val="20"/>
        </w:rPr>
      </w:pPr>
      <w:r w:rsidRPr="002926D7">
        <w:rPr>
          <w:rFonts w:eastAsia="Calibri" w:cs="Calibri"/>
          <w:szCs w:val="20"/>
        </w:rPr>
        <w:t xml:space="preserve">(v) </w:t>
      </w:r>
      <w:r w:rsidRPr="002926D7">
        <w:rPr>
          <w:rFonts w:eastAsia="Calibri" w:cs="Calibri"/>
          <w:szCs w:val="20"/>
        </w:rPr>
        <w:tab/>
        <w:t>Catalyzing sustainable urban solutions.</w:t>
      </w:r>
    </w:p>
    <w:p w14:paraId="7B509457" w14:textId="77777777" w:rsidR="00335C78" w:rsidRPr="002926D7" w:rsidRDefault="00335C78" w:rsidP="002926D7">
      <w:pPr>
        <w:rPr>
          <w:b/>
          <w:bCs/>
          <w:szCs w:val="20"/>
          <w:u w:val="single"/>
        </w:rPr>
      </w:pPr>
    </w:p>
    <w:p w14:paraId="3D2CEC2C" w14:textId="17BE51B0" w:rsidR="005B336F" w:rsidRPr="002926D7" w:rsidRDefault="005B336F" w:rsidP="002926D7">
      <w:pPr>
        <w:rPr>
          <w:b/>
          <w:bCs/>
          <w:szCs w:val="20"/>
          <w:u w:val="single"/>
        </w:rPr>
      </w:pPr>
      <w:r w:rsidRPr="002926D7">
        <w:rPr>
          <w:rFonts w:eastAsia="Calibri" w:cs="Calibri"/>
          <w:b/>
          <w:bCs/>
          <w:i/>
          <w:iCs/>
          <w:color w:val="000000" w:themeColor="text1"/>
          <w:szCs w:val="20"/>
        </w:rPr>
        <w:t xml:space="preserve">GEF-8 Small Grants Programme: Landscapes-Seascapes for Sustainability, Resilience and the Global Environment </w:t>
      </w:r>
    </w:p>
    <w:p w14:paraId="179B4AD3" w14:textId="77777777" w:rsidR="005B336F" w:rsidRPr="002926D7" w:rsidRDefault="005B336F" w:rsidP="002926D7">
      <w:pPr>
        <w:rPr>
          <w:rFonts w:asciiTheme="minorHAnsi" w:hAnsiTheme="minorHAnsi" w:cstheme="minorHAnsi"/>
          <w:bCs/>
          <w:szCs w:val="20"/>
        </w:rPr>
      </w:pPr>
    </w:p>
    <w:p w14:paraId="3C14EC1C" w14:textId="5D1CF340" w:rsidR="005B336F" w:rsidRPr="002926D7" w:rsidRDefault="006C6D31" w:rsidP="002926D7">
      <w:pPr>
        <w:numPr>
          <w:ilvl w:val="0"/>
          <w:numId w:val="8"/>
        </w:numPr>
        <w:ind w:left="0" w:firstLine="0"/>
        <w:rPr>
          <w:rFonts w:asciiTheme="minorHAnsi" w:hAnsiTheme="minorHAnsi" w:cstheme="minorHAnsi"/>
          <w:bCs/>
          <w:szCs w:val="20"/>
        </w:rPr>
      </w:pPr>
      <w:r w:rsidRPr="002926D7">
        <w:rPr>
          <w:rFonts w:eastAsia="Calibri" w:cs="Calibri"/>
          <w:color w:val="000000" w:themeColor="text1"/>
        </w:rPr>
        <w:t>The UNDP-implemented GEF Small Grants Programme</w:t>
      </w:r>
      <w:r w:rsidR="000D7FF4" w:rsidRPr="002926D7">
        <w:rPr>
          <w:rFonts w:eastAsia="Calibri" w:cs="Calibri"/>
          <w:color w:val="000000" w:themeColor="text1"/>
        </w:rPr>
        <w:t>, OP8-Part 1</w:t>
      </w:r>
      <w:r w:rsidRPr="002926D7">
        <w:rPr>
          <w:rFonts w:eastAsia="Calibri" w:cs="Calibri"/>
          <w:color w:val="000000" w:themeColor="text1"/>
        </w:rPr>
        <w:t xml:space="preserve"> builds on 30 years of successful  support to local CSOs/CBOs to generate global environmental benefits by innovating their production practices, recovering, applying and combining traditional socio-ecological knowledge, applying new resource-efficient technologies, innovating alternative sustainable development activities, establishing and strengthening organizational networks, identifying and advocating potential policy inputs, and sharing knowledge and experience across communities and organizations.  As such, SGP in GEF-8 will </w:t>
      </w:r>
      <w:r w:rsidR="00DC6CF1" w:rsidRPr="002926D7">
        <w:rPr>
          <w:rFonts w:eastAsia="Calibri" w:cs="Calibri"/>
          <w:color w:val="000000" w:themeColor="text1"/>
        </w:rPr>
        <w:t>adopt</w:t>
      </w:r>
      <w:r w:rsidRPr="002926D7">
        <w:rPr>
          <w:rFonts w:eastAsia="Calibri" w:cs="Calibri"/>
          <w:color w:val="000000" w:themeColor="text1"/>
        </w:rPr>
        <w:t xml:space="preserve"> a strategic approach focusing on supporting CSOs/CBOs to enhance the sustainability, resilience and global environmental assets of their landscapes-seascapes</w:t>
      </w:r>
      <w:r w:rsidR="005B336F" w:rsidRPr="002926D7">
        <w:rPr>
          <w:rFonts w:eastAsia="Calibri" w:cs="Calibri"/>
          <w:color w:val="000000" w:themeColor="text1"/>
          <w:szCs w:val="20"/>
        </w:rPr>
        <w:t xml:space="preserve">. </w:t>
      </w:r>
    </w:p>
    <w:p w14:paraId="097262EF" w14:textId="77777777" w:rsidR="005B336F" w:rsidRPr="002926D7" w:rsidRDefault="005B336F" w:rsidP="002926D7">
      <w:pPr>
        <w:rPr>
          <w:rFonts w:asciiTheme="minorHAnsi" w:hAnsiTheme="minorHAnsi" w:cstheme="minorHAnsi"/>
          <w:bCs/>
          <w:szCs w:val="20"/>
        </w:rPr>
      </w:pPr>
    </w:p>
    <w:p w14:paraId="40B92027" w14:textId="286D45D4" w:rsidR="005B336F" w:rsidRPr="002926D7" w:rsidRDefault="000D7FF4" w:rsidP="002926D7">
      <w:pPr>
        <w:numPr>
          <w:ilvl w:val="0"/>
          <w:numId w:val="8"/>
        </w:numPr>
        <w:ind w:left="0" w:firstLine="0"/>
        <w:rPr>
          <w:rFonts w:asciiTheme="minorHAnsi" w:hAnsiTheme="minorHAnsi" w:cstheme="minorHAnsi"/>
          <w:bCs/>
          <w:szCs w:val="20"/>
        </w:rPr>
      </w:pPr>
      <w:r w:rsidRPr="002926D7">
        <w:rPr>
          <w:rFonts w:eastAsia="Calibri" w:cs="Calibri"/>
          <w:color w:val="000000" w:themeColor="text1"/>
          <w:szCs w:val="20"/>
        </w:rPr>
        <w:t>The participating c</w:t>
      </w:r>
      <w:r w:rsidR="005B336F" w:rsidRPr="002926D7">
        <w:rPr>
          <w:rFonts w:eastAsia="Calibri" w:cs="Calibri"/>
          <w:color w:val="000000" w:themeColor="text1"/>
          <w:szCs w:val="20"/>
        </w:rPr>
        <w:t>ountries</w:t>
      </w:r>
      <w:r w:rsidRPr="002926D7">
        <w:rPr>
          <w:rFonts w:eastAsia="Calibri" w:cs="Calibri"/>
          <w:color w:val="000000" w:themeColor="text1"/>
          <w:szCs w:val="20"/>
        </w:rPr>
        <w:t xml:space="preserve"> in SGP OP8-Part 1</w:t>
      </w:r>
      <w:r w:rsidR="005B336F" w:rsidRPr="002926D7">
        <w:rPr>
          <w:rFonts w:eastAsia="Calibri" w:cs="Calibri"/>
          <w:color w:val="000000" w:themeColor="text1"/>
          <w:szCs w:val="20"/>
        </w:rPr>
        <w:t xml:space="preserve"> that have provided Letters of Endorsement and Letters of Interest </w:t>
      </w:r>
      <w:r w:rsidRPr="002926D7">
        <w:rPr>
          <w:rFonts w:eastAsia="Calibri" w:cs="Calibri"/>
          <w:color w:val="000000" w:themeColor="text1"/>
          <w:szCs w:val="20"/>
        </w:rPr>
        <w:t>during the PIF stage (</w:t>
      </w:r>
      <w:r w:rsidR="002815AC" w:rsidRPr="002926D7">
        <w:rPr>
          <w:rFonts w:eastAsia="Calibri" w:cs="Calibri"/>
          <w:color w:val="000000" w:themeColor="text1"/>
          <w:szCs w:val="20"/>
        </w:rPr>
        <w:t>a list of the participating countries is provided in</w:t>
      </w:r>
      <w:r w:rsidRPr="002926D7">
        <w:rPr>
          <w:rFonts w:eastAsia="Calibri" w:cs="Calibri"/>
          <w:color w:val="000000" w:themeColor="text1"/>
          <w:szCs w:val="20"/>
        </w:rPr>
        <w:t xml:space="preserve"> </w:t>
      </w:r>
      <w:r w:rsidRPr="002926D7">
        <w:rPr>
          <w:rFonts w:eastAsia="Calibri" w:cs="Calibri"/>
          <w:b/>
          <w:bCs/>
          <w:color w:val="000000" w:themeColor="text1"/>
          <w:szCs w:val="20"/>
        </w:rPr>
        <w:t>Annex 2</w:t>
      </w:r>
      <w:r w:rsidRPr="002926D7">
        <w:rPr>
          <w:rFonts w:eastAsia="Calibri" w:cs="Calibri"/>
          <w:color w:val="000000" w:themeColor="text1"/>
          <w:szCs w:val="20"/>
        </w:rPr>
        <w:t>)</w:t>
      </w:r>
      <w:r w:rsidR="005B336F" w:rsidRPr="002926D7">
        <w:rPr>
          <w:rFonts w:eastAsia="Calibri" w:cs="Calibri"/>
          <w:color w:val="000000" w:themeColor="text1"/>
          <w:szCs w:val="20"/>
        </w:rPr>
        <w:t>.</w:t>
      </w:r>
      <w:r w:rsidR="00C37416" w:rsidRPr="002926D7">
        <w:rPr>
          <w:rFonts w:eastAsia="Calibri" w:cs="Calibri"/>
          <w:color w:val="000000" w:themeColor="text1"/>
          <w:szCs w:val="20"/>
        </w:rPr>
        <w:t xml:space="preserve"> </w:t>
      </w:r>
      <w:r w:rsidR="005B336F" w:rsidRPr="002926D7">
        <w:rPr>
          <w:rFonts w:eastAsia="Calibri" w:cs="Calibri"/>
          <w:b/>
          <w:bCs/>
          <w:color w:val="000000" w:themeColor="text1"/>
          <w:szCs w:val="20"/>
        </w:rPr>
        <w:t xml:space="preserve">These countries have expressed an interest in continuing the implementation of SGP with UNDP’s support during </w:t>
      </w:r>
      <w:r w:rsidRPr="002926D7">
        <w:rPr>
          <w:rFonts w:eastAsia="Calibri" w:cs="Calibri"/>
          <w:b/>
          <w:bCs/>
          <w:color w:val="000000" w:themeColor="text1"/>
          <w:szCs w:val="20"/>
        </w:rPr>
        <w:t>OP8</w:t>
      </w:r>
      <w:r w:rsidR="005B336F" w:rsidRPr="002926D7">
        <w:rPr>
          <w:rFonts w:eastAsia="Calibri" w:cs="Calibri"/>
          <w:b/>
          <w:bCs/>
          <w:color w:val="000000" w:themeColor="text1"/>
          <w:szCs w:val="20"/>
        </w:rPr>
        <w:t xml:space="preserve">, and to be included in the first tranche </w:t>
      </w:r>
      <w:r w:rsidRPr="002926D7">
        <w:rPr>
          <w:rFonts w:eastAsia="Calibri" w:cs="Calibri"/>
          <w:b/>
          <w:bCs/>
          <w:color w:val="000000" w:themeColor="text1"/>
          <w:szCs w:val="20"/>
        </w:rPr>
        <w:t>(Part 1)</w:t>
      </w:r>
      <w:r w:rsidR="005B336F" w:rsidRPr="002926D7">
        <w:rPr>
          <w:rFonts w:eastAsia="Calibri" w:cs="Calibri"/>
          <w:b/>
          <w:bCs/>
          <w:color w:val="000000" w:themeColor="text1"/>
          <w:szCs w:val="20"/>
        </w:rPr>
        <w:t>.  In line with the GEF-8 SGP Implementation Arrangement Paper, core SGP resources are to be allocated equally among all eligible countries participating in Part 1 and 2</w:t>
      </w:r>
      <w:r w:rsidR="005B336F" w:rsidRPr="002926D7">
        <w:rPr>
          <w:rFonts w:eastAsia="Calibri" w:cs="Calibri"/>
          <w:color w:val="000000" w:themeColor="text1"/>
          <w:szCs w:val="20"/>
        </w:rPr>
        <w:t xml:space="preserve">.  </w:t>
      </w:r>
    </w:p>
    <w:p w14:paraId="19134CD7" w14:textId="77777777" w:rsidR="005B336F" w:rsidRPr="002926D7" w:rsidRDefault="005B336F" w:rsidP="002926D7">
      <w:pPr>
        <w:pStyle w:val="ListParagraph"/>
        <w:rPr>
          <w:rFonts w:eastAsia="Calibri" w:cs="Calibri"/>
          <w:color w:val="000000" w:themeColor="text1"/>
          <w:szCs w:val="20"/>
        </w:rPr>
      </w:pPr>
    </w:p>
    <w:p w14:paraId="7469BB89" w14:textId="5DE3DE11" w:rsidR="005B336F" w:rsidRPr="002926D7" w:rsidRDefault="000D7FF4" w:rsidP="002926D7">
      <w:pPr>
        <w:numPr>
          <w:ilvl w:val="0"/>
          <w:numId w:val="8"/>
        </w:numPr>
        <w:ind w:left="0" w:firstLine="0"/>
        <w:rPr>
          <w:rFonts w:asciiTheme="minorHAnsi" w:hAnsiTheme="minorHAnsi" w:cstheme="minorHAnsi"/>
          <w:bCs/>
          <w:szCs w:val="20"/>
        </w:rPr>
      </w:pPr>
      <w:r w:rsidRPr="002926D7">
        <w:rPr>
          <w:rFonts w:eastAsia="Calibri" w:cs="Calibri"/>
          <w:color w:val="000000" w:themeColor="text1"/>
        </w:rPr>
        <w:t xml:space="preserve">The strategic approach is underpinned by the following supposition. </w:t>
      </w:r>
      <w:r w:rsidR="005A430D" w:rsidRPr="002926D7">
        <w:rPr>
          <w:rFonts w:eastAsia="Calibri" w:cs="Calibri"/>
          <w:b/>
          <w:bCs/>
          <w:i/>
          <w:iCs/>
          <w:color w:val="000000" w:themeColor="text1"/>
        </w:rPr>
        <w:t>If</w:t>
      </w:r>
      <w:r w:rsidR="005A430D" w:rsidRPr="002926D7">
        <w:rPr>
          <w:rFonts w:eastAsia="Calibri" w:cs="Calibri"/>
          <w:color w:val="000000" w:themeColor="text1"/>
        </w:rPr>
        <w:t xml:space="preserve"> local CSOs</w:t>
      </w:r>
      <w:r w:rsidRPr="002926D7">
        <w:rPr>
          <w:rFonts w:eastAsia="Calibri" w:cs="Calibri"/>
          <w:color w:val="000000" w:themeColor="text1"/>
        </w:rPr>
        <w:t>/</w:t>
      </w:r>
      <w:r w:rsidR="005A430D" w:rsidRPr="002926D7">
        <w:rPr>
          <w:rFonts w:eastAsia="Calibri" w:cs="Calibri"/>
          <w:color w:val="000000" w:themeColor="text1"/>
        </w:rPr>
        <w:t xml:space="preserve">CBOs in landscapes-seascapes around the world can access grant financing and technical assistance, including capacity development and knowledge sharing, </w:t>
      </w:r>
      <w:r w:rsidR="005A430D" w:rsidRPr="002926D7">
        <w:rPr>
          <w:rFonts w:eastAsia="Calibri" w:cs="Calibri"/>
          <w:b/>
          <w:bCs/>
          <w:i/>
          <w:iCs/>
          <w:color w:val="000000" w:themeColor="text1"/>
        </w:rPr>
        <w:t xml:space="preserve">they can then </w:t>
      </w:r>
      <w:r w:rsidR="005A430D" w:rsidRPr="002926D7">
        <w:rPr>
          <w:rFonts w:eastAsia="Calibri" w:cs="Calibri"/>
          <w:color w:val="000000" w:themeColor="text1"/>
        </w:rPr>
        <w:t xml:space="preserve">maintain and enhance their socio-ecological resilience, well-being and socio-economic conditions for global environmental benefits, </w:t>
      </w:r>
      <w:r w:rsidR="005A430D" w:rsidRPr="002926D7">
        <w:rPr>
          <w:rFonts w:eastAsia="Calibri" w:cs="Calibri"/>
          <w:b/>
          <w:bCs/>
          <w:i/>
          <w:iCs/>
          <w:color w:val="000000" w:themeColor="text1"/>
        </w:rPr>
        <w:t xml:space="preserve">because they will be able to </w:t>
      </w:r>
      <w:r w:rsidR="005A430D" w:rsidRPr="002926D7">
        <w:rPr>
          <w:rFonts w:eastAsia="Calibri" w:cs="Calibri"/>
          <w:color w:val="000000" w:themeColor="text1"/>
        </w:rPr>
        <w:t>design, finance and implement landscape management programmes that can be scaled up and replicated, generating sustainability, resilience and global environmental benefits</w:t>
      </w:r>
      <w:r w:rsidR="005B336F" w:rsidRPr="002926D7">
        <w:rPr>
          <w:rFonts w:eastAsia="Calibri" w:cs="Calibri"/>
          <w:color w:val="000000" w:themeColor="text1"/>
          <w:szCs w:val="20"/>
        </w:rPr>
        <w:t>.</w:t>
      </w:r>
    </w:p>
    <w:p w14:paraId="174C6EE2" w14:textId="77777777" w:rsidR="005B336F" w:rsidRPr="002926D7" w:rsidRDefault="005B336F" w:rsidP="002926D7"/>
    <w:p w14:paraId="3CF8B1C7" w14:textId="067B7CA2" w:rsidR="005B336F" w:rsidRPr="002926D7" w:rsidRDefault="000D7FF4" w:rsidP="002926D7">
      <w:pPr>
        <w:numPr>
          <w:ilvl w:val="0"/>
          <w:numId w:val="8"/>
        </w:numPr>
        <w:ind w:left="0" w:firstLine="0"/>
        <w:rPr>
          <w:rFonts w:asciiTheme="minorHAnsi" w:hAnsiTheme="minorHAnsi" w:cstheme="minorHAnsi"/>
          <w:bCs/>
          <w:szCs w:val="20"/>
        </w:rPr>
      </w:pPr>
      <w:r w:rsidRPr="002926D7">
        <w:rPr>
          <w:rFonts w:eastAsia="Calibri" w:cs="Calibri"/>
          <w:b/>
          <w:bCs/>
          <w:color w:val="000000" w:themeColor="text1"/>
        </w:rPr>
        <w:t>SGP OP8-Part 1</w:t>
      </w:r>
      <w:r w:rsidR="005A430D" w:rsidRPr="002926D7">
        <w:rPr>
          <w:rFonts w:eastAsia="Calibri" w:cs="Calibri"/>
          <w:b/>
          <w:bCs/>
          <w:color w:val="000000" w:themeColor="text1"/>
        </w:rPr>
        <w:t xml:space="preserve"> will finance and support </w:t>
      </w:r>
      <w:r w:rsidR="00EE1F51" w:rsidRPr="002926D7">
        <w:rPr>
          <w:rFonts w:eastAsia="Calibri" w:cs="Calibri"/>
          <w:b/>
          <w:bCs/>
          <w:color w:val="000000" w:themeColor="text1"/>
        </w:rPr>
        <w:t xml:space="preserve">the </w:t>
      </w:r>
      <w:r w:rsidR="005A430D" w:rsidRPr="002926D7">
        <w:rPr>
          <w:rFonts w:eastAsia="Calibri" w:cs="Calibri"/>
          <w:b/>
          <w:bCs/>
          <w:color w:val="000000" w:themeColor="text1"/>
        </w:rPr>
        <w:t>design and implementation of participatory, multi-stakeholder</w:t>
      </w:r>
      <w:r w:rsidR="005A430D" w:rsidRPr="002926D7">
        <w:rPr>
          <w:rFonts w:eastAsia="Calibri" w:cs="Calibri"/>
          <w:b/>
          <w:bCs/>
          <w:i/>
          <w:iCs/>
          <w:color w:val="000000" w:themeColor="text1"/>
        </w:rPr>
        <w:t xml:space="preserve"> landscape-seascape </w:t>
      </w:r>
      <w:r w:rsidR="00EE1F51" w:rsidRPr="002926D7">
        <w:rPr>
          <w:rFonts w:eastAsia="Calibri" w:cs="Calibri"/>
          <w:b/>
          <w:bCs/>
          <w:i/>
          <w:iCs/>
          <w:color w:val="000000" w:themeColor="text1"/>
        </w:rPr>
        <w:t>approaches</w:t>
      </w:r>
      <w:r w:rsidR="005A430D" w:rsidRPr="002926D7">
        <w:rPr>
          <w:rFonts w:eastAsia="Calibri" w:cs="Calibri"/>
          <w:b/>
          <w:bCs/>
          <w:i/>
          <w:iCs/>
          <w:color w:val="000000" w:themeColor="text1"/>
        </w:rPr>
        <w:t xml:space="preserve"> </w:t>
      </w:r>
      <w:r w:rsidR="005A430D" w:rsidRPr="002926D7">
        <w:rPr>
          <w:rFonts w:eastAsia="Calibri" w:cs="Calibri"/>
          <w:b/>
          <w:bCs/>
          <w:color w:val="000000" w:themeColor="text1"/>
        </w:rPr>
        <w:t>consisting of locally</w:t>
      </w:r>
      <w:r w:rsidR="00EE1F51" w:rsidRPr="002926D7">
        <w:rPr>
          <w:rFonts w:eastAsia="Calibri" w:cs="Calibri"/>
          <w:b/>
          <w:bCs/>
          <w:color w:val="000000" w:themeColor="text1"/>
        </w:rPr>
        <w:t>-</w:t>
      </w:r>
      <w:r w:rsidR="005A430D" w:rsidRPr="002926D7">
        <w:rPr>
          <w:rFonts w:eastAsia="Calibri" w:cs="Calibri"/>
          <w:b/>
          <w:bCs/>
          <w:color w:val="000000" w:themeColor="text1"/>
        </w:rPr>
        <w:t xml:space="preserve">led, synergistic initiatives producing global </w:t>
      </w:r>
      <w:r w:rsidR="005A430D" w:rsidRPr="002926D7">
        <w:rPr>
          <w:rFonts w:eastAsia="Calibri" w:cs="Calibri"/>
          <w:b/>
          <w:bCs/>
          <w:color w:val="000000" w:themeColor="text1"/>
        </w:rPr>
        <w:lastRenderedPageBreak/>
        <w:t xml:space="preserve">environmental benefits and improved livelihoods, planned, developed and coordinated by local CSOs/CBOs, </w:t>
      </w:r>
      <w:r w:rsidR="005A430D" w:rsidRPr="002926D7">
        <w:rPr>
          <w:rFonts w:eastAsia="Calibri" w:cs="Calibri"/>
          <w:b/>
          <w:bCs/>
          <w:i/>
          <w:iCs/>
          <w:color w:val="000000" w:themeColor="text1"/>
        </w:rPr>
        <w:t xml:space="preserve">particularly those representing marginalized and vulnerable groups, including women, Indigenous Peoples, persons with disabilities, elderly and the youth. </w:t>
      </w:r>
      <w:r w:rsidR="005A430D" w:rsidRPr="002926D7">
        <w:rPr>
          <w:rFonts w:eastAsia="Calibri" w:cs="Calibri"/>
          <w:i/>
          <w:iCs/>
          <w:color w:val="000000" w:themeColor="text1"/>
        </w:rPr>
        <w:t>SGP OP8</w:t>
      </w:r>
      <w:r w:rsidRPr="002926D7">
        <w:rPr>
          <w:rFonts w:eastAsia="Calibri" w:cs="Calibri"/>
          <w:i/>
          <w:iCs/>
          <w:color w:val="000000" w:themeColor="text1"/>
        </w:rPr>
        <w:t>-Part 1</w:t>
      </w:r>
      <w:r w:rsidR="005A430D" w:rsidRPr="002926D7">
        <w:rPr>
          <w:rFonts w:eastAsia="Calibri" w:cs="Calibri"/>
          <w:i/>
          <w:iCs/>
          <w:color w:val="000000" w:themeColor="text1"/>
        </w:rPr>
        <w:t xml:space="preserve"> </w:t>
      </w:r>
      <w:r w:rsidR="005A430D" w:rsidRPr="002926D7">
        <w:rPr>
          <w:rFonts w:eastAsia="Calibri" w:cs="Calibri"/>
          <w:color w:val="000000" w:themeColor="text1"/>
        </w:rPr>
        <w:t>will</w:t>
      </w:r>
      <w:r w:rsidR="005A430D" w:rsidRPr="002926D7">
        <w:rPr>
          <w:rFonts w:eastAsia="Calibri" w:cs="Calibri"/>
          <w:i/>
          <w:iCs/>
          <w:color w:val="000000" w:themeColor="text1"/>
        </w:rPr>
        <w:t xml:space="preserve"> </w:t>
      </w:r>
      <w:r w:rsidR="005A430D" w:rsidRPr="002926D7">
        <w:rPr>
          <w:rFonts w:eastAsia="Calibri" w:cs="Calibri"/>
          <w:color w:val="000000" w:themeColor="text1"/>
        </w:rPr>
        <w:t xml:space="preserve">support the SGP Country Programme in each participating country to identify one or more eligible landscapes-seascapes based on national priorities espoused in NDCs, NAPAs, NBSAPs and other policies and work with the corresponding local actors to identify socio-ecological vulnerabilities (including threats to biodiversity, water, land, etc.), set priorities, and identify potential solutions, as part of a strategy for Inclusive </w:t>
      </w:r>
      <w:r w:rsidR="005A430D" w:rsidRPr="002926D7">
        <w:rPr>
          <w:rFonts w:eastAsia="Calibri" w:cs="Calibri"/>
          <w:i/>
          <w:iCs/>
          <w:color w:val="000000" w:themeColor="text1"/>
        </w:rPr>
        <w:t>Landscapes-Seascapes for Sustainability, Resilience and the Global Environment.</w:t>
      </w:r>
      <w:r w:rsidR="005A430D" w:rsidRPr="002926D7">
        <w:rPr>
          <w:rFonts w:eastAsia="Calibri" w:cs="Calibri"/>
          <w:color w:val="000000" w:themeColor="text1"/>
        </w:rPr>
        <w:t xml:space="preserve"> These strategies will emphasize inclusion of the most vulnerable populations under a Leave No One Behind</w:t>
      </w:r>
      <w:r w:rsidR="00EE1F51" w:rsidRPr="002926D7">
        <w:rPr>
          <w:rFonts w:eastAsia="Calibri" w:cs="Calibri"/>
          <w:color w:val="000000" w:themeColor="text1"/>
        </w:rPr>
        <w:t xml:space="preserve"> (LNOB)</w:t>
      </w:r>
      <w:r w:rsidR="005A430D" w:rsidRPr="002926D7">
        <w:rPr>
          <w:rFonts w:eastAsia="Calibri" w:cs="Calibri"/>
          <w:color w:val="000000" w:themeColor="text1"/>
        </w:rPr>
        <w:t xml:space="preserve"> principle and approach under the SDGs. These actors will come together in </w:t>
      </w:r>
      <w:r w:rsidR="005A430D" w:rsidRPr="002926D7">
        <w:rPr>
          <w:rFonts w:eastAsia="Calibri" w:cs="Calibri"/>
          <w:i/>
          <w:iCs/>
          <w:color w:val="000000" w:themeColor="text1"/>
        </w:rPr>
        <w:t>multi-stakeholder landscape-seascape governance platforms</w:t>
      </w:r>
      <w:r w:rsidR="005A430D" w:rsidRPr="002926D7">
        <w:rPr>
          <w:rFonts w:eastAsia="Calibri" w:cs="Calibri"/>
          <w:color w:val="000000" w:themeColor="text1"/>
        </w:rPr>
        <w:t xml:space="preserve"> for analysis and decision making with technical assistance from appropriate experts and institutions</w:t>
      </w:r>
      <w:r w:rsidR="005B336F" w:rsidRPr="002926D7">
        <w:rPr>
          <w:rFonts w:eastAsia="Calibri" w:cs="Calibri"/>
          <w:color w:val="000000" w:themeColor="text1"/>
          <w:szCs w:val="20"/>
        </w:rPr>
        <w:t>.</w:t>
      </w:r>
    </w:p>
    <w:p w14:paraId="541303BA" w14:textId="77777777" w:rsidR="005B336F" w:rsidRPr="002926D7" w:rsidRDefault="005B336F" w:rsidP="002926D7">
      <w:pPr>
        <w:rPr>
          <w:rFonts w:asciiTheme="minorHAnsi" w:hAnsiTheme="minorHAnsi" w:cstheme="minorHAnsi"/>
          <w:bCs/>
          <w:szCs w:val="20"/>
        </w:rPr>
      </w:pPr>
    </w:p>
    <w:p w14:paraId="5DABBDAB" w14:textId="77777777" w:rsidR="005B336F" w:rsidRPr="002926D7" w:rsidRDefault="005B336F" w:rsidP="002926D7">
      <w:pPr>
        <w:numPr>
          <w:ilvl w:val="0"/>
          <w:numId w:val="8"/>
        </w:numPr>
        <w:ind w:left="0" w:firstLine="0"/>
        <w:rPr>
          <w:rFonts w:asciiTheme="minorHAnsi" w:hAnsiTheme="minorHAnsi" w:cstheme="minorHAnsi"/>
          <w:bCs/>
          <w:szCs w:val="20"/>
        </w:rPr>
      </w:pPr>
      <w:r w:rsidRPr="002926D7">
        <w:rPr>
          <w:rFonts w:eastAsia="Calibri" w:cs="Calibri"/>
          <w:color w:val="000000" w:themeColor="text1"/>
          <w:szCs w:val="20"/>
        </w:rPr>
        <w:t>Among other things, the programme will significantly increase access to land and resource management information to inform decision-making; expand knowledge about and enable access to sustainable technologies; strengthen capacity for multi-stakeholder governance and participatory decision-making among local CSOs/CBOs, in collaboration with governments and private entrepreneurs, and for implementation of resultant policy in an integrated, systemic and sustainable manner; strengthen CSO/CBO technical capacities, e.g., on initiative design and financial planning to de-risk investments in rural and urban landscape-seascape management; and strengthen the sustainability of local economic alternatives and innovations overall.</w:t>
      </w:r>
    </w:p>
    <w:p w14:paraId="209824FC" w14:textId="77777777" w:rsidR="005B336F" w:rsidRPr="002926D7" w:rsidRDefault="005B336F" w:rsidP="002926D7"/>
    <w:p w14:paraId="4E8A8DAD" w14:textId="59D4AC13" w:rsidR="005B336F" w:rsidRPr="002926D7" w:rsidRDefault="005B336F" w:rsidP="002926D7">
      <w:pPr>
        <w:numPr>
          <w:ilvl w:val="0"/>
          <w:numId w:val="8"/>
        </w:numPr>
        <w:ind w:left="0" w:firstLine="0"/>
        <w:rPr>
          <w:rFonts w:asciiTheme="minorHAnsi" w:hAnsiTheme="minorHAnsi" w:cstheme="minorHAnsi"/>
          <w:bCs/>
          <w:szCs w:val="20"/>
        </w:rPr>
      </w:pPr>
      <w:r w:rsidRPr="002926D7">
        <w:rPr>
          <w:rFonts w:eastAsia="Calibri" w:cs="Calibri"/>
          <w:color w:val="000000" w:themeColor="text1"/>
          <w:szCs w:val="20"/>
        </w:rPr>
        <w:t>Critical benefits will accrue in biodiversity conservation, sustainable natural resource management, climate mitigation and adaptation, multi-stakeholder governance, poverty reduction, waste management, energy access, water security, access and management, human health, gender equality, and others. Through SGP OP8</w:t>
      </w:r>
      <w:r w:rsidR="000D7FF4" w:rsidRPr="002926D7">
        <w:rPr>
          <w:rFonts w:eastAsia="Calibri" w:cs="Calibri"/>
          <w:color w:val="000000" w:themeColor="text1"/>
          <w:szCs w:val="20"/>
        </w:rPr>
        <w:t>-Part 1</w:t>
      </w:r>
      <w:r w:rsidRPr="002926D7">
        <w:rPr>
          <w:rFonts w:eastAsia="Calibri" w:cs="Calibri"/>
          <w:color w:val="000000" w:themeColor="text1"/>
          <w:szCs w:val="20"/>
        </w:rPr>
        <w:t>, accrual of these benefits will be enhanced by projects serving as “incubators” of innovation, with the potential for broader replication of successful approaches through larger projects and programmes supported by the GEF and/or other partners. SGP OP8</w:t>
      </w:r>
      <w:r w:rsidR="000D7FF4" w:rsidRPr="002926D7">
        <w:rPr>
          <w:rFonts w:eastAsia="Calibri" w:cs="Calibri"/>
          <w:color w:val="000000" w:themeColor="text1"/>
          <w:szCs w:val="20"/>
        </w:rPr>
        <w:t>-Part 1 focuses</w:t>
      </w:r>
      <w:r w:rsidRPr="002926D7">
        <w:rPr>
          <w:rFonts w:eastAsia="Calibri" w:cs="Calibri"/>
          <w:color w:val="000000" w:themeColor="text1"/>
          <w:szCs w:val="20"/>
        </w:rPr>
        <w:t xml:space="preserve"> on promoting strategic and results-based investments at the local level in alignment with the GEF’s proposed focal area investments and Integrated Programs.</w:t>
      </w:r>
    </w:p>
    <w:p w14:paraId="346A07A1" w14:textId="77777777" w:rsidR="005B336F" w:rsidRPr="002926D7" w:rsidRDefault="005B336F" w:rsidP="002926D7"/>
    <w:p w14:paraId="4134C1B8" w14:textId="77777777" w:rsidR="00C37416" w:rsidRPr="002926D7" w:rsidRDefault="005B336F" w:rsidP="002926D7">
      <w:pPr>
        <w:numPr>
          <w:ilvl w:val="0"/>
          <w:numId w:val="8"/>
        </w:numPr>
        <w:ind w:left="0" w:firstLine="0"/>
        <w:rPr>
          <w:rFonts w:asciiTheme="minorHAnsi" w:hAnsiTheme="minorHAnsi" w:cstheme="minorHAnsi"/>
          <w:bCs/>
          <w:szCs w:val="20"/>
        </w:rPr>
      </w:pPr>
      <w:r w:rsidRPr="002926D7">
        <w:rPr>
          <w:rFonts w:eastAsia="Calibri" w:cs="Calibri"/>
          <w:color w:val="000000" w:themeColor="text1"/>
          <w:szCs w:val="20"/>
        </w:rPr>
        <w:t>For more than three decades, SGP interventions have focused on building and harnessing local community-group action to catalyze broader and sustainable environmental change. This offering is dominant across SGP portfolio and focuses on the inherent power of a motivated group to propel momentum and serve as an agent of change. Such community-group action is an informal ‘coming together’ between a plurality of individual(s) and/ or organizations in the community based on a shared collective conviction and position.</w:t>
      </w:r>
    </w:p>
    <w:p w14:paraId="1FF87D52" w14:textId="77777777" w:rsidR="00C37416" w:rsidRPr="002926D7" w:rsidRDefault="00C37416" w:rsidP="002926D7"/>
    <w:p w14:paraId="128EEC3C" w14:textId="27191F7D" w:rsidR="005B336F" w:rsidRPr="002926D7" w:rsidRDefault="005B336F" w:rsidP="002926D7">
      <w:pPr>
        <w:numPr>
          <w:ilvl w:val="0"/>
          <w:numId w:val="8"/>
        </w:numPr>
        <w:ind w:left="0" w:firstLine="0"/>
        <w:rPr>
          <w:rFonts w:asciiTheme="minorHAnsi" w:hAnsiTheme="minorHAnsi" w:cstheme="minorHAnsi"/>
          <w:bCs/>
          <w:szCs w:val="20"/>
        </w:rPr>
      </w:pPr>
      <w:r w:rsidRPr="002926D7">
        <w:rPr>
          <w:rFonts w:eastAsia="Calibri" w:cs="Calibri"/>
          <w:color w:val="000000" w:themeColor="text1"/>
          <w:szCs w:val="20"/>
        </w:rPr>
        <w:t>In the development of</w:t>
      </w:r>
      <w:r w:rsidR="000D7FF4" w:rsidRPr="002926D7">
        <w:rPr>
          <w:rFonts w:eastAsia="Calibri" w:cs="Calibri"/>
          <w:color w:val="000000" w:themeColor="text1"/>
          <w:szCs w:val="20"/>
        </w:rPr>
        <w:t xml:space="preserve"> the country programme strategies and the</w:t>
      </w:r>
      <w:r w:rsidRPr="002926D7">
        <w:rPr>
          <w:rFonts w:eastAsia="Calibri" w:cs="Calibri"/>
          <w:color w:val="000000" w:themeColor="text1"/>
          <w:szCs w:val="20"/>
        </w:rPr>
        <w:t xml:space="preserve"> landscape-seascape strategies, local CSOs/CBOs will identify priorities for sustainable development, resilience and the global environment and select specific initiatives for grant financing.  These initiatives will be assessed by the SGP National Steering Committee in each participating country for quality and viability, as well as alignment with the GEF-8 </w:t>
      </w:r>
      <w:r w:rsidRPr="002926D7">
        <w:rPr>
          <w:rFonts w:eastAsia="Calibri" w:cs="Calibri"/>
          <w:i/>
          <w:iCs/>
          <w:color w:val="000000" w:themeColor="text1"/>
          <w:szCs w:val="20"/>
        </w:rPr>
        <w:t>Strategic Positioning and Programming Directions</w:t>
      </w:r>
      <w:r w:rsidRPr="002926D7">
        <w:rPr>
          <w:rFonts w:eastAsia="Calibri" w:cs="Calibri"/>
          <w:color w:val="000000" w:themeColor="text1"/>
          <w:szCs w:val="20"/>
        </w:rPr>
        <w:t xml:space="preserve"> and the GEF </w:t>
      </w:r>
      <w:r w:rsidRPr="002926D7">
        <w:rPr>
          <w:rFonts w:eastAsia="Calibri" w:cs="Calibri"/>
          <w:i/>
          <w:iCs/>
          <w:color w:val="000000" w:themeColor="text1"/>
          <w:szCs w:val="20"/>
        </w:rPr>
        <w:t xml:space="preserve">Small Grants Programme 2.0 Implementation Arrangements for GEF-8. </w:t>
      </w:r>
      <w:r w:rsidRPr="002926D7">
        <w:rPr>
          <w:rFonts w:eastAsia="Calibri" w:cs="Calibri"/>
          <w:color w:val="000000" w:themeColor="text1"/>
          <w:szCs w:val="20"/>
        </w:rPr>
        <w:t>Initiatives will also be encouraged, as appropriate, for their potential to complement Integrated Programs and their support to and delivery of localized Sustainable Development Goals (SDGs).  The priorities and strategic approaches and cross-cutting initiatives mentioned above will steer SGP OP8</w:t>
      </w:r>
      <w:r w:rsidR="000D7FF4" w:rsidRPr="002926D7">
        <w:rPr>
          <w:rFonts w:eastAsia="Calibri" w:cs="Calibri"/>
          <w:color w:val="000000" w:themeColor="text1"/>
          <w:szCs w:val="20"/>
        </w:rPr>
        <w:t>-Part 1</w:t>
      </w:r>
      <w:r w:rsidRPr="002926D7">
        <w:rPr>
          <w:rFonts w:eastAsia="Calibri" w:cs="Calibri"/>
          <w:color w:val="000000" w:themeColor="text1"/>
          <w:szCs w:val="20"/>
        </w:rPr>
        <w:t xml:space="preserve"> grant making at the landscape-seascape levels and build on SGP’s experience and achievements.  SGP grant making will be further guided by the following cross-cutting priorities:</w:t>
      </w:r>
    </w:p>
    <w:p w14:paraId="10096FAC" w14:textId="6B22FF90" w:rsidR="005B336F" w:rsidRPr="002926D7" w:rsidRDefault="002A045D" w:rsidP="002926D7">
      <w:pPr>
        <w:pStyle w:val="ListParagraph"/>
        <w:numPr>
          <w:ilvl w:val="0"/>
          <w:numId w:val="22"/>
        </w:numPr>
        <w:spacing w:before="60"/>
        <w:ind w:left="720"/>
        <w:jc w:val="left"/>
        <w:rPr>
          <w:rFonts w:eastAsia="Calibri" w:cs="Calibri"/>
          <w:szCs w:val="20"/>
        </w:rPr>
      </w:pPr>
      <w:r w:rsidRPr="002926D7">
        <w:rPr>
          <w:rFonts w:eastAsia="Calibri" w:cs="Calibri"/>
          <w:b/>
          <w:bCs/>
        </w:rPr>
        <w:t>Increasing opportunities for local innovations and scaling up</w:t>
      </w:r>
      <w:r w:rsidRPr="002926D7">
        <w:rPr>
          <w:rFonts w:eastAsia="Calibri" w:cs="Calibri"/>
        </w:rPr>
        <w:t xml:space="preserve">. </w:t>
      </w:r>
      <w:r w:rsidR="00CF1169" w:rsidRPr="002926D7">
        <w:rPr>
          <w:rFonts w:eastAsia="Calibri" w:cs="Calibri"/>
        </w:rPr>
        <w:t>The SGP OP8</w:t>
      </w:r>
      <w:r w:rsidR="000D7FF4" w:rsidRPr="002926D7">
        <w:rPr>
          <w:rFonts w:eastAsia="Calibri" w:cs="Calibri"/>
        </w:rPr>
        <w:t>-Part 1</w:t>
      </w:r>
      <w:r w:rsidR="00CF1169" w:rsidRPr="002926D7">
        <w:rPr>
          <w:rFonts w:eastAsia="Calibri" w:cs="Calibri"/>
        </w:rPr>
        <w:t xml:space="preserve"> strategy is predicated on facilitating collaboration among multiple stakeholders in the target landscapes-seascapes. Multi-stakeholder governance platforms will be established, or existing platforms will be strengthened to increase inclusion of community-based actors. Recognizing the important role of MSMEs in sustaining grant initiatives, the SGP </w:t>
      </w:r>
      <w:r w:rsidR="00CF1169" w:rsidRPr="002926D7">
        <w:rPr>
          <w:rFonts w:eastAsia="Calibri" w:cs="Calibri"/>
          <w:color w:val="000000" w:themeColor="text1"/>
          <w:lang w:val="en-GB"/>
        </w:rPr>
        <w:t>OP8</w:t>
      </w:r>
      <w:r w:rsidR="000D7FF4" w:rsidRPr="002926D7">
        <w:rPr>
          <w:rFonts w:eastAsia="Calibri" w:cs="Calibri"/>
          <w:color w:val="000000" w:themeColor="text1"/>
          <w:lang w:val="en-GB"/>
        </w:rPr>
        <w:t>-Part 1</w:t>
      </w:r>
      <w:r w:rsidR="00CF1169" w:rsidRPr="002926D7">
        <w:rPr>
          <w:rFonts w:eastAsia="Calibri" w:cs="Calibri"/>
          <w:color w:val="000000" w:themeColor="text1"/>
          <w:lang w:val="en-GB"/>
        </w:rPr>
        <w:t xml:space="preserve"> </w:t>
      </w:r>
      <w:r w:rsidR="00CF1169" w:rsidRPr="002926D7">
        <w:rPr>
          <w:rFonts w:eastAsia="Calibri" w:cs="Calibri"/>
        </w:rPr>
        <w:t xml:space="preserve">strategy includes capacity building for such enterprises. Implementation of the programme will also build upon other lessons gained from earlier operational phases, facilitated by experienced National Steering Committees and National Coordinators. UNDP Country Offices and Regional Bureaux are well positioned to link SGP initiatives with complementary GEF-financed projects and </w:t>
      </w:r>
      <w:r w:rsidR="000D7FF4" w:rsidRPr="002926D7">
        <w:rPr>
          <w:rFonts w:eastAsia="Calibri" w:cs="Calibri"/>
        </w:rPr>
        <w:t>integrated and impact programs</w:t>
      </w:r>
      <w:r w:rsidR="00CF1169" w:rsidRPr="002926D7">
        <w:rPr>
          <w:rFonts w:eastAsia="Calibri" w:cs="Calibri"/>
        </w:rPr>
        <w:t>, as well as other donor funded projects</w:t>
      </w:r>
      <w:r w:rsidR="005B336F" w:rsidRPr="002926D7">
        <w:rPr>
          <w:rFonts w:eastAsia="Calibri" w:cs="Calibri"/>
          <w:szCs w:val="20"/>
        </w:rPr>
        <w:t>.</w:t>
      </w:r>
    </w:p>
    <w:p w14:paraId="550DE3F6" w14:textId="658BCD1C" w:rsidR="005B336F" w:rsidRPr="002926D7" w:rsidRDefault="00EE1F51" w:rsidP="002926D7">
      <w:pPr>
        <w:pStyle w:val="ListParagraph"/>
        <w:numPr>
          <w:ilvl w:val="0"/>
          <w:numId w:val="22"/>
        </w:numPr>
        <w:spacing w:before="60"/>
        <w:ind w:left="720"/>
        <w:jc w:val="left"/>
        <w:rPr>
          <w:rFonts w:eastAsia="Calibri" w:cs="Calibri"/>
          <w:szCs w:val="20"/>
        </w:rPr>
      </w:pPr>
      <w:r w:rsidRPr="002926D7">
        <w:rPr>
          <w:rFonts w:eastAsia="Calibri" w:cs="Calibri"/>
          <w:b/>
          <w:bCs/>
        </w:rPr>
        <w:lastRenderedPageBreak/>
        <w:t>Enhancing approaches to strengthen social inclusion</w:t>
      </w:r>
      <w:r w:rsidRPr="002926D7">
        <w:rPr>
          <w:rFonts w:eastAsia="Calibri" w:cs="Calibri"/>
        </w:rPr>
        <w:t xml:space="preserve">. In accordance with the principle of “leave no one behind”, SGP </w:t>
      </w:r>
      <w:r w:rsidRPr="002926D7">
        <w:rPr>
          <w:rFonts w:eastAsia="Calibri" w:cs="Calibri"/>
          <w:color w:val="000000" w:themeColor="text1"/>
        </w:rPr>
        <w:t>OP8-Part 1</w:t>
      </w:r>
      <w:r w:rsidRPr="002926D7">
        <w:rPr>
          <w:rFonts w:eastAsia="Calibri" w:cs="Calibri"/>
        </w:rPr>
        <w:t xml:space="preserve"> has a concerted emphasis on social inclusion, facilitating involvement of marginalized and vulnerable groups in participating in landscape-seascape planning, in being a part of the multi-stakeholder governance platforms, and benefitting through capacity building and grant assistance by implementing initiatives that enhance their well-being, as well as generating global environmental benefits. Under Component 2 there is a dedicated output focused on advancing gender equality and women’s empowerment objectives. As with previous operational phases, inclusion of Indigenous Peoples residing in the target landscapes-seascapes will be an important strategic objective.</w:t>
      </w:r>
      <w:r w:rsidR="003E25A6" w:rsidRPr="002926D7">
        <w:rPr>
          <w:rFonts w:eastAsia="Calibri" w:cs="Calibri"/>
        </w:rPr>
        <w:t xml:space="preserve"> In order to ensure full integration, indigenous peoples and other remote and marginalized communities need to be granted the legal identity by registering their existence in front of the law, and the organizations of indigenous peoples need to be registered in the country of operation.</w:t>
      </w:r>
      <w:r w:rsidRPr="002926D7">
        <w:rPr>
          <w:rFonts w:eastAsia="Calibri" w:cs="Calibri"/>
        </w:rPr>
        <w:t xml:space="preserve"> Indigenous</w:t>
      </w:r>
      <w:r w:rsidR="003E25A6" w:rsidRPr="002926D7">
        <w:rPr>
          <w:rFonts w:eastAsia="Calibri" w:cs="Calibri"/>
        </w:rPr>
        <w:t xml:space="preserve"> and remote populations</w:t>
      </w:r>
      <w:r w:rsidRPr="002926D7">
        <w:rPr>
          <w:rFonts w:eastAsia="Calibri" w:cs="Calibri"/>
        </w:rPr>
        <w:t xml:space="preserve"> groups will</w:t>
      </w:r>
      <w:r w:rsidR="003E25A6" w:rsidRPr="002926D7">
        <w:rPr>
          <w:rFonts w:eastAsia="Calibri" w:cs="Calibri"/>
        </w:rPr>
        <w:t xml:space="preserve"> then be able to</w:t>
      </w:r>
      <w:r w:rsidRPr="002926D7">
        <w:rPr>
          <w:rFonts w:eastAsia="Calibri" w:cs="Calibri"/>
        </w:rPr>
        <w:t xml:space="preserve"> design and implement initiatives based on their own priorities, and free, prior and informed consent will be obtained prior to the development of the landscape-seascape strategies</w:t>
      </w:r>
      <w:r w:rsidR="005B336F" w:rsidRPr="002926D7">
        <w:rPr>
          <w:rFonts w:eastAsia="Calibri" w:cs="Calibri"/>
          <w:szCs w:val="20"/>
        </w:rPr>
        <w:t>.</w:t>
      </w:r>
    </w:p>
    <w:p w14:paraId="10EF4357" w14:textId="2B154841" w:rsidR="005B336F" w:rsidRPr="002926D7" w:rsidRDefault="00EE1F51" w:rsidP="002926D7">
      <w:pPr>
        <w:pStyle w:val="ListParagraph"/>
        <w:numPr>
          <w:ilvl w:val="0"/>
          <w:numId w:val="22"/>
        </w:numPr>
        <w:spacing w:before="60"/>
        <w:ind w:left="720"/>
        <w:jc w:val="left"/>
        <w:rPr>
          <w:rFonts w:eastAsia="Calibri" w:cs="Calibri"/>
          <w:szCs w:val="20"/>
        </w:rPr>
      </w:pPr>
      <w:r w:rsidRPr="002926D7">
        <w:rPr>
          <w:rFonts w:eastAsia="Calibri" w:cs="Calibri"/>
          <w:b/>
          <w:bCs/>
        </w:rPr>
        <w:t>Concerted focus on youth and youth initiatives</w:t>
      </w:r>
      <w:r w:rsidRPr="002926D7">
        <w:rPr>
          <w:rFonts w:eastAsia="Calibri" w:cs="Calibri"/>
        </w:rPr>
        <w:t>.  The SGP OP8-Part 1 strategy also includes a concerted focus on engagement of youth and youth-led initiatives. Youth empowerment and knowledge have the potential to spark transformational change, as young people become more and more engaged in sustainable development priorities, they are often leading global debates across digital platforms and are fully integrated in the digital economy. Over the last decade, youth has increasingly become an important target group of the SGP as they are key stakeholders for current and future environment and sustainable development. SGP recognizes that active engagement of youth is vital to address the interlinked planetary crises and recognizes young people as the primary stakeholders, as well as future leaders and agents of change for sustainable development. The share of SGP projects with youth participation and led by youth tracked since 2015 grew to over 40%. To facilitate mainstreaming of youth empowerment, the majority (74%) of SGP countries appointed a Youth Focal Point to their National Steering Committees. Further, to become innovators and positive agents of change, young people need the right tools and knowledge. Building on the impactful experience of its dedicated innovation program, SGP will continue to invest in the capacity of youth, particularly the skills necessary for participation in the emerging green economy. The SGP OP8-Part 1 youth approach will be realized through systematic piloting in participating countries. Interventions will include direct project level investments in priority landscapes-seascapes and will include both working with youth as individuals and as organizations/ networks/ councils tackling global environmental issues</w:t>
      </w:r>
      <w:r w:rsidR="005B336F" w:rsidRPr="002926D7">
        <w:rPr>
          <w:rFonts w:eastAsia="Calibri" w:cs="Calibri"/>
          <w:szCs w:val="20"/>
        </w:rPr>
        <w:t>.</w:t>
      </w:r>
    </w:p>
    <w:p w14:paraId="45F71475" w14:textId="77777777" w:rsidR="005B336F" w:rsidRPr="002926D7" w:rsidRDefault="005B336F" w:rsidP="002926D7">
      <w:pPr>
        <w:pStyle w:val="ListParagraph"/>
        <w:numPr>
          <w:ilvl w:val="0"/>
          <w:numId w:val="22"/>
        </w:numPr>
        <w:spacing w:before="60"/>
        <w:ind w:left="720"/>
        <w:jc w:val="left"/>
        <w:rPr>
          <w:rFonts w:eastAsia="Calibri" w:cs="Calibri"/>
          <w:szCs w:val="20"/>
        </w:rPr>
      </w:pPr>
      <w:r w:rsidRPr="002926D7">
        <w:rPr>
          <w:rFonts w:eastAsia="Calibri" w:cs="Calibri"/>
          <w:b/>
          <w:bCs/>
          <w:szCs w:val="20"/>
        </w:rPr>
        <w:t>Leveraging private sector and business-oriented approaches</w:t>
      </w:r>
      <w:r w:rsidRPr="002926D7">
        <w:rPr>
          <w:rFonts w:eastAsia="Calibri" w:cs="Calibri"/>
          <w:szCs w:val="20"/>
        </w:rPr>
        <w:t>. Private sector engagement will be facilitated through implementation of the integrated, landscape-seascape approach in the participating countries. Private sector companies and associations will be invited to join the multi-stakeholder governance platforms, providing partnership opportunities with local CSOs/CBOs. Considering that many of the grant initiatives have a strong livelihoods dimension, private sector engagement will be important in enhancing sustainability of project results, through insertion of local producers into green value chains, delivery of capacity building on marketing and quality control, and access to financing opportunities.</w:t>
      </w:r>
    </w:p>
    <w:p w14:paraId="32D89AA8" w14:textId="77777777" w:rsidR="005B336F" w:rsidRPr="002926D7" w:rsidRDefault="005B336F" w:rsidP="002926D7">
      <w:pPr>
        <w:spacing w:line="259" w:lineRule="auto"/>
        <w:rPr>
          <w:rFonts w:eastAsia="Calibri" w:cs="Calibri"/>
          <w:color w:val="000000" w:themeColor="text1"/>
          <w:szCs w:val="20"/>
        </w:rPr>
      </w:pPr>
    </w:p>
    <w:p w14:paraId="2D59F245" w14:textId="61B8C832" w:rsidR="00C37416" w:rsidRPr="002926D7" w:rsidRDefault="00EE1F51" w:rsidP="002926D7">
      <w:pPr>
        <w:numPr>
          <w:ilvl w:val="0"/>
          <w:numId w:val="8"/>
        </w:numPr>
        <w:ind w:left="0" w:firstLine="0"/>
        <w:rPr>
          <w:rFonts w:eastAsia="Calibri" w:cs="Calibri"/>
          <w:color w:val="000000" w:themeColor="text1"/>
          <w:szCs w:val="20"/>
        </w:rPr>
      </w:pPr>
      <w:r w:rsidRPr="002926D7">
        <w:rPr>
          <w:rFonts w:eastAsia="Calibri" w:cs="Calibri"/>
          <w:color w:val="000000" w:themeColor="text1"/>
        </w:rPr>
        <w:t xml:space="preserve">Financing and implementation of locally-led strategies for </w:t>
      </w:r>
      <w:r w:rsidRPr="002926D7">
        <w:rPr>
          <w:rFonts w:eastAsia="Calibri" w:cs="Calibri"/>
          <w:i/>
          <w:iCs/>
          <w:color w:val="000000" w:themeColor="text1"/>
        </w:rPr>
        <w:t xml:space="preserve">Landscape-Seascape Sustainability, Resilience and the Global Environment </w:t>
      </w:r>
      <w:r w:rsidRPr="002926D7">
        <w:rPr>
          <w:rFonts w:eastAsia="Calibri" w:cs="Calibri"/>
          <w:color w:val="000000" w:themeColor="text1"/>
        </w:rPr>
        <w:t>will provide a governance framework and strategic planning mechanism for further investment to achieve the SDGs at local level. The process of strategy preparation will permit local CSOs/CBOs to also identify and prioritize SDG-related needs and aspirations at the same time and integrate them with other sustainable development priorities, and potentially develop a more comprehensive SDG investment framework accessible to a broader array of private, institutional and governmental investors for investment in health, education, energy, governance, institutional strengthening, gender equity and/or other SDGs</w:t>
      </w:r>
      <w:r w:rsidR="00C37416" w:rsidRPr="002926D7">
        <w:rPr>
          <w:rFonts w:eastAsia="Calibri" w:cs="Calibri"/>
          <w:color w:val="000000" w:themeColor="text1"/>
          <w:szCs w:val="20"/>
        </w:rPr>
        <w:t>.</w:t>
      </w:r>
    </w:p>
    <w:p w14:paraId="11FDA91A" w14:textId="77777777" w:rsidR="00C37416" w:rsidRPr="002926D7" w:rsidRDefault="00C37416" w:rsidP="002926D7">
      <w:pPr>
        <w:rPr>
          <w:rFonts w:eastAsia="Calibri" w:cs="Calibri"/>
          <w:color w:val="000000" w:themeColor="text1"/>
          <w:szCs w:val="20"/>
        </w:rPr>
      </w:pPr>
    </w:p>
    <w:p w14:paraId="50E780ED" w14:textId="77777777" w:rsidR="00636C83" w:rsidRPr="002926D7" w:rsidRDefault="005B336F" w:rsidP="002926D7">
      <w:pPr>
        <w:numPr>
          <w:ilvl w:val="0"/>
          <w:numId w:val="8"/>
        </w:numPr>
        <w:ind w:left="0" w:firstLine="0"/>
        <w:rPr>
          <w:b/>
          <w:bCs/>
          <w:szCs w:val="20"/>
          <w:u w:val="single"/>
        </w:rPr>
      </w:pPr>
      <w:r w:rsidRPr="002926D7">
        <w:rPr>
          <w:rFonts w:eastAsia="Calibri" w:cs="Calibri"/>
          <w:color w:val="000000" w:themeColor="text1"/>
          <w:szCs w:val="20"/>
        </w:rPr>
        <w:t xml:space="preserve">For landscape-seascape level CSOs/CBOs in each participating country to be supported in their efforts to achieve the above, </w:t>
      </w:r>
      <w:r w:rsidR="00844F5B" w:rsidRPr="002926D7">
        <w:rPr>
          <w:rFonts w:eastAsia="Calibri" w:cs="Calibri"/>
          <w:b/>
          <w:bCs/>
          <w:i/>
          <w:iCs/>
          <w:color w:val="000000" w:themeColor="text1"/>
          <w:szCs w:val="20"/>
        </w:rPr>
        <w:t>SGP OP8-Part 1</w:t>
      </w:r>
      <w:r w:rsidRPr="002926D7">
        <w:rPr>
          <w:rFonts w:eastAsia="Calibri" w:cs="Calibri"/>
          <w:b/>
          <w:bCs/>
          <w:i/>
          <w:iCs/>
          <w:color w:val="000000" w:themeColor="text1"/>
          <w:szCs w:val="20"/>
        </w:rPr>
        <w:t xml:space="preserve"> will provide grant financing (and support local CSOs/CBOs to access non-grant finance, where possible), technical assistance and capacity development, and access to knowledge and information through peer-to-peer learning and south-south exchanges using digital and other means</w:t>
      </w:r>
      <w:r w:rsidR="00636C83" w:rsidRPr="002926D7">
        <w:rPr>
          <w:rFonts w:eastAsia="Calibri" w:cs="Calibri"/>
          <w:b/>
          <w:bCs/>
          <w:i/>
          <w:iCs/>
          <w:color w:val="000000" w:themeColor="text1"/>
          <w:szCs w:val="20"/>
        </w:rPr>
        <w:t>.</w:t>
      </w:r>
    </w:p>
    <w:p w14:paraId="5C49D6E4" w14:textId="77777777" w:rsidR="00636C83" w:rsidRPr="002926D7" w:rsidRDefault="00636C83" w:rsidP="002926D7">
      <w:pPr>
        <w:pStyle w:val="ListParagraph"/>
        <w:rPr>
          <w:b/>
          <w:bCs/>
          <w:szCs w:val="20"/>
          <w:u w:val="single"/>
        </w:rPr>
      </w:pPr>
    </w:p>
    <w:p w14:paraId="09CC2F91" w14:textId="584B040E" w:rsidR="00EB1713" w:rsidRPr="002926D7" w:rsidRDefault="00EB1713" w:rsidP="002926D7">
      <w:pPr>
        <w:rPr>
          <w:b/>
          <w:bCs/>
          <w:szCs w:val="20"/>
          <w:u w:val="single"/>
        </w:rPr>
      </w:pPr>
      <w:r w:rsidRPr="002926D7">
        <w:rPr>
          <w:b/>
          <w:bCs/>
          <w:szCs w:val="20"/>
          <w:u w:val="single"/>
        </w:rPr>
        <w:lastRenderedPageBreak/>
        <w:t>Theory of Change</w:t>
      </w:r>
    </w:p>
    <w:p w14:paraId="79497A7B" w14:textId="77777777" w:rsidR="00EB1713" w:rsidRPr="002926D7" w:rsidRDefault="00EB1713" w:rsidP="002926D7">
      <w:pPr>
        <w:rPr>
          <w:szCs w:val="20"/>
        </w:rPr>
      </w:pPr>
    </w:p>
    <w:p w14:paraId="121449C6" w14:textId="44AA0553" w:rsidR="00335C78" w:rsidRPr="002926D7" w:rsidRDefault="00EE1F51" w:rsidP="002926D7">
      <w:pPr>
        <w:numPr>
          <w:ilvl w:val="0"/>
          <w:numId w:val="8"/>
        </w:numPr>
        <w:ind w:left="0" w:firstLine="0"/>
        <w:rPr>
          <w:b/>
          <w:bCs/>
        </w:rPr>
      </w:pPr>
      <w:r w:rsidRPr="002926D7">
        <w:rPr>
          <w:rFonts w:eastAsia="Calibri" w:cs="Calibri"/>
          <w:color w:val="000000" w:themeColor="text1"/>
        </w:rPr>
        <w:t xml:space="preserve">The project theory of change is illustrated schematically in </w:t>
      </w:r>
      <w:r w:rsidRPr="002926D7">
        <w:rPr>
          <w:rFonts w:eastAsia="Calibri" w:cs="Calibri"/>
          <w:b/>
          <w:bCs/>
          <w:color w:val="000000" w:themeColor="text1"/>
        </w:rPr>
        <w:fldChar w:fldCharType="begin"/>
      </w:r>
      <w:r w:rsidRPr="002926D7">
        <w:rPr>
          <w:rFonts w:eastAsia="Calibri" w:cs="Calibri"/>
          <w:b/>
          <w:bCs/>
          <w:color w:val="000000" w:themeColor="text1"/>
        </w:rPr>
        <w:instrText xml:space="preserve"> REF _Ref68442785 \h  \* MERGEFORMAT </w:instrText>
      </w:r>
      <w:r w:rsidRPr="002926D7">
        <w:rPr>
          <w:rFonts w:eastAsia="Calibri" w:cs="Calibri"/>
          <w:b/>
          <w:bCs/>
          <w:color w:val="000000" w:themeColor="text1"/>
        </w:rPr>
      </w:r>
      <w:r w:rsidRPr="002926D7">
        <w:rPr>
          <w:rFonts w:eastAsia="Calibri" w:cs="Calibri"/>
          <w:b/>
          <w:bCs/>
          <w:color w:val="000000" w:themeColor="text1"/>
        </w:rPr>
        <w:fldChar w:fldCharType="separate"/>
      </w:r>
      <w:r w:rsidR="00D0082E" w:rsidRPr="002926D7">
        <w:rPr>
          <w:b/>
          <w:bCs/>
        </w:rPr>
        <w:t>Figure</w:t>
      </w:r>
      <w:r w:rsidR="00D0082E" w:rsidRPr="002926D7">
        <w:t xml:space="preserve"> </w:t>
      </w:r>
      <w:r w:rsidR="00D0082E" w:rsidRPr="002926D7">
        <w:rPr>
          <w:noProof/>
        </w:rPr>
        <w:t>1</w:t>
      </w:r>
      <w:r w:rsidRPr="002926D7">
        <w:rPr>
          <w:rFonts w:eastAsia="Calibri" w:cs="Calibri"/>
          <w:b/>
          <w:bCs/>
          <w:color w:val="000000" w:themeColor="text1"/>
        </w:rPr>
        <w:fldChar w:fldCharType="end"/>
      </w:r>
      <w:r w:rsidRPr="002926D7">
        <w:rPr>
          <w:rFonts w:eastAsia="Calibri" w:cs="Calibri"/>
          <w:color w:val="000000" w:themeColor="text1"/>
        </w:rPr>
        <w:t>, reflecting progress across three causal pathways towards achievement of the envisaged outcomes and generation of global environmental benefits. The global environmental crisis – biodiversity loss, ecosystem degradation, pollution (plastics, POPs, chemicals, mercury), climate change – is the aggregate result of myriad individual decisions by millions of people in the rural and urban landscapes-seascapes where they live and work, motivated by a wide variety of incentives and disincentives – social, economic, political, etc.  For hundreds of millions of people in both rural and urban landscapes-seascapes the impacts of global environmental degradation are tangible at the local level in eroded lands, loss of plant genetic resources for food and agriculture, disappearing wetland, grassland and forest habitats and their species, deteriorating water resources, diminished agricultural and livestock yields and productivity, declining fish stocks, worsening pollution, higher temperatures, more variable rainfall, etc.  These impacts are enhanced or diminished by the everyday decisions of local actors driven by their desires to meet their needs for food and water security, as well as to generate income from farming, livestock, and/or fishing products sold in local, national and other markets</w:t>
      </w:r>
      <w:r w:rsidR="00335C78" w:rsidRPr="002926D7">
        <w:rPr>
          <w:rFonts w:eastAsia="Calibri" w:cs="Calibri"/>
          <w:color w:val="000000" w:themeColor="text1"/>
          <w:szCs w:val="20"/>
        </w:rPr>
        <w:t>.</w:t>
      </w:r>
    </w:p>
    <w:p w14:paraId="674208E2" w14:textId="77777777" w:rsidR="00335C78" w:rsidRPr="002926D7" w:rsidRDefault="00335C78" w:rsidP="002926D7"/>
    <w:p w14:paraId="26ECB242" w14:textId="5B8660DE" w:rsidR="00335C78" w:rsidRPr="002926D7" w:rsidRDefault="00335C78" w:rsidP="002926D7">
      <w:pPr>
        <w:numPr>
          <w:ilvl w:val="0"/>
          <w:numId w:val="8"/>
        </w:numPr>
        <w:ind w:left="0" w:firstLine="0"/>
      </w:pPr>
      <w:r w:rsidRPr="002926D7">
        <w:rPr>
          <w:rFonts w:eastAsia="Calibri" w:cs="Calibri"/>
          <w:color w:val="000000" w:themeColor="text1"/>
          <w:szCs w:val="20"/>
        </w:rPr>
        <w:t xml:space="preserve">The people most vulnerable to global environmental degradation and climate change are not unaware of or passive in the face of the global crisis.  Local communities, smallholder farmer organizations, Indigenous Peoples, </w:t>
      </w:r>
      <w:r w:rsidR="00844F5B" w:rsidRPr="002926D7">
        <w:rPr>
          <w:rFonts w:eastAsia="Calibri" w:cs="Calibri"/>
          <w:color w:val="000000" w:themeColor="text1"/>
          <w:szCs w:val="20"/>
        </w:rPr>
        <w:t>neighborhood</w:t>
      </w:r>
      <w:r w:rsidRPr="002926D7">
        <w:rPr>
          <w:rFonts w:eastAsia="Calibri" w:cs="Calibri"/>
          <w:color w:val="000000" w:themeColor="text1"/>
          <w:szCs w:val="20"/>
        </w:rPr>
        <w:t xml:space="preserve"> improvement groups, and non-governmental or civil society organizations of all kinds have organized to address the tangible impacts of environmental degradation at local and landscape-seascape levels. These voluntary, non-profit organizations are formed by committed individuals who have banded together to achieve </w:t>
      </w:r>
      <w:r w:rsidR="00844F5B" w:rsidRPr="002926D7">
        <w:rPr>
          <w:rFonts w:eastAsia="Calibri" w:cs="Calibri"/>
          <w:color w:val="000000" w:themeColor="text1"/>
          <w:szCs w:val="20"/>
        </w:rPr>
        <w:t>impact</w:t>
      </w:r>
      <w:r w:rsidRPr="002926D7">
        <w:rPr>
          <w:rFonts w:eastAsia="Calibri" w:cs="Calibri"/>
          <w:color w:val="000000" w:themeColor="text1"/>
          <w:szCs w:val="20"/>
        </w:rPr>
        <w:t xml:space="preserve"> through collective action.  Collective action is essential to reach the scale of impact needed to fully address global environmental degradation, however, it must be organized and directed to achieve objectives consonant with ecosystem function and services i.e., across catchments, watersheds, landscapes and the global environmental assets that sustain them (biodiversity, soils, water, carbon, etc.).</w:t>
      </w:r>
    </w:p>
    <w:p w14:paraId="617F5109" w14:textId="77777777" w:rsidR="00335C78" w:rsidRPr="002926D7" w:rsidRDefault="00335C78" w:rsidP="002926D7"/>
    <w:p w14:paraId="2FF44B0E" w14:textId="0C8629D5" w:rsidR="00335C78" w:rsidRPr="002926D7" w:rsidRDefault="00335C78" w:rsidP="002926D7">
      <w:pPr>
        <w:numPr>
          <w:ilvl w:val="0"/>
          <w:numId w:val="8"/>
        </w:numPr>
        <w:ind w:left="0" w:firstLine="0"/>
      </w:pPr>
      <w:r w:rsidRPr="002926D7">
        <w:rPr>
          <w:rFonts w:eastAsia="Calibri" w:cs="Calibri"/>
          <w:color w:val="000000" w:themeColor="text1"/>
          <w:szCs w:val="20"/>
        </w:rPr>
        <w:t xml:space="preserve">Changes to individual behaviour is a decisive goal, and strategically, collective action provides the means to </w:t>
      </w:r>
      <w:r w:rsidR="00844F5B" w:rsidRPr="002926D7">
        <w:rPr>
          <w:rFonts w:eastAsia="Calibri" w:cs="Calibri"/>
          <w:color w:val="000000" w:themeColor="text1"/>
          <w:szCs w:val="20"/>
        </w:rPr>
        <w:t>catalyze</w:t>
      </w:r>
      <w:r w:rsidRPr="002926D7">
        <w:rPr>
          <w:rFonts w:eastAsia="Calibri" w:cs="Calibri"/>
          <w:color w:val="000000" w:themeColor="text1"/>
          <w:szCs w:val="20"/>
        </w:rPr>
        <w:t xml:space="preserve"> and sustain these changes through peer-to-peer pressure and knowledge exchange, group policy advocacy and awareness raising campaigns, economies of scale in procurement of key production or service inputs or sale of sustainably produced goods and services, and effective management of public goods such as ecological restoration of communal lands, urban greening, non-motorized transport (e.g., bike lanes).  For SGP, knowledge, attitudes, practices, social and cultural norms and conventions are collectively considered social and behaviour change interventions working at individual, organizational and community levels. Such interventions shape not only demand, but also communication between engagement of community leaders and other influencers in promoting the adoption of environmentally friendly </w:t>
      </w:r>
      <w:r w:rsidR="00844F5B" w:rsidRPr="002926D7">
        <w:rPr>
          <w:rFonts w:eastAsia="Calibri" w:cs="Calibri"/>
          <w:color w:val="000000" w:themeColor="text1"/>
          <w:szCs w:val="20"/>
        </w:rPr>
        <w:t>behaviour</w:t>
      </w:r>
      <w:r w:rsidRPr="002926D7">
        <w:rPr>
          <w:rFonts w:eastAsia="Calibri" w:cs="Calibri"/>
          <w:color w:val="000000" w:themeColor="text1"/>
          <w:szCs w:val="20"/>
        </w:rPr>
        <w:t xml:space="preserve"> and practices.</w:t>
      </w:r>
    </w:p>
    <w:p w14:paraId="49F0215E" w14:textId="77777777" w:rsidR="00335C78" w:rsidRPr="002926D7" w:rsidRDefault="00335C78" w:rsidP="002926D7"/>
    <w:p w14:paraId="299D76FE" w14:textId="77777777" w:rsidR="00335C78" w:rsidRPr="002926D7" w:rsidRDefault="00335C78" w:rsidP="002926D7">
      <w:pPr>
        <w:numPr>
          <w:ilvl w:val="0"/>
          <w:numId w:val="8"/>
        </w:numPr>
        <w:ind w:left="0" w:firstLine="0"/>
      </w:pPr>
      <w:r w:rsidRPr="002926D7">
        <w:rPr>
          <w:rFonts w:eastAsia="Calibri" w:cs="Calibri"/>
          <w:color w:val="000000" w:themeColor="text1"/>
          <w:szCs w:val="20"/>
        </w:rPr>
        <w:t>Above all, collective action is essential to ensure adequate stewardship of ecosystem services at the landscape-seascape scale; for example, water provision across farms, forests, towns, municipalities etc., from headwaters to aquifers to river mouth; microclimate in urban areas; pollination, etc.  Sustainable delivery of ecosystem services requires multi-stakeholder governance of the landscape-seascape to ensure and enhance equity, productivity, and socio-ecological resilience.</w:t>
      </w:r>
    </w:p>
    <w:p w14:paraId="18EAAC77" w14:textId="77777777" w:rsidR="00335C78" w:rsidRPr="002926D7" w:rsidRDefault="00335C78" w:rsidP="002926D7"/>
    <w:p w14:paraId="32A0AB3F" w14:textId="0E60778D" w:rsidR="00335C78" w:rsidRPr="002926D7" w:rsidRDefault="00EE1F51" w:rsidP="002926D7">
      <w:pPr>
        <w:numPr>
          <w:ilvl w:val="0"/>
          <w:numId w:val="8"/>
        </w:numPr>
        <w:ind w:left="0" w:firstLine="0"/>
      </w:pPr>
      <w:r w:rsidRPr="002926D7">
        <w:rPr>
          <w:rFonts w:eastAsia="Calibri" w:cs="Calibri"/>
          <w:color w:val="000000" w:themeColor="text1"/>
        </w:rPr>
        <w:t>To achieve effective collective action for the sustainability, resilience and global environmental benefits of the landscapes-seascapes where they live and work, local CSOs/CBOs must have the capacities to proactively participate in a locally-led collaborative planning and management process and multi-stakeholder governance across their shared landscapes-seascapes; develop impacted-oriented strategies and plans for landscape management; access information, knowledge and technical assistance to assist them in reducing risks associated with innovations; identify and implement technical solutions and develop innovations to achieve strategic goals; strengthen the effectiveness of their organizations through learning-by-doing; and access adequate grant and potentially non-grant financing for their initiatives in the landscape-seascape in pursuit of their strategic sustainable development goals</w:t>
      </w:r>
      <w:r w:rsidR="00335C78" w:rsidRPr="002926D7">
        <w:rPr>
          <w:rFonts w:eastAsia="Calibri" w:cs="Calibri"/>
          <w:color w:val="000000" w:themeColor="text1"/>
          <w:szCs w:val="20"/>
        </w:rPr>
        <w:t xml:space="preserve">. </w:t>
      </w:r>
    </w:p>
    <w:bookmarkEnd w:id="34"/>
    <w:p w14:paraId="0DCCBA01" w14:textId="0208761C" w:rsidR="00E74156" w:rsidRPr="002926D7" w:rsidRDefault="00E74156" w:rsidP="002926D7">
      <w:pPr>
        <w:rPr>
          <w:szCs w:val="22"/>
        </w:rPr>
      </w:pPr>
    </w:p>
    <w:bookmarkEnd w:id="33"/>
    <w:bookmarkEnd w:id="35"/>
    <w:bookmarkEnd w:id="37"/>
    <w:bookmarkEnd w:id="38"/>
    <w:p w14:paraId="775AE107" w14:textId="77593731" w:rsidR="00CE29D5" w:rsidRPr="002926D7" w:rsidRDefault="00CE29D5" w:rsidP="002926D7">
      <w:pPr>
        <w:numPr>
          <w:ilvl w:val="0"/>
          <w:numId w:val="8"/>
        </w:numPr>
        <w:ind w:left="0" w:firstLine="0"/>
        <w:rPr>
          <w:szCs w:val="20"/>
        </w:rPr>
        <w:sectPr w:rsidR="00CE29D5" w:rsidRPr="002926D7" w:rsidSect="00294901">
          <w:footerReference w:type="default" r:id="rId16"/>
          <w:footerReference w:type="first" r:id="rId17"/>
          <w:pgSz w:w="12240" w:h="15840" w:code="1"/>
          <w:pgMar w:top="1440" w:right="1440" w:bottom="1440" w:left="1440" w:header="720" w:footer="432" w:gutter="0"/>
          <w:cols w:space="708"/>
          <w:docGrid w:linePitch="360"/>
        </w:sectPr>
      </w:pPr>
    </w:p>
    <w:p w14:paraId="7477C71F" w14:textId="295CA817" w:rsidR="00CE29D5" w:rsidRPr="002926D7" w:rsidRDefault="00CE29D5" w:rsidP="002926D7">
      <w:pPr>
        <w:keepNext/>
        <w:jc w:val="center"/>
      </w:pPr>
      <w:bookmarkStart w:id="41" w:name="_Hlk131871978"/>
    </w:p>
    <w:p w14:paraId="0F3A00EA" w14:textId="2D7FC9FB" w:rsidR="00001F81" w:rsidRPr="002926D7" w:rsidRDefault="000F272F" w:rsidP="002926D7">
      <w:pPr>
        <w:pStyle w:val="Caption"/>
      </w:pPr>
      <w:bookmarkStart w:id="42" w:name="_Ref68442785"/>
      <w:r w:rsidRPr="002926D7">
        <w:rPr>
          <w:noProof/>
        </w:rPr>
        <w:drawing>
          <wp:inline distT="0" distB="0" distL="0" distR="0" wp14:anchorId="1A747056" wp14:editId="7D706A76">
            <wp:extent cx="9144000" cy="5143500"/>
            <wp:effectExtent l="0" t="0" r="0" b="0"/>
            <wp:docPr id="1400585890" name="Picture 1" descr="A close-up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585890" name="Picture 1" descr="A close-up of a website&#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9144000" cy="5143500"/>
                    </a:xfrm>
                    <a:prstGeom prst="rect">
                      <a:avLst/>
                    </a:prstGeom>
                  </pic:spPr>
                </pic:pic>
              </a:graphicData>
            </a:graphic>
          </wp:inline>
        </w:drawing>
      </w:r>
    </w:p>
    <w:p w14:paraId="32BD7CCD" w14:textId="7DBB53E7" w:rsidR="00CE29D5" w:rsidRPr="002926D7" w:rsidRDefault="00CE29D5" w:rsidP="002926D7">
      <w:pPr>
        <w:pStyle w:val="Caption"/>
        <w:rPr>
          <w:szCs w:val="20"/>
        </w:rPr>
      </w:pPr>
      <w:bookmarkStart w:id="43" w:name="_Toc168062380"/>
      <w:r w:rsidRPr="002926D7">
        <w:t xml:space="preserve">Figure </w:t>
      </w:r>
      <w:r w:rsidRPr="002926D7">
        <w:fldChar w:fldCharType="begin"/>
      </w:r>
      <w:r w:rsidRPr="002926D7">
        <w:instrText>SEQ Figure \* ARABIC</w:instrText>
      </w:r>
      <w:r w:rsidRPr="002926D7">
        <w:fldChar w:fldCharType="separate"/>
      </w:r>
      <w:r w:rsidR="00D0082E" w:rsidRPr="002926D7">
        <w:rPr>
          <w:noProof/>
        </w:rPr>
        <w:t>1</w:t>
      </w:r>
      <w:r w:rsidRPr="002926D7">
        <w:fldChar w:fldCharType="end"/>
      </w:r>
      <w:bookmarkEnd w:id="42"/>
      <w:r w:rsidRPr="002926D7">
        <w:t>: Project theory of change</w:t>
      </w:r>
      <w:bookmarkEnd w:id="43"/>
    </w:p>
    <w:bookmarkEnd w:id="41"/>
    <w:p w14:paraId="2D677D37" w14:textId="77777777" w:rsidR="00CE29D5" w:rsidRPr="002926D7" w:rsidRDefault="00CE29D5" w:rsidP="002926D7">
      <w:pPr>
        <w:rPr>
          <w:szCs w:val="20"/>
        </w:rPr>
      </w:pPr>
    </w:p>
    <w:bookmarkEnd w:id="36"/>
    <w:p w14:paraId="49D31D8B" w14:textId="77777777" w:rsidR="00CE29D5" w:rsidRPr="002926D7" w:rsidRDefault="00CE29D5" w:rsidP="002926D7">
      <w:pPr>
        <w:rPr>
          <w:b/>
          <w:bCs/>
          <w:u w:val="single"/>
        </w:rPr>
        <w:sectPr w:rsidR="00CE29D5" w:rsidRPr="002926D7" w:rsidSect="00294901">
          <w:pgSz w:w="15840" w:h="12240" w:orient="landscape" w:code="1"/>
          <w:pgMar w:top="1152" w:right="720" w:bottom="1152" w:left="720" w:header="720" w:footer="432" w:gutter="0"/>
          <w:cols w:space="708"/>
          <w:docGrid w:linePitch="360"/>
        </w:sectPr>
      </w:pPr>
    </w:p>
    <w:p w14:paraId="6883A375" w14:textId="29595309" w:rsidR="003F5A03" w:rsidRPr="002926D7" w:rsidRDefault="001415CA" w:rsidP="002926D7">
      <w:pPr>
        <w:rPr>
          <w:b/>
          <w:bCs/>
        </w:rPr>
      </w:pPr>
      <w:bookmarkStart w:id="44" w:name="_Hlk71028316"/>
      <w:r w:rsidRPr="002926D7">
        <w:rPr>
          <w:b/>
          <w:bCs/>
          <w:u w:val="single"/>
        </w:rPr>
        <w:lastRenderedPageBreak/>
        <w:t>Alignment with GEF</w:t>
      </w:r>
      <w:r w:rsidR="00A736A9" w:rsidRPr="002926D7">
        <w:rPr>
          <w:b/>
          <w:bCs/>
          <w:u w:val="single"/>
        </w:rPr>
        <w:t>-8 Programming Strategies and Country/Regional Priorities</w:t>
      </w:r>
    </w:p>
    <w:p w14:paraId="1D229CA4" w14:textId="77777777" w:rsidR="003F5A03" w:rsidRPr="002926D7" w:rsidRDefault="003F5A03" w:rsidP="002926D7"/>
    <w:p w14:paraId="2E8CE1FA" w14:textId="77777777" w:rsidR="00A736A9" w:rsidRPr="002926D7" w:rsidRDefault="00A736A9" w:rsidP="002926D7">
      <w:pPr>
        <w:numPr>
          <w:ilvl w:val="0"/>
          <w:numId w:val="8"/>
        </w:numPr>
        <w:ind w:left="0" w:firstLine="0"/>
        <w:rPr>
          <w:szCs w:val="22"/>
        </w:rPr>
      </w:pPr>
      <w:bookmarkStart w:id="45" w:name="_Hlk153960277"/>
      <w:bookmarkStart w:id="46" w:name="_Hlk122100913"/>
      <w:bookmarkStart w:id="47" w:name="_Hlk101781042"/>
      <w:r w:rsidRPr="002926D7">
        <w:rPr>
          <w:rFonts w:asciiTheme="minorHAnsi" w:hAnsiTheme="minorHAnsi" w:cstheme="minorBidi"/>
          <w:szCs w:val="20"/>
        </w:rPr>
        <w:t xml:space="preserve">The SGP </w:t>
      </w:r>
      <w:r w:rsidRPr="002926D7">
        <w:rPr>
          <w:rFonts w:eastAsia="Calibri" w:cs="Calibri"/>
          <w:color w:val="000000" w:themeColor="text1"/>
          <w:szCs w:val="20"/>
        </w:rPr>
        <w:t>OP8</w:t>
      </w:r>
      <w:r w:rsidRPr="002926D7">
        <w:rPr>
          <w:rFonts w:asciiTheme="minorHAnsi" w:hAnsiTheme="minorHAnsi" w:cstheme="minorBidi"/>
          <w:szCs w:val="20"/>
        </w:rPr>
        <w:t xml:space="preserve"> aims at increasing the scale and scope of local CSOs’/CBOs’ empowerment through collective action across the landscapes-seascapes where they live and work for sustainable development, climate resilience and the global environment. In line with the GEF-8 programming directions, SGP </w:t>
      </w:r>
      <w:r w:rsidRPr="002926D7">
        <w:rPr>
          <w:rFonts w:eastAsia="Calibri" w:cs="Calibri"/>
          <w:color w:val="000000" w:themeColor="text1"/>
          <w:szCs w:val="20"/>
        </w:rPr>
        <w:t>OP8</w:t>
      </w:r>
      <w:r w:rsidRPr="002926D7">
        <w:rPr>
          <w:rFonts w:asciiTheme="minorHAnsi" w:hAnsiTheme="minorHAnsi" w:cstheme="minorBidi"/>
          <w:szCs w:val="20"/>
        </w:rPr>
        <w:t xml:space="preserve"> will deliver multiple global environmental benefits by boosting the engagement and capacities of local communities, Indigenous Peoples and civil society organizations to effectively tackle climate change impacts, land degradation, biodiversity loss and water and air pollution in a post-COVID19 pandemic context. </w:t>
      </w:r>
    </w:p>
    <w:p w14:paraId="606610D1" w14:textId="77777777" w:rsidR="00A736A9" w:rsidRPr="002926D7" w:rsidRDefault="00A736A9" w:rsidP="002926D7">
      <w:pPr>
        <w:rPr>
          <w:szCs w:val="22"/>
        </w:rPr>
      </w:pPr>
    </w:p>
    <w:p w14:paraId="581BD497" w14:textId="34CCE097" w:rsidR="00A736A9" w:rsidRPr="002926D7" w:rsidRDefault="00FB0C59" w:rsidP="002926D7">
      <w:pPr>
        <w:numPr>
          <w:ilvl w:val="0"/>
          <w:numId w:val="8"/>
        </w:numPr>
        <w:ind w:left="0" w:firstLine="0"/>
        <w:rPr>
          <w:szCs w:val="22"/>
        </w:rPr>
      </w:pPr>
      <w:r w:rsidRPr="002926D7">
        <w:rPr>
          <w:rFonts w:asciiTheme="minorHAnsi" w:hAnsiTheme="minorHAnsi" w:cstheme="minorBidi"/>
        </w:rPr>
        <w:t>Local empowerment and commitment will materialize through the design and implementation of initiatives contributing to the socio-ecological resilience, sustainability and productivity of critical local landscapes-seascapes within a strategic adaptive management approach. Supported by multi-stakeholder platforms, this landscape-seascape approach promotes the enhancement of ecosystem services underpinning landscape-seascape resilience and productivity, strengthens the sustainability of production systems, develops and diversifies the livelihoods and incomes of local communities and strengthens landscape-seascape institutions and governance systems to encourage community participation in and ownership of sustainable landscape-seascape management</w:t>
      </w:r>
      <w:r w:rsidR="00A736A9" w:rsidRPr="002926D7">
        <w:rPr>
          <w:rFonts w:asciiTheme="minorHAnsi" w:hAnsiTheme="minorHAnsi" w:cstheme="minorBidi"/>
          <w:szCs w:val="20"/>
        </w:rPr>
        <w:t>.</w:t>
      </w:r>
    </w:p>
    <w:p w14:paraId="3EB77ACC" w14:textId="77777777" w:rsidR="00A736A9" w:rsidRPr="002926D7" w:rsidRDefault="00A736A9" w:rsidP="002926D7"/>
    <w:p w14:paraId="595AF4E2" w14:textId="77777777" w:rsidR="00A736A9" w:rsidRPr="002926D7" w:rsidRDefault="00A736A9" w:rsidP="002926D7">
      <w:pPr>
        <w:numPr>
          <w:ilvl w:val="0"/>
          <w:numId w:val="8"/>
        </w:numPr>
        <w:ind w:left="0" w:firstLine="0"/>
        <w:rPr>
          <w:szCs w:val="22"/>
        </w:rPr>
      </w:pPr>
      <w:r w:rsidRPr="002926D7">
        <w:rPr>
          <w:rFonts w:asciiTheme="minorHAnsi" w:hAnsiTheme="minorHAnsi" w:cstheme="minorBidi"/>
          <w:szCs w:val="20"/>
        </w:rPr>
        <w:t>More specifically, the proposed programme will align with the SGP 2.0 thematic priorities described in both the GEF SGP 2.0 Implementation Arrangements for GEF-8 and the different focal area strategies outlined in the GEF-8 programming directions, as follows:</w:t>
      </w:r>
    </w:p>
    <w:p w14:paraId="117158DF" w14:textId="77777777" w:rsidR="00A736A9" w:rsidRPr="002926D7" w:rsidRDefault="00A736A9" w:rsidP="002926D7"/>
    <w:p w14:paraId="0FBEEDEC" w14:textId="1D949BE0" w:rsidR="00A736A9" w:rsidRPr="002926D7" w:rsidRDefault="00EE1F51" w:rsidP="002926D7">
      <w:pPr>
        <w:numPr>
          <w:ilvl w:val="0"/>
          <w:numId w:val="8"/>
        </w:numPr>
        <w:ind w:left="0" w:firstLine="0"/>
        <w:rPr>
          <w:szCs w:val="22"/>
        </w:rPr>
      </w:pPr>
      <w:r w:rsidRPr="002926D7">
        <w:rPr>
          <w:rFonts w:asciiTheme="minorHAnsi" w:hAnsiTheme="minorHAnsi" w:cstheme="minorBidi"/>
          <w:b/>
          <w:bCs/>
          <w:i/>
          <w:iCs/>
        </w:rPr>
        <w:t>Community-based management of threatened ecosystems and species</w:t>
      </w:r>
      <w:r w:rsidRPr="002926D7">
        <w:rPr>
          <w:rFonts w:asciiTheme="minorHAnsi" w:hAnsiTheme="minorHAnsi" w:cstheme="minorBidi"/>
        </w:rPr>
        <w:t xml:space="preserve">: through SGP </w:t>
      </w:r>
      <w:r w:rsidRPr="002926D7">
        <w:rPr>
          <w:rFonts w:eastAsia="Calibri" w:cs="Calibri"/>
          <w:color w:val="000000" w:themeColor="text1"/>
        </w:rPr>
        <w:t>OP8</w:t>
      </w:r>
      <w:r w:rsidRPr="002926D7">
        <w:rPr>
          <w:rFonts w:asciiTheme="minorHAnsi" w:hAnsiTheme="minorHAnsi" w:cstheme="minorBidi"/>
        </w:rPr>
        <w:t xml:space="preserve"> grants will be awarded to local CSOs/CBOs to support the conservation and sustainable use of natural resources in forest landscapes, grasslands, river basins and catchments, wetlands, and coastal and marine ecosystems, as well as mainstream biodiversity conservation principles and practices in key production sectors in the landscape-seascape. With the active involvement of Indigenous Peoples, local communities and other civil society organizations embedded within multi-stakeholder governance platforms, locally-led initiatives will support innovative solutions at landscape-seascape, national, regional and other levels</w:t>
      </w:r>
      <w:r w:rsidR="00A736A9" w:rsidRPr="002926D7">
        <w:rPr>
          <w:rFonts w:asciiTheme="minorHAnsi" w:hAnsiTheme="minorHAnsi" w:cstheme="minorBidi"/>
          <w:szCs w:val="20"/>
        </w:rPr>
        <w:t>.</w:t>
      </w:r>
    </w:p>
    <w:p w14:paraId="2ABA1ED3" w14:textId="77777777" w:rsidR="00A736A9" w:rsidRPr="002926D7" w:rsidRDefault="00A736A9" w:rsidP="002926D7"/>
    <w:p w14:paraId="6E1F57DE" w14:textId="77777777" w:rsidR="00A736A9" w:rsidRPr="002926D7" w:rsidRDefault="00A736A9" w:rsidP="002926D7">
      <w:pPr>
        <w:numPr>
          <w:ilvl w:val="0"/>
          <w:numId w:val="8"/>
        </w:numPr>
        <w:ind w:left="0" w:firstLine="0"/>
        <w:rPr>
          <w:szCs w:val="22"/>
        </w:rPr>
      </w:pPr>
      <w:r w:rsidRPr="002926D7">
        <w:rPr>
          <w:rFonts w:asciiTheme="minorHAnsi" w:hAnsiTheme="minorHAnsi" w:cstheme="minorBidi"/>
          <w:b/>
          <w:bCs/>
          <w:i/>
          <w:iCs/>
          <w:szCs w:val="20"/>
        </w:rPr>
        <w:t>Sustainable agriculture and fisheries, and food security</w:t>
      </w:r>
      <w:r w:rsidRPr="002926D7">
        <w:rPr>
          <w:rFonts w:asciiTheme="minorHAnsi" w:hAnsiTheme="minorHAnsi" w:cstheme="minorBidi"/>
          <w:i/>
          <w:iCs/>
          <w:szCs w:val="20"/>
        </w:rPr>
        <w:t xml:space="preserve">: </w:t>
      </w:r>
      <w:r w:rsidRPr="002926D7">
        <w:rPr>
          <w:rFonts w:asciiTheme="minorHAnsi" w:hAnsiTheme="minorHAnsi" w:cstheme="minorBidi"/>
          <w:szCs w:val="20"/>
        </w:rPr>
        <w:t xml:space="preserve">through landscape-seascape level community-based grants, SGP </w:t>
      </w:r>
      <w:r w:rsidRPr="002926D7">
        <w:rPr>
          <w:rFonts w:eastAsia="Calibri" w:cs="Calibri"/>
          <w:color w:val="000000" w:themeColor="text1"/>
          <w:szCs w:val="20"/>
        </w:rPr>
        <w:t xml:space="preserve">OP8 </w:t>
      </w:r>
      <w:r w:rsidRPr="002926D7">
        <w:rPr>
          <w:rFonts w:asciiTheme="minorHAnsi" w:hAnsiTheme="minorHAnsi" w:cstheme="minorBidi"/>
          <w:szCs w:val="20"/>
        </w:rPr>
        <w:t>will enhance the sustainability and productivity of priority socio-ecological production systems, particularly for food staples and commodities, livestock, fisheries and aquaculture. OP8 will emphasize support to local farmers and fishers to adopt science-based agroecological, regenerative, and biodiversity conservation principles and practices and adapt these to local contexts using traditional knowledge. Local action in the landscape will directly support national voluntary Land Degradation Neutrality targets.</w:t>
      </w:r>
    </w:p>
    <w:p w14:paraId="437ACA46" w14:textId="77777777" w:rsidR="00A736A9" w:rsidRPr="002926D7" w:rsidRDefault="00A736A9" w:rsidP="002926D7"/>
    <w:p w14:paraId="230B886D" w14:textId="77777777" w:rsidR="00A736A9" w:rsidRPr="002926D7" w:rsidRDefault="00A736A9" w:rsidP="002926D7">
      <w:pPr>
        <w:numPr>
          <w:ilvl w:val="0"/>
          <w:numId w:val="8"/>
        </w:numPr>
        <w:ind w:left="0" w:firstLine="0"/>
        <w:rPr>
          <w:szCs w:val="22"/>
        </w:rPr>
      </w:pPr>
      <w:r w:rsidRPr="002926D7">
        <w:rPr>
          <w:rFonts w:asciiTheme="minorHAnsi" w:hAnsiTheme="minorHAnsi" w:cstheme="minorBidi"/>
          <w:b/>
          <w:bCs/>
          <w:i/>
          <w:iCs/>
          <w:szCs w:val="20"/>
        </w:rPr>
        <w:t>Low-Carbon Energy Access and Co-Benefits</w:t>
      </w:r>
      <w:r w:rsidRPr="002926D7">
        <w:rPr>
          <w:rFonts w:asciiTheme="minorHAnsi" w:hAnsiTheme="minorHAnsi" w:cstheme="minorBidi"/>
          <w:szCs w:val="20"/>
        </w:rPr>
        <w:t xml:space="preserve">: SGP </w:t>
      </w:r>
      <w:r w:rsidRPr="002926D7">
        <w:rPr>
          <w:rFonts w:eastAsia="Calibri" w:cs="Calibri"/>
          <w:color w:val="000000" w:themeColor="text1"/>
          <w:szCs w:val="20"/>
        </w:rPr>
        <w:t>OP8</w:t>
      </w:r>
      <w:r w:rsidRPr="002926D7">
        <w:rPr>
          <w:rFonts w:asciiTheme="minorHAnsi" w:hAnsiTheme="minorHAnsi" w:cstheme="minorBidi"/>
          <w:szCs w:val="20"/>
        </w:rPr>
        <w:t xml:space="preserve"> will promote affordable clean energy in remote areas and vulnerable communities in critical landscapes-seascapes. Under this priority, the programme will aim at scaling-up low carbon transformation through engagement with the private sector and investments in digital technologies and innovation.</w:t>
      </w:r>
    </w:p>
    <w:p w14:paraId="0C7D7559" w14:textId="77777777" w:rsidR="00A736A9" w:rsidRPr="002926D7" w:rsidRDefault="00A736A9" w:rsidP="002926D7"/>
    <w:p w14:paraId="08525E4E" w14:textId="6E50FCDF" w:rsidR="00A736A9" w:rsidRPr="002926D7" w:rsidRDefault="00A736A9" w:rsidP="002926D7">
      <w:pPr>
        <w:numPr>
          <w:ilvl w:val="0"/>
          <w:numId w:val="8"/>
        </w:numPr>
        <w:ind w:left="0" w:firstLine="0"/>
        <w:rPr>
          <w:szCs w:val="22"/>
        </w:rPr>
      </w:pPr>
      <w:r w:rsidRPr="002926D7">
        <w:rPr>
          <w:rFonts w:asciiTheme="minorHAnsi" w:hAnsiTheme="minorHAnsi" w:cstheme="minorBidi"/>
          <w:b/>
          <w:bCs/>
          <w:i/>
          <w:iCs/>
          <w:szCs w:val="20"/>
        </w:rPr>
        <w:t>Local to Global Coalitions for Chemicals and Waste Management</w:t>
      </w:r>
      <w:r w:rsidRPr="002926D7">
        <w:rPr>
          <w:rFonts w:asciiTheme="minorHAnsi" w:hAnsiTheme="minorHAnsi" w:cstheme="minorBidi"/>
          <w:b/>
          <w:bCs/>
          <w:szCs w:val="20"/>
        </w:rPr>
        <w:t>:</w:t>
      </w:r>
      <w:r w:rsidRPr="002926D7">
        <w:rPr>
          <w:rFonts w:asciiTheme="minorHAnsi" w:hAnsiTheme="minorHAnsi" w:cstheme="minorBidi"/>
          <w:szCs w:val="20"/>
        </w:rPr>
        <w:t xml:space="preserve"> SGP </w:t>
      </w:r>
      <w:r w:rsidRPr="002926D7">
        <w:rPr>
          <w:rFonts w:eastAsia="Calibri" w:cs="Calibri"/>
          <w:color w:val="000000" w:themeColor="text1"/>
          <w:szCs w:val="20"/>
        </w:rPr>
        <w:t>OP8</w:t>
      </w:r>
      <w:r w:rsidRPr="002926D7">
        <w:rPr>
          <w:rFonts w:asciiTheme="minorHAnsi" w:hAnsiTheme="minorHAnsi" w:cstheme="minorBidi"/>
          <w:szCs w:val="20"/>
        </w:rPr>
        <w:t xml:space="preserve"> will support communities at the forefront of chemicals and waste-related threats, either as users or consumers. Interventions will focus on innovative, affordable, and practical solutions to chemicals and waste management, including plastics</w:t>
      </w:r>
      <w:r w:rsidR="00FB0C59" w:rsidRPr="002926D7">
        <w:rPr>
          <w:rFonts w:asciiTheme="minorHAnsi" w:hAnsiTheme="minorHAnsi" w:cstheme="minorBidi"/>
          <w:szCs w:val="20"/>
        </w:rPr>
        <w:t xml:space="preserve">, electronic waste, polychlorinated biphenyls and other </w:t>
      </w:r>
      <w:r w:rsidR="004F3A2B" w:rsidRPr="002926D7">
        <w:rPr>
          <w:rFonts w:asciiTheme="minorHAnsi" w:hAnsiTheme="minorHAnsi" w:cstheme="minorBidi"/>
          <w:szCs w:val="20"/>
        </w:rPr>
        <w:t>persistent</w:t>
      </w:r>
      <w:r w:rsidR="00FB0C59" w:rsidRPr="002926D7">
        <w:rPr>
          <w:rFonts w:asciiTheme="minorHAnsi" w:hAnsiTheme="minorHAnsi" w:cstheme="minorBidi"/>
          <w:szCs w:val="20"/>
        </w:rPr>
        <w:t xml:space="preserve"> organic pollutants, and mercury</w:t>
      </w:r>
      <w:r w:rsidRPr="002926D7">
        <w:rPr>
          <w:rFonts w:asciiTheme="minorHAnsi" w:hAnsiTheme="minorHAnsi" w:cstheme="minorBidi"/>
          <w:szCs w:val="20"/>
        </w:rPr>
        <w:t>.</w:t>
      </w:r>
    </w:p>
    <w:p w14:paraId="5AF88DEE" w14:textId="77777777" w:rsidR="00A736A9" w:rsidRPr="002926D7" w:rsidRDefault="00A736A9" w:rsidP="002926D7"/>
    <w:p w14:paraId="6D63BDBD" w14:textId="4AD3C807" w:rsidR="00A736A9" w:rsidRPr="002926D7" w:rsidRDefault="00A736A9" w:rsidP="002926D7">
      <w:pPr>
        <w:numPr>
          <w:ilvl w:val="0"/>
          <w:numId w:val="8"/>
        </w:numPr>
        <w:ind w:left="0" w:firstLine="0"/>
        <w:rPr>
          <w:szCs w:val="22"/>
        </w:rPr>
      </w:pPr>
      <w:r w:rsidRPr="002926D7">
        <w:rPr>
          <w:rFonts w:asciiTheme="minorHAnsi" w:hAnsiTheme="minorHAnsi" w:cstheme="minorBidi"/>
          <w:b/>
          <w:bCs/>
          <w:i/>
          <w:iCs/>
          <w:szCs w:val="20"/>
        </w:rPr>
        <w:t>Catalyzing Sustainable Urban Solutions</w:t>
      </w:r>
      <w:r w:rsidRPr="002926D7">
        <w:rPr>
          <w:rFonts w:asciiTheme="minorHAnsi" w:hAnsiTheme="minorHAnsi" w:cstheme="minorBidi"/>
          <w:szCs w:val="20"/>
        </w:rPr>
        <w:t xml:space="preserve">: under its landscape-seascape approach, SGP </w:t>
      </w:r>
      <w:r w:rsidRPr="002926D7">
        <w:rPr>
          <w:rFonts w:eastAsia="Calibri" w:cs="Calibri"/>
          <w:color w:val="000000" w:themeColor="text1"/>
          <w:szCs w:val="20"/>
        </w:rPr>
        <w:t>OP8</w:t>
      </w:r>
      <w:r w:rsidR="00B46AF6" w:rsidRPr="002926D7">
        <w:rPr>
          <w:rFonts w:eastAsia="Calibri" w:cs="Calibri"/>
          <w:color w:val="000000" w:themeColor="text1"/>
          <w:szCs w:val="20"/>
        </w:rPr>
        <w:t>-Part 1</w:t>
      </w:r>
      <w:r w:rsidRPr="002926D7">
        <w:rPr>
          <w:rFonts w:asciiTheme="minorHAnsi" w:hAnsiTheme="minorHAnsi" w:cstheme="minorBidi"/>
          <w:szCs w:val="20"/>
        </w:rPr>
        <w:t xml:space="preserve"> will target development of innovations by vulnerable urban communities with an integrated management approach to address challenges faced by local urban communities in terms of energy and water use efficiency, waste and chemical management, green areas and infrastructure, low-cost cooling and heating using renewable energy, and non-motorized transport systems, among others. </w:t>
      </w:r>
    </w:p>
    <w:p w14:paraId="2672F712" w14:textId="77777777" w:rsidR="00A736A9" w:rsidRPr="002926D7" w:rsidRDefault="00A736A9" w:rsidP="002926D7"/>
    <w:p w14:paraId="7AC038E9" w14:textId="77777777" w:rsidR="00A736A9" w:rsidRPr="002926D7" w:rsidRDefault="00A736A9" w:rsidP="002926D7">
      <w:pPr>
        <w:numPr>
          <w:ilvl w:val="0"/>
          <w:numId w:val="8"/>
        </w:numPr>
        <w:ind w:left="0" w:firstLine="0"/>
        <w:rPr>
          <w:szCs w:val="22"/>
        </w:rPr>
      </w:pPr>
      <w:r w:rsidRPr="002926D7">
        <w:rPr>
          <w:rFonts w:asciiTheme="minorHAnsi" w:hAnsiTheme="minorHAnsi" w:cstheme="minorBidi"/>
          <w:szCs w:val="20"/>
        </w:rPr>
        <w:lastRenderedPageBreak/>
        <w:t xml:space="preserve">In addition, interventions will be implemented and closely aligned with relevant GEF-8 focal area strategies and Integrated Programs, including but not limited to the Blue-Green Island Integrated Program, Food Systems Integrated Program, the Ecosystem Restoration Integrated Program, the Net-Zero Nature-Positive Accelerator Integrated Program, Sustainable Cities Integrated Program, the Circular Solutions to Plastic Pollution, and the Elimination of Harmful Chemicals from Supply Chains Interventions. </w:t>
      </w:r>
    </w:p>
    <w:p w14:paraId="3B542C4B" w14:textId="77777777" w:rsidR="00A736A9" w:rsidRPr="002926D7" w:rsidRDefault="00A736A9" w:rsidP="002926D7">
      <w:pPr>
        <w:pStyle w:val="ListParagraph"/>
        <w:rPr>
          <w:rFonts w:asciiTheme="minorHAnsi" w:hAnsiTheme="minorHAnsi" w:cstheme="minorBidi"/>
          <w:szCs w:val="20"/>
        </w:rPr>
      </w:pPr>
    </w:p>
    <w:p w14:paraId="4BC60FAC" w14:textId="59E47780" w:rsidR="00A736A9" w:rsidRPr="002926D7" w:rsidRDefault="00F91460" w:rsidP="002926D7">
      <w:pPr>
        <w:numPr>
          <w:ilvl w:val="0"/>
          <w:numId w:val="8"/>
        </w:numPr>
        <w:ind w:left="0" w:firstLine="0"/>
        <w:rPr>
          <w:szCs w:val="22"/>
        </w:rPr>
      </w:pPr>
      <w:r w:rsidRPr="002926D7">
        <w:rPr>
          <w:rFonts w:asciiTheme="minorHAnsi" w:hAnsiTheme="minorHAnsi" w:cstheme="minorBidi"/>
        </w:rPr>
        <w:t xml:space="preserve">Multilateral Environmental Agreements (MEA) recognize the central importance of community-based organizations’ participation in their effective implementation, working in partnership with governments and the private sector to contribute to a green and blue recovery to promote sustainable development and improved livelihoods. Through its landscape approach, the SGP </w:t>
      </w:r>
      <w:r w:rsidRPr="002926D7">
        <w:rPr>
          <w:rFonts w:eastAsia="Calibri" w:cs="Calibri"/>
          <w:color w:val="000000" w:themeColor="text1"/>
        </w:rPr>
        <w:t>OP8</w:t>
      </w:r>
      <w:r w:rsidRPr="002926D7">
        <w:rPr>
          <w:rFonts w:asciiTheme="minorHAnsi" w:hAnsiTheme="minorHAnsi" w:cstheme="minorBidi"/>
        </w:rPr>
        <w:t xml:space="preserve"> will support local community-based management of landscape-seascape resources for resilience and the global environment and will contribute to MEAs such as the Paris Agreement (UNFCCC), the Kunming-Montreal Global Biodiversity Framework (UNCBD), Land Degradation Neutrality targets (UNCCD), the UN Decade on Ecosystem Restoration, the Convention on International Trade in Endangered Species of Wild Fauna and Flora, t</w:t>
      </w:r>
      <w:r w:rsidRPr="002926D7">
        <w:rPr>
          <w:rFonts w:eastAsia="Calibri" w:cs="Calibri"/>
          <w:sz w:val="22"/>
          <w:szCs w:val="22"/>
        </w:rPr>
        <w:t>h</w:t>
      </w:r>
      <w:r w:rsidRPr="002926D7">
        <w:rPr>
          <w:rFonts w:asciiTheme="minorHAnsi" w:hAnsiTheme="minorHAnsi" w:cstheme="minorBidi"/>
        </w:rPr>
        <w:t>e Stockholm Convention on POPs, the Minamata Convention on Mercury</w:t>
      </w:r>
      <w:r w:rsidRPr="002926D7">
        <w:rPr>
          <w:rFonts w:eastAsia="Calibri" w:cs="Calibri"/>
          <w:sz w:val="22"/>
          <w:szCs w:val="22"/>
        </w:rPr>
        <w:t>,</w:t>
      </w:r>
      <w:r w:rsidRPr="002926D7">
        <w:rPr>
          <w:rFonts w:asciiTheme="minorHAnsi" w:hAnsiTheme="minorHAnsi" w:cstheme="minorBidi"/>
        </w:rPr>
        <w:t xml:space="preserve"> and other relevant global agreements</w:t>
      </w:r>
      <w:r w:rsidR="00A736A9" w:rsidRPr="002926D7">
        <w:rPr>
          <w:rFonts w:asciiTheme="minorHAnsi" w:hAnsiTheme="minorHAnsi" w:cstheme="minorBidi"/>
          <w:szCs w:val="20"/>
        </w:rPr>
        <w:t>.</w:t>
      </w:r>
    </w:p>
    <w:p w14:paraId="08541101" w14:textId="77777777" w:rsidR="00A736A9" w:rsidRPr="002926D7" w:rsidRDefault="00A736A9" w:rsidP="002926D7">
      <w:pPr>
        <w:pStyle w:val="ListParagraph"/>
        <w:rPr>
          <w:rFonts w:asciiTheme="minorHAnsi" w:hAnsiTheme="minorHAnsi" w:cstheme="minorBidi"/>
          <w:szCs w:val="20"/>
        </w:rPr>
      </w:pPr>
    </w:p>
    <w:p w14:paraId="6CD41FE3" w14:textId="1247C412" w:rsidR="00A736A9" w:rsidRPr="002926D7" w:rsidRDefault="00A736A9" w:rsidP="002926D7">
      <w:pPr>
        <w:numPr>
          <w:ilvl w:val="0"/>
          <w:numId w:val="8"/>
        </w:numPr>
        <w:ind w:left="0" w:firstLine="0"/>
        <w:rPr>
          <w:szCs w:val="22"/>
        </w:rPr>
      </w:pPr>
      <w:r w:rsidRPr="002926D7">
        <w:rPr>
          <w:rFonts w:asciiTheme="minorHAnsi" w:hAnsiTheme="minorHAnsi" w:cstheme="minorBidi"/>
          <w:szCs w:val="20"/>
        </w:rPr>
        <w:t>The envisaged biodiversity outcomes of SGP OP8</w:t>
      </w:r>
      <w:r w:rsidR="00B46AF6" w:rsidRPr="002926D7">
        <w:rPr>
          <w:rFonts w:asciiTheme="minorHAnsi" w:hAnsiTheme="minorHAnsi" w:cstheme="minorBidi"/>
          <w:szCs w:val="20"/>
        </w:rPr>
        <w:t>-Part 1</w:t>
      </w:r>
      <w:r w:rsidRPr="002926D7">
        <w:rPr>
          <w:rFonts w:asciiTheme="minorHAnsi" w:hAnsiTheme="minorHAnsi" w:cstheme="minorBidi"/>
          <w:szCs w:val="20"/>
        </w:rPr>
        <w:t xml:space="preserve"> are closely aligned with the goals of the Kunming-Montreal Global Biodiversity Framework (GBF), and the program is expected to make contributions towards achievement of a wide range of GBF targets, including targets 1, 2, 3, 4, 5, 7, 8, 9, 10, 11, </w:t>
      </w:r>
      <w:r w:rsidR="004F3A2B" w:rsidRPr="002926D7">
        <w:rPr>
          <w:rFonts w:asciiTheme="minorHAnsi" w:hAnsiTheme="minorHAnsi" w:cstheme="minorBidi"/>
          <w:szCs w:val="20"/>
        </w:rPr>
        <w:t xml:space="preserve">12, </w:t>
      </w:r>
      <w:r w:rsidRPr="002926D7">
        <w:rPr>
          <w:rFonts w:asciiTheme="minorHAnsi" w:hAnsiTheme="minorHAnsi" w:cstheme="minorBidi"/>
          <w:szCs w:val="20"/>
        </w:rPr>
        <w:t>14,</w:t>
      </w:r>
      <w:r w:rsidR="004F3A2B" w:rsidRPr="002926D7">
        <w:rPr>
          <w:rFonts w:asciiTheme="minorHAnsi" w:hAnsiTheme="minorHAnsi" w:cstheme="minorBidi"/>
          <w:szCs w:val="20"/>
        </w:rPr>
        <w:t xml:space="preserve"> 16,</w:t>
      </w:r>
      <w:r w:rsidRPr="002926D7">
        <w:rPr>
          <w:rFonts w:asciiTheme="minorHAnsi" w:hAnsiTheme="minorHAnsi" w:cstheme="minorBidi"/>
          <w:szCs w:val="20"/>
        </w:rPr>
        <w:t xml:space="preserve"> 19, 20, 21, 22, and 23.</w:t>
      </w:r>
    </w:p>
    <w:p w14:paraId="20D84978" w14:textId="77777777" w:rsidR="00A736A9" w:rsidRPr="002926D7" w:rsidRDefault="00A736A9" w:rsidP="002926D7">
      <w:pPr>
        <w:pStyle w:val="ListParagraph"/>
        <w:rPr>
          <w:rFonts w:asciiTheme="minorHAnsi" w:hAnsiTheme="minorHAnsi" w:cstheme="minorBidi"/>
          <w:szCs w:val="20"/>
        </w:rPr>
      </w:pPr>
    </w:p>
    <w:p w14:paraId="3432675F" w14:textId="25E84E58" w:rsidR="00A736A9" w:rsidRPr="002926D7" w:rsidRDefault="00844F5B" w:rsidP="002926D7">
      <w:pPr>
        <w:numPr>
          <w:ilvl w:val="0"/>
          <w:numId w:val="8"/>
        </w:numPr>
        <w:ind w:left="0" w:firstLine="0"/>
        <w:rPr>
          <w:szCs w:val="22"/>
        </w:rPr>
      </w:pPr>
      <w:r w:rsidRPr="002926D7">
        <w:rPr>
          <w:rFonts w:asciiTheme="minorHAnsi" w:hAnsiTheme="minorHAnsi" w:cstheme="minorBidi"/>
          <w:szCs w:val="20"/>
        </w:rPr>
        <w:t>SGP OP8-Part 1</w:t>
      </w:r>
      <w:r w:rsidR="00A736A9" w:rsidRPr="002926D7">
        <w:rPr>
          <w:rFonts w:asciiTheme="minorHAnsi" w:hAnsiTheme="minorHAnsi" w:cstheme="minorBidi"/>
          <w:szCs w:val="20"/>
        </w:rPr>
        <w:t xml:space="preserve"> will build on the</w:t>
      </w:r>
      <w:r w:rsidR="004F7E19" w:rsidRPr="002926D7">
        <w:rPr>
          <w:rFonts w:asciiTheme="minorHAnsi" w:hAnsiTheme="minorHAnsi" w:cstheme="minorBidi"/>
          <w:szCs w:val="20"/>
        </w:rPr>
        <w:t xml:space="preserve"> </w:t>
      </w:r>
      <w:r w:rsidR="004F7E19" w:rsidRPr="002926D7">
        <w:rPr>
          <w:rFonts w:asciiTheme="minorHAnsi" w:hAnsiTheme="minorHAnsi" w:cstheme="minorBidi"/>
          <w:b/>
          <w:bCs/>
          <w:szCs w:val="20"/>
        </w:rPr>
        <w:t>UNDP Local Action service offer</w:t>
      </w:r>
      <w:r w:rsidR="00A736A9" w:rsidRPr="002926D7">
        <w:rPr>
          <w:rFonts w:asciiTheme="minorHAnsi" w:hAnsiTheme="minorHAnsi" w:cstheme="minorBidi"/>
          <w:szCs w:val="20"/>
        </w:rPr>
        <w:t>, which aims at significantly expanding the size and scope of community level empowerment by bringing in new partners and innovative sources of financing to meet the increasing demand for localizing sustainable development support. Such an offer addresses national and global socio-political environments and contexts and focuses its support to local actors around three essential solutions: a) empowerment - strengthening the agency of Indigenous Peoples, local communities, and civil society organizations through collective, empowering action for advocacy, resource management and inclusive governance; b) resilience - supporting networks of local actors and their organizations to build the socio-ecological resilience of their urban and rural landscapes-seascapes through technical assistance and grant funding; c) investment - transforming financial flows to Indigenous Peoples and local communities to accelerate and sustain local collective action to achieve sustainable development goals.</w:t>
      </w:r>
      <w:bookmarkEnd w:id="45"/>
    </w:p>
    <w:p w14:paraId="47375B84" w14:textId="0A259FA3" w:rsidR="008B39FC" w:rsidRPr="002926D7" w:rsidRDefault="008B39FC" w:rsidP="002926D7"/>
    <w:p w14:paraId="094B8A5A" w14:textId="46D0A620" w:rsidR="001415CA" w:rsidRPr="002926D7" w:rsidRDefault="001415CA" w:rsidP="002926D7">
      <w:pPr>
        <w:rPr>
          <w:b/>
          <w:bCs/>
          <w:u w:val="single"/>
        </w:rPr>
      </w:pPr>
      <w:bookmarkStart w:id="48" w:name="_Hlk153976764"/>
      <w:bookmarkEnd w:id="46"/>
      <w:bookmarkEnd w:id="47"/>
      <w:r w:rsidRPr="002926D7">
        <w:rPr>
          <w:b/>
          <w:bCs/>
          <w:u w:val="single"/>
        </w:rPr>
        <w:t>Incremental/</w:t>
      </w:r>
      <w:r w:rsidR="005039BD" w:rsidRPr="002926D7">
        <w:rPr>
          <w:b/>
          <w:bCs/>
          <w:u w:val="single"/>
        </w:rPr>
        <w:t>a</w:t>
      </w:r>
      <w:r w:rsidRPr="002926D7">
        <w:rPr>
          <w:b/>
          <w:bCs/>
          <w:u w:val="single"/>
        </w:rPr>
        <w:t xml:space="preserve">dditional </w:t>
      </w:r>
      <w:r w:rsidR="005039BD" w:rsidRPr="002926D7">
        <w:rPr>
          <w:b/>
          <w:bCs/>
          <w:u w:val="single"/>
        </w:rPr>
        <w:t>c</w:t>
      </w:r>
      <w:r w:rsidRPr="002926D7">
        <w:rPr>
          <w:b/>
          <w:bCs/>
          <w:u w:val="single"/>
        </w:rPr>
        <w:t xml:space="preserve">ost </w:t>
      </w:r>
      <w:r w:rsidR="005039BD" w:rsidRPr="002926D7">
        <w:rPr>
          <w:b/>
          <w:bCs/>
          <w:u w:val="single"/>
        </w:rPr>
        <w:t>r</w:t>
      </w:r>
      <w:r w:rsidRPr="002926D7">
        <w:rPr>
          <w:b/>
          <w:bCs/>
          <w:u w:val="single"/>
        </w:rPr>
        <w:t>easoning</w:t>
      </w:r>
    </w:p>
    <w:p w14:paraId="454BC902" w14:textId="77777777" w:rsidR="001415CA" w:rsidRPr="002926D7" w:rsidRDefault="001415CA" w:rsidP="002926D7">
      <w:pPr>
        <w:rPr>
          <w:sz w:val="18"/>
          <w:szCs w:val="22"/>
        </w:rPr>
      </w:pPr>
    </w:p>
    <w:p w14:paraId="354CCE6F" w14:textId="1DD12A14" w:rsidR="001271F1" w:rsidRPr="002926D7" w:rsidRDefault="00E444CC" w:rsidP="002926D7">
      <w:pPr>
        <w:numPr>
          <w:ilvl w:val="0"/>
          <w:numId w:val="8"/>
        </w:numPr>
        <w:ind w:left="0" w:firstLine="0"/>
        <w:rPr>
          <w:sz w:val="18"/>
          <w:szCs w:val="22"/>
        </w:rPr>
      </w:pPr>
      <w:bookmarkStart w:id="49" w:name="_Hlk122101061"/>
      <w:bookmarkStart w:id="50" w:name="_Hlk89350302"/>
      <w:r w:rsidRPr="002926D7">
        <w:rPr>
          <w:szCs w:val="20"/>
        </w:rPr>
        <w:t>The SGP provides support to communities and CSOs/CBOs in their work to contribute to both local and global environmental benefits. One of the unique features of the SGP is that the interventions are driven by local communities themselves, thereby engendering a strong sense of ownership. The landscape-seascape strategy incorporated in the OP8 design harnesses these bottom-up approaches and facilitates collective action among local CSOs/CBOs. Without GEF support through SGP grant-making, building on the strong results on environmental protection, rehabilitation and overall sustainable development delivered so far, replication and scaling of innovations that have been nurtured by the SGP would likely not be realized at the envisaged landscape-seascape scale. The baseline scenario described shows that much more needs to be done as expanding populations of poor and vulnerable communities try to increase their agricultural productivity, access energy, and use fisheries, often-times through unsustainable means, further jeopardizing their livelihoods and the ecosystems these depend on. While many developing country governments have started to put more resources to local development and to CSOs/CBOs as partners, the demand for socioeconomic development and associated pressure on natural resources, coupled with capacity constraints and limited awareness continuous to pose challenges for achieving sustainability objectives.</w:t>
      </w:r>
      <w:r w:rsidRPr="002926D7">
        <w:rPr>
          <w:sz w:val="18"/>
          <w:szCs w:val="22"/>
        </w:rPr>
        <w:t xml:space="preserve"> </w:t>
      </w:r>
      <w:r w:rsidRPr="002926D7">
        <w:rPr>
          <w:szCs w:val="20"/>
        </w:rPr>
        <w:t>Moreover, for many disadvantaged groups including Indigenous Peoples, the SGP remains one of the only sources of concrete support</w:t>
      </w:r>
      <w:r w:rsidR="00CB4DA9" w:rsidRPr="002926D7">
        <w:rPr>
          <w:szCs w:val="20"/>
        </w:rPr>
        <w:t>.</w:t>
      </w:r>
    </w:p>
    <w:p w14:paraId="619AA54C" w14:textId="77777777" w:rsidR="00DF0CD4" w:rsidRPr="002926D7" w:rsidRDefault="00DF0CD4" w:rsidP="002926D7">
      <w:pPr>
        <w:rPr>
          <w:sz w:val="18"/>
          <w:szCs w:val="22"/>
        </w:rPr>
      </w:pPr>
    </w:p>
    <w:p w14:paraId="70E0BF0B" w14:textId="77F3214F" w:rsidR="00DF0CD4" w:rsidRPr="002926D7" w:rsidRDefault="00DF0CD4" w:rsidP="002926D7">
      <w:pPr>
        <w:numPr>
          <w:ilvl w:val="0"/>
          <w:numId w:val="8"/>
        </w:numPr>
        <w:ind w:left="0" w:firstLine="0"/>
        <w:rPr>
          <w:szCs w:val="22"/>
        </w:rPr>
      </w:pPr>
      <w:bookmarkStart w:id="51" w:name="_Hlk161073716"/>
      <w:r w:rsidRPr="002926D7">
        <w:rPr>
          <w:rStyle w:val="xnormaltextrun"/>
          <w:szCs w:val="20"/>
          <w:shd w:val="clear" w:color="auto" w:fill="FFFFFF"/>
        </w:rPr>
        <w:t xml:space="preserve">SGP OP8-Part 1 will align with the UN Legal Identity Agenda initiative by promoting the legal identity among the indigenous groups as well as other relevant vulnerable communities. Throughout the past SGP program, there were various cases where indigenous community members could not register their organization nor open the bank </w:t>
      </w:r>
      <w:r w:rsidRPr="002926D7">
        <w:rPr>
          <w:rStyle w:val="xnormaltextrun"/>
          <w:szCs w:val="20"/>
          <w:shd w:val="clear" w:color="auto" w:fill="FFFFFF"/>
        </w:rPr>
        <w:lastRenderedPageBreak/>
        <w:t>account to receive funding due to the lack of legal identity credentials. This not only constraints their programming activities and derails the progress of the program, it leaves those people vulnerable as they are not able to access any public services nor private services. SGP OP8-Part 1 shall address the legal identity of indigenous people and the legal recognition of their community organizations as a part of its activities both in global and country levels</w:t>
      </w:r>
      <w:bookmarkEnd w:id="51"/>
      <w:r w:rsidRPr="002926D7">
        <w:rPr>
          <w:rStyle w:val="xnormaltextrun"/>
          <w:szCs w:val="20"/>
          <w:shd w:val="clear" w:color="auto" w:fill="FFFFFF"/>
        </w:rPr>
        <w:t>.</w:t>
      </w:r>
    </w:p>
    <w:p w14:paraId="12F6F98E" w14:textId="77777777" w:rsidR="001271F1" w:rsidRPr="002926D7" w:rsidRDefault="001271F1" w:rsidP="002926D7">
      <w:pPr>
        <w:rPr>
          <w:sz w:val="18"/>
          <w:szCs w:val="22"/>
        </w:rPr>
      </w:pPr>
    </w:p>
    <w:p w14:paraId="64CE8856" w14:textId="0A35C73D" w:rsidR="00A25F04" w:rsidRPr="002926D7" w:rsidRDefault="001271F1" w:rsidP="002926D7">
      <w:pPr>
        <w:numPr>
          <w:ilvl w:val="0"/>
          <w:numId w:val="8"/>
        </w:numPr>
        <w:ind w:left="0" w:firstLine="0"/>
        <w:rPr>
          <w:sz w:val="18"/>
          <w:szCs w:val="22"/>
        </w:rPr>
      </w:pPr>
      <w:r w:rsidRPr="002926D7">
        <w:rPr>
          <w:szCs w:val="20"/>
        </w:rPr>
        <w:t>The strong emphasis of the SGP on building partnerships with local and national governments, civil society, the private sector, and the donor community is an important additionality of the GEF funding. Without the multiple stakeholder collaborative action focus of the SGP at the national and landscape-seascape levels, local CSOs/CBOs would have limited opportunities to meaningfully engage in such ecosystem-based approaches.  Under SGP OP8-Part 1, the program</w:t>
      </w:r>
      <w:r w:rsidR="00CB4DA9" w:rsidRPr="002926D7">
        <w:rPr>
          <w:szCs w:val="20"/>
        </w:rPr>
        <w:t xml:space="preserve"> will actively seek </w:t>
      </w:r>
      <w:r w:rsidRPr="002926D7">
        <w:rPr>
          <w:szCs w:val="20"/>
        </w:rPr>
        <w:t xml:space="preserve">to further strength </w:t>
      </w:r>
      <w:r w:rsidR="00CB4DA9" w:rsidRPr="002926D7">
        <w:rPr>
          <w:szCs w:val="20"/>
        </w:rPr>
        <w:t xml:space="preserve">coordination and synergy with relevant partners, </w:t>
      </w:r>
      <w:r w:rsidR="00263650" w:rsidRPr="002926D7">
        <w:rPr>
          <w:szCs w:val="20"/>
        </w:rPr>
        <w:t>including complementary GEF projects and integrated programs</w:t>
      </w:r>
      <w:r w:rsidR="00CB4DA9" w:rsidRPr="002926D7">
        <w:rPr>
          <w:szCs w:val="20"/>
        </w:rPr>
        <w:t xml:space="preserve">. </w:t>
      </w:r>
      <w:r w:rsidR="00263650" w:rsidRPr="002926D7">
        <w:rPr>
          <w:szCs w:val="20"/>
        </w:rPr>
        <w:t>The SGP will work towards developing replicable coordination mechanisms to support delivery of community interventions for these projects and programs, as well as for other initiatives</w:t>
      </w:r>
      <w:r w:rsidR="00017B82" w:rsidRPr="002926D7">
        <w:rPr>
          <w:szCs w:val="20"/>
        </w:rPr>
        <w:t>.</w:t>
      </w:r>
      <w:r w:rsidR="00A25F04" w:rsidRPr="002926D7">
        <w:rPr>
          <w:rFonts w:asciiTheme="minorHAnsi" w:hAnsiTheme="minorHAnsi" w:cstheme="minorHAnsi"/>
        </w:rPr>
        <w:t xml:space="preserve"> </w:t>
      </w:r>
      <w:bookmarkStart w:id="52" w:name="_Hlk160630850"/>
      <w:r w:rsidR="00A25F04" w:rsidRPr="002926D7">
        <w:rPr>
          <w:rFonts w:asciiTheme="minorHAnsi" w:hAnsiTheme="minorHAnsi" w:cstheme="minorHAnsi"/>
        </w:rPr>
        <w:t xml:space="preserve">“Replicable coordination mechanisms" refer to strategies, processes, or frameworks that have proven successful in coordinating and aligning various initiatives, projects, and programs at the national level. These mechanisms can be replicated to facilitate coordination with GEF and non-GEF ongoing/previous investments. From SGP’s experience, scaling up, replication, and mainstreaming of project benefits can be achieved through the following mechanisms: </w:t>
      </w:r>
      <w:r w:rsidR="00A25F04" w:rsidRPr="002926D7">
        <w:rPr>
          <w:rFonts w:asciiTheme="minorHAnsi" w:hAnsiTheme="minorHAnsi" w:cstheme="minorHAnsi"/>
          <w:szCs w:val="20"/>
        </w:rPr>
        <w:t>Development and implementation of projects with geographic focus with coordination and linkages; Development of joint projects with partners at local, national, regional and global levels; Promotion of synergies, linkages and partnerships; Advocating to influence or change government policy; and Transforming community thinking, attitudes and behaviors through knowledge sharing, learning, and networking</w:t>
      </w:r>
      <w:bookmarkEnd w:id="52"/>
      <w:r w:rsidR="00A25F04" w:rsidRPr="002926D7">
        <w:rPr>
          <w:rFonts w:asciiTheme="minorHAnsi" w:hAnsiTheme="minorHAnsi" w:cstheme="minorHAnsi"/>
          <w:szCs w:val="20"/>
        </w:rPr>
        <w:t>.</w:t>
      </w:r>
      <w:r w:rsidR="005258FB" w:rsidRPr="002926D7">
        <w:t xml:space="preserve"> In many cases, scaling up of community efforts took planning, nurturing, mobilization of alliances and partnerships, as well as systematic follow-up. There are some broad themes that recur in multiple country cases, including the following: Community work needs to be “nurtured” in order to achieve sustainable results; achieving and sustaining results requires time; barrier removal and creation of an enabling environment are essential for scaling up; partnerships increase the impact of the project and are key to scaling up; creative and adaptive replication may be an effective way of extending the reach of community efforts related to environmental management and sustainable development.</w:t>
      </w:r>
    </w:p>
    <w:p w14:paraId="32FEC666" w14:textId="77777777" w:rsidR="00263650" w:rsidRPr="002926D7" w:rsidRDefault="00263650" w:rsidP="002926D7">
      <w:pPr>
        <w:pStyle w:val="ListParagraph"/>
        <w:rPr>
          <w:szCs w:val="20"/>
        </w:rPr>
      </w:pPr>
    </w:p>
    <w:p w14:paraId="0B92BE90" w14:textId="1F84DE23" w:rsidR="00CB4DA9" w:rsidRPr="002926D7" w:rsidRDefault="00CB4DA9" w:rsidP="002926D7">
      <w:pPr>
        <w:numPr>
          <w:ilvl w:val="0"/>
          <w:numId w:val="8"/>
        </w:numPr>
        <w:ind w:left="0" w:firstLine="0"/>
        <w:rPr>
          <w:sz w:val="18"/>
          <w:szCs w:val="22"/>
        </w:rPr>
      </w:pPr>
      <w:r w:rsidRPr="002926D7">
        <w:rPr>
          <w:szCs w:val="20"/>
        </w:rPr>
        <w:t xml:space="preserve">The SGP </w:t>
      </w:r>
      <w:r w:rsidR="00844D8C" w:rsidRPr="002926D7">
        <w:rPr>
          <w:szCs w:val="20"/>
        </w:rPr>
        <w:t>will further act</w:t>
      </w:r>
      <w:r w:rsidRPr="002926D7">
        <w:rPr>
          <w:szCs w:val="20"/>
        </w:rPr>
        <w:t xml:space="preserve"> as an incubator</w:t>
      </w:r>
      <w:r w:rsidR="00844D8C" w:rsidRPr="002926D7">
        <w:rPr>
          <w:szCs w:val="20"/>
        </w:rPr>
        <w:t>,</w:t>
      </w:r>
      <w:r w:rsidRPr="002926D7">
        <w:rPr>
          <w:szCs w:val="20"/>
        </w:rPr>
        <w:t xml:space="preserve"> helping to connect successful and promising initiatives with other channels for continued support while advocating for enabling environment and supportive policies. </w:t>
      </w:r>
      <w:r w:rsidR="00844D8C" w:rsidRPr="002926D7">
        <w:rPr>
          <w:szCs w:val="20"/>
        </w:rPr>
        <w:t>There are limited other such platforms as the SGP in bridging meaningful interaction among civil society, government agencies, the private sector and other partners.</w:t>
      </w:r>
    </w:p>
    <w:bookmarkEnd w:id="49"/>
    <w:p w14:paraId="2582E694" w14:textId="77777777" w:rsidR="001415CA" w:rsidRPr="002926D7" w:rsidRDefault="001415CA" w:rsidP="002926D7">
      <w:pPr>
        <w:rPr>
          <w:rFonts w:asciiTheme="minorHAnsi" w:hAnsiTheme="minorHAnsi" w:cstheme="minorHAnsi"/>
          <w:szCs w:val="20"/>
        </w:rPr>
      </w:pPr>
    </w:p>
    <w:bookmarkEnd w:id="50"/>
    <w:p w14:paraId="48CFAAFC" w14:textId="63F2DDC0" w:rsidR="005039BD" w:rsidRPr="002926D7" w:rsidRDefault="005039BD" w:rsidP="002926D7">
      <w:pPr>
        <w:rPr>
          <w:b/>
          <w:bCs/>
        </w:rPr>
      </w:pPr>
      <w:r w:rsidRPr="002926D7">
        <w:rPr>
          <w:b/>
          <w:bCs/>
          <w:u w:val="single"/>
        </w:rPr>
        <w:t>Global environmental benefits</w:t>
      </w:r>
    </w:p>
    <w:p w14:paraId="61DF647B" w14:textId="77777777" w:rsidR="005039BD" w:rsidRPr="002926D7" w:rsidRDefault="005039BD" w:rsidP="002926D7"/>
    <w:p w14:paraId="7F8156D0" w14:textId="4AC3D56C" w:rsidR="00DA7F70" w:rsidRPr="002926D7" w:rsidRDefault="00DA7F70" w:rsidP="002926D7">
      <w:pPr>
        <w:numPr>
          <w:ilvl w:val="0"/>
          <w:numId w:val="8"/>
        </w:numPr>
        <w:ind w:left="0" w:firstLine="0"/>
        <w:rPr>
          <w:rFonts w:eastAsia="FangSong" w:cs="Calibri"/>
          <w:szCs w:val="20"/>
          <w:lang w:eastAsia="zh-CN"/>
        </w:rPr>
      </w:pPr>
      <w:bookmarkStart w:id="53" w:name="_Hlk131934908"/>
      <w:bookmarkStart w:id="54" w:name="_Hlk122101093"/>
      <w:bookmarkStart w:id="55" w:name="_Hlk101781161"/>
      <w:bookmarkStart w:id="56" w:name="_Hlk89350374"/>
      <w:r w:rsidRPr="002926D7">
        <w:rPr>
          <w:szCs w:val="20"/>
        </w:rPr>
        <w:t>In line with SGP’s overall objective to secure global environmental benefits (GEBs) through community-based initiatives and actions, SGP OP8-Part 1 plans to deliver the following GEBs:</w:t>
      </w:r>
    </w:p>
    <w:p w14:paraId="41D8185B" w14:textId="55FBD027" w:rsidR="00DA7F70" w:rsidRPr="002926D7" w:rsidRDefault="00DA7F70" w:rsidP="002926D7">
      <w:pPr>
        <w:pStyle w:val="ListParagraph"/>
        <w:numPr>
          <w:ilvl w:val="0"/>
          <w:numId w:val="31"/>
        </w:numPr>
        <w:spacing w:before="60"/>
        <w:rPr>
          <w:rFonts w:cs="Segoe UI"/>
          <w:color w:val="000000"/>
          <w:szCs w:val="20"/>
        </w:rPr>
      </w:pPr>
      <w:r w:rsidRPr="002926D7">
        <w:rPr>
          <w:rFonts w:cs="Segoe UI"/>
          <w:color w:val="000000"/>
          <w:szCs w:val="20"/>
        </w:rPr>
        <w:t>On biodiversity, the grant-making approach will target to improve management effectiveness of 90,000 ha of marine protected areas, landscapes under improved practices across 3,800,000 ha, and 270,000 of marine habitat under improved practices.</w:t>
      </w:r>
    </w:p>
    <w:p w14:paraId="577B63D1" w14:textId="6BD704BA" w:rsidR="00DA7F70" w:rsidRPr="002926D7" w:rsidRDefault="00DA7F70" w:rsidP="002926D7">
      <w:pPr>
        <w:pStyle w:val="ListParagraph"/>
        <w:numPr>
          <w:ilvl w:val="0"/>
          <w:numId w:val="31"/>
        </w:numPr>
        <w:spacing w:before="60"/>
        <w:rPr>
          <w:rFonts w:cs="Segoe UI"/>
          <w:color w:val="000000"/>
          <w:szCs w:val="20"/>
        </w:rPr>
      </w:pPr>
      <w:r w:rsidRPr="002926D7">
        <w:rPr>
          <w:rFonts w:cs="Segoe UI"/>
          <w:color w:val="000000"/>
          <w:szCs w:val="20"/>
        </w:rPr>
        <w:t xml:space="preserve">On land degradation, an estimated 225,000 ha of land (forest, agricultural and other production sector lands) will be brought under restoration. </w:t>
      </w:r>
    </w:p>
    <w:p w14:paraId="1A2B2C0F" w14:textId="7124DAD7" w:rsidR="00DA7F70" w:rsidRPr="002926D7" w:rsidRDefault="00F91460" w:rsidP="002926D7">
      <w:pPr>
        <w:pStyle w:val="ListParagraph"/>
        <w:numPr>
          <w:ilvl w:val="0"/>
          <w:numId w:val="31"/>
        </w:numPr>
        <w:spacing w:before="60"/>
        <w:rPr>
          <w:rFonts w:cs="Segoe UI"/>
          <w:color w:val="000000"/>
          <w:szCs w:val="20"/>
        </w:rPr>
      </w:pPr>
      <w:r w:rsidRPr="002926D7">
        <w:rPr>
          <w:rFonts w:cs="Segoe UI"/>
          <w:color w:val="000000" w:themeColor="text1"/>
        </w:rPr>
        <w:t xml:space="preserve">On climate change mitigation, the SGP grants will contribute to reduced greenhouse gas emissions in the agriculture, forestry and other land use (AFOLU) sector through improved ecosystem management and conservation of natural resources and restoration of degraded agricultural and forest areas. The programme will advocate for inclusion of low carbon technologies </w:t>
      </w:r>
      <w:r w:rsidR="004A5257" w:rsidRPr="002926D7">
        <w:rPr>
          <w:rFonts w:cs="Segoe UI"/>
          <w:color w:val="000000" w:themeColor="text1"/>
        </w:rPr>
        <w:t xml:space="preserve">and promotion of </w:t>
      </w:r>
      <w:r w:rsidRPr="002926D7">
        <w:rPr>
          <w:rFonts w:cs="Segoe UI"/>
          <w:color w:val="000000" w:themeColor="text1"/>
        </w:rPr>
        <w:t xml:space="preserve"> integrated urban energy solutions</w:t>
      </w:r>
      <w:r w:rsidR="00DA7F70" w:rsidRPr="002926D7">
        <w:rPr>
          <w:rFonts w:cs="Segoe UI"/>
          <w:color w:val="000000"/>
          <w:szCs w:val="20"/>
        </w:rPr>
        <w:t xml:space="preserve">. </w:t>
      </w:r>
    </w:p>
    <w:p w14:paraId="68F4145C" w14:textId="0DEC3EF4" w:rsidR="00DA7F70" w:rsidRPr="002926D7" w:rsidRDefault="009E09C6" w:rsidP="002926D7">
      <w:pPr>
        <w:pStyle w:val="ListParagraph"/>
        <w:numPr>
          <w:ilvl w:val="0"/>
          <w:numId w:val="31"/>
        </w:numPr>
        <w:spacing w:before="60"/>
        <w:rPr>
          <w:rFonts w:cs="Segoe UI"/>
          <w:color w:val="000000"/>
          <w:szCs w:val="20"/>
        </w:rPr>
      </w:pPr>
      <w:r w:rsidRPr="002926D7">
        <w:rPr>
          <w:rFonts w:cs="Segoe UI"/>
          <w:color w:val="000000"/>
          <w:szCs w:val="20"/>
        </w:rPr>
        <w:t>Interventions focused on curbing</w:t>
      </w:r>
      <w:r w:rsidR="00DA7F70" w:rsidRPr="002926D7">
        <w:rPr>
          <w:rFonts w:cs="Segoe UI"/>
          <w:color w:val="000000"/>
          <w:szCs w:val="20"/>
        </w:rPr>
        <w:t xml:space="preserve"> land-based pollution, including solid waste, sewerage, waste water, and agricultural waste</w:t>
      </w:r>
      <w:r w:rsidRPr="002926D7">
        <w:rPr>
          <w:rFonts w:cs="Segoe UI"/>
          <w:color w:val="000000"/>
          <w:szCs w:val="20"/>
        </w:rPr>
        <w:t>, will be promoted</w:t>
      </w:r>
      <w:r w:rsidR="00AA3370" w:rsidRPr="002926D7">
        <w:rPr>
          <w:rFonts w:cs="Segoe UI"/>
          <w:color w:val="000000"/>
          <w:szCs w:val="20"/>
        </w:rPr>
        <w:t>.</w:t>
      </w:r>
    </w:p>
    <w:p w14:paraId="77F73DAF" w14:textId="55705A25" w:rsidR="00DA7F70" w:rsidRPr="002926D7" w:rsidRDefault="004A5257" w:rsidP="002926D7">
      <w:pPr>
        <w:pStyle w:val="ListParagraph"/>
        <w:numPr>
          <w:ilvl w:val="0"/>
          <w:numId w:val="31"/>
        </w:numPr>
        <w:spacing w:before="60"/>
        <w:rPr>
          <w:rFonts w:cs="Segoe UI"/>
          <w:color w:val="000000"/>
          <w:szCs w:val="20"/>
        </w:rPr>
      </w:pPr>
      <w:r w:rsidRPr="002926D7">
        <w:rPr>
          <w:rFonts w:cs="Segoe UI"/>
          <w:color w:val="000000"/>
          <w:szCs w:val="20"/>
        </w:rPr>
        <w:t>Twenty (20</w:t>
      </w:r>
      <w:r w:rsidR="00D40233" w:rsidRPr="002926D7">
        <w:rPr>
          <w:rFonts w:cs="Segoe UI"/>
          <w:color w:val="000000"/>
          <w:szCs w:val="20"/>
        </w:rPr>
        <w:t>) local to global coalitions for chemical and waste management will be strengthened and/or established</w:t>
      </w:r>
      <w:r w:rsidR="00DA7F70" w:rsidRPr="002926D7">
        <w:rPr>
          <w:rFonts w:cs="Segoe UI"/>
          <w:color w:val="000000"/>
          <w:szCs w:val="20"/>
        </w:rPr>
        <w:t>.</w:t>
      </w:r>
    </w:p>
    <w:bookmarkEnd w:id="53"/>
    <w:p w14:paraId="51BD29CF" w14:textId="77777777" w:rsidR="00A0715C" w:rsidRPr="002926D7" w:rsidRDefault="00A0715C" w:rsidP="002926D7"/>
    <w:bookmarkEnd w:id="44"/>
    <w:bookmarkEnd w:id="54"/>
    <w:bookmarkEnd w:id="55"/>
    <w:bookmarkEnd w:id="56"/>
    <w:p w14:paraId="5122D2EE" w14:textId="17965E54" w:rsidR="00212D20" w:rsidRPr="002926D7" w:rsidRDefault="00231A33" w:rsidP="002926D7">
      <w:pPr>
        <w:jc w:val="left"/>
        <w:rPr>
          <w:szCs w:val="20"/>
        </w:rPr>
      </w:pPr>
      <w:r w:rsidRPr="002926D7">
        <w:rPr>
          <w:b/>
          <w:bCs/>
          <w:szCs w:val="20"/>
          <w:u w:val="single"/>
        </w:rPr>
        <w:t xml:space="preserve">Socioeconomic </w:t>
      </w:r>
      <w:r w:rsidR="00422F33" w:rsidRPr="002926D7">
        <w:rPr>
          <w:b/>
          <w:bCs/>
          <w:szCs w:val="20"/>
          <w:u w:val="single"/>
        </w:rPr>
        <w:t>B</w:t>
      </w:r>
      <w:r w:rsidRPr="002926D7">
        <w:rPr>
          <w:b/>
          <w:bCs/>
          <w:szCs w:val="20"/>
          <w:u w:val="single"/>
        </w:rPr>
        <w:t>enefits</w:t>
      </w:r>
      <w:r w:rsidR="00212D20" w:rsidRPr="002926D7">
        <w:rPr>
          <w:szCs w:val="20"/>
        </w:rPr>
        <w:t>:</w:t>
      </w:r>
    </w:p>
    <w:p w14:paraId="704FDF89" w14:textId="77777777" w:rsidR="00212D20" w:rsidRPr="002926D7" w:rsidRDefault="00212D20" w:rsidP="002926D7">
      <w:pPr>
        <w:jc w:val="left"/>
        <w:rPr>
          <w:szCs w:val="20"/>
        </w:rPr>
      </w:pPr>
    </w:p>
    <w:p w14:paraId="0E9393D3" w14:textId="0DB82E44" w:rsidR="00C82ADA" w:rsidRPr="002926D7" w:rsidRDefault="00C82ADA" w:rsidP="002926D7">
      <w:pPr>
        <w:numPr>
          <w:ilvl w:val="0"/>
          <w:numId w:val="8"/>
        </w:numPr>
        <w:ind w:left="0" w:firstLine="0"/>
      </w:pPr>
      <w:bookmarkStart w:id="57" w:name="_Hlk89354678"/>
      <w:bookmarkStart w:id="58" w:name="_Hlk89354726"/>
      <w:r w:rsidRPr="002926D7">
        <w:rPr>
          <w:szCs w:val="20"/>
        </w:rPr>
        <w:t>The durability of the multiple global environmental benefits generated through the community-driven interventions will largely depend upon sustained socioeconomic benefits for local communities</w:t>
      </w:r>
      <w:r w:rsidR="003E1000" w:rsidRPr="002926D7">
        <w:rPr>
          <w:szCs w:val="20"/>
        </w:rPr>
        <w:t>, as summarized below</w:t>
      </w:r>
      <w:r w:rsidRPr="002926D7">
        <w:t>.</w:t>
      </w:r>
    </w:p>
    <w:p w14:paraId="2ACFCF82" w14:textId="77777777" w:rsidR="00B51B23" w:rsidRPr="002926D7" w:rsidRDefault="00B51B23" w:rsidP="002926D7">
      <w:pPr>
        <w:pStyle w:val="ListParagraph"/>
        <w:numPr>
          <w:ilvl w:val="0"/>
          <w:numId w:val="32"/>
        </w:numPr>
        <w:spacing w:before="60"/>
        <w:rPr>
          <w:rFonts w:cs="Segoe UI"/>
          <w:color w:val="000000"/>
          <w:szCs w:val="20"/>
        </w:rPr>
      </w:pPr>
      <w:r w:rsidRPr="002926D7">
        <w:rPr>
          <w:rFonts w:cs="Segoe UI"/>
          <w:color w:val="000000"/>
          <w:szCs w:val="20"/>
        </w:rPr>
        <w:t>An estimated 500,000 people, of whom 250,000 are women and girls, will directly benefit from the SGP OP8-Part 1 interventions through enhanced capacities and improved livelihoods.</w:t>
      </w:r>
    </w:p>
    <w:p w14:paraId="01587D48" w14:textId="77777777" w:rsidR="00B51B23" w:rsidRPr="002926D7" w:rsidRDefault="00B51B23" w:rsidP="002926D7">
      <w:pPr>
        <w:pStyle w:val="ListParagraph"/>
        <w:numPr>
          <w:ilvl w:val="0"/>
          <w:numId w:val="32"/>
        </w:numPr>
        <w:spacing w:before="60"/>
        <w:rPr>
          <w:rFonts w:cs="Segoe UI"/>
          <w:color w:val="000000"/>
          <w:szCs w:val="20"/>
        </w:rPr>
      </w:pPr>
      <w:r w:rsidRPr="002926D7">
        <w:rPr>
          <w:rFonts w:cs="Segoe UI"/>
          <w:color w:val="000000"/>
          <w:szCs w:val="20"/>
        </w:rPr>
        <w:t>Linkages and partnerships for sustainable food production practices (such as diversification and sustainable intensification) and supply chain management, including in sustainable fisheries management, will be supported in an estimated 25 countries.</w:t>
      </w:r>
    </w:p>
    <w:p w14:paraId="3ACAD879" w14:textId="77777777" w:rsidR="00B51B23" w:rsidRPr="002926D7" w:rsidRDefault="00B51B23" w:rsidP="002926D7">
      <w:pPr>
        <w:pStyle w:val="ListParagraph"/>
        <w:numPr>
          <w:ilvl w:val="0"/>
          <w:numId w:val="32"/>
        </w:numPr>
        <w:spacing w:before="60"/>
        <w:rPr>
          <w:rFonts w:cs="Segoe UI"/>
          <w:color w:val="000000"/>
          <w:szCs w:val="20"/>
        </w:rPr>
      </w:pPr>
      <w:r w:rsidRPr="002926D7">
        <w:rPr>
          <w:rFonts w:cs="Segoe UI"/>
          <w:color w:val="000000"/>
          <w:szCs w:val="20"/>
        </w:rPr>
        <w:t>An estimated 80% of the awarded grants will involve focused interventions on advancement of gender equality and women’s empowerment objectives.</w:t>
      </w:r>
    </w:p>
    <w:p w14:paraId="12DF5EF8" w14:textId="77777777" w:rsidR="00B51B23" w:rsidRPr="002926D7" w:rsidRDefault="00B51B23" w:rsidP="002926D7">
      <w:pPr>
        <w:pStyle w:val="ListParagraph"/>
        <w:numPr>
          <w:ilvl w:val="0"/>
          <w:numId w:val="32"/>
        </w:numPr>
        <w:spacing w:before="60"/>
        <w:rPr>
          <w:rFonts w:cs="Segoe UI"/>
          <w:color w:val="000000"/>
          <w:szCs w:val="20"/>
        </w:rPr>
      </w:pPr>
      <w:r w:rsidRPr="002926D7">
        <w:rPr>
          <w:rFonts w:cs="Segoe UI"/>
          <w:color w:val="000000" w:themeColor="text1"/>
        </w:rPr>
        <w:t>Models for engaging Indigenous Peoples, youth and persons with disabilities will be demonstrated in 30 countries, 50 countries and 15 countries, respectively</w:t>
      </w:r>
      <w:r w:rsidRPr="002926D7">
        <w:rPr>
          <w:rFonts w:cs="Segoe UI"/>
          <w:color w:val="000000"/>
          <w:szCs w:val="20"/>
        </w:rPr>
        <w:t>.</w:t>
      </w:r>
    </w:p>
    <w:p w14:paraId="1E4B1A33" w14:textId="77777777" w:rsidR="00B51B23" w:rsidRPr="002926D7" w:rsidRDefault="00B51B23" w:rsidP="002926D7">
      <w:pPr>
        <w:pStyle w:val="ListParagraph"/>
        <w:numPr>
          <w:ilvl w:val="0"/>
          <w:numId w:val="32"/>
        </w:numPr>
        <w:spacing w:before="60"/>
        <w:rPr>
          <w:rFonts w:cs="Segoe UI"/>
          <w:color w:val="000000"/>
          <w:szCs w:val="20"/>
        </w:rPr>
      </w:pPr>
      <w:r w:rsidRPr="002926D7">
        <w:rPr>
          <w:rFonts w:cs="Segoe UI"/>
          <w:color w:val="000000"/>
          <w:szCs w:val="20"/>
        </w:rPr>
        <w:t>High level policy changes attributed to increased community representation through facilitation of 180 dialogues will be formed or strengthened among CSO-government-private sector partners.</w:t>
      </w:r>
    </w:p>
    <w:p w14:paraId="4238E2A8" w14:textId="77777777" w:rsidR="00B51B23" w:rsidRPr="002926D7" w:rsidRDefault="00B51B23" w:rsidP="002926D7">
      <w:pPr>
        <w:pStyle w:val="ListParagraph"/>
        <w:numPr>
          <w:ilvl w:val="0"/>
          <w:numId w:val="32"/>
        </w:numPr>
        <w:spacing w:before="60"/>
        <w:rPr>
          <w:rFonts w:cs="Segoe UI"/>
          <w:color w:val="000000"/>
          <w:szCs w:val="20"/>
        </w:rPr>
      </w:pPr>
      <w:r w:rsidRPr="002926D7">
        <w:rPr>
          <w:rFonts w:cs="Segoe UI"/>
          <w:color w:val="000000"/>
          <w:szCs w:val="20"/>
        </w:rPr>
        <w:t>An estimated 10 urban community-based solutions will be deployed, focusing on transport, biodiversity conservation, chemical and waste management, energy efficiency, watershed protection, etc.</w:t>
      </w:r>
    </w:p>
    <w:p w14:paraId="3F14881A" w14:textId="5E68811B" w:rsidR="00B51B23" w:rsidRPr="002926D7" w:rsidRDefault="00B51B23" w:rsidP="002926D7">
      <w:pPr>
        <w:pStyle w:val="ListParagraph"/>
        <w:numPr>
          <w:ilvl w:val="0"/>
          <w:numId w:val="32"/>
        </w:numPr>
        <w:spacing w:before="60"/>
        <w:rPr>
          <w:sz w:val="18"/>
          <w:szCs w:val="22"/>
        </w:rPr>
      </w:pPr>
      <w:r w:rsidRPr="002926D7">
        <w:rPr>
          <w:rFonts w:cs="Segoe UI"/>
          <w:color w:val="000000"/>
          <w:szCs w:val="20"/>
        </w:rPr>
        <w:t>An estimated 25 countries will undertake South-South exchanges such that cross-fertilization and learnings between communities, CSOs and other partners are promoted, and an estimated 40 South-South exchanges will take place at the global and/or regional levels to facilitate knowledge transfer and replication of approaches</w:t>
      </w:r>
      <w:r w:rsidR="0080660F" w:rsidRPr="002926D7">
        <w:rPr>
          <w:rFonts w:cs="Segoe UI"/>
          <w:color w:val="000000"/>
          <w:szCs w:val="20"/>
        </w:rPr>
        <w:t>.</w:t>
      </w:r>
    </w:p>
    <w:p w14:paraId="037D2CFE" w14:textId="20F1E7E3" w:rsidR="00B51B23" w:rsidRPr="002926D7" w:rsidRDefault="00B51B23" w:rsidP="002926D7">
      <w:pPr>
        <w:spacing w:before="60"/>
        <w:ind w:left="360"/>
        <w:rPr>
          <w:sz w:val="18"/>
          <w:szCs w:val="22"/>
        </w:rPr>
      </w:pPr>
    </w:p>
    <w:p w14:paraId="554FF63D" w14:textId="4CA6CF57" w:rsidR="00F00E11" w:rsidRPr="002926D7" w:rsidRDefault="0032007D" w:rsidP="002926D7">
      <w:pPr>
        <w:pStyle w:val="Heading1"/>
        <w:spacing w:before="0" w:after="0"/>
        <w:rPr>
          <w:rFonts w:ascii="Calibri" w:hAnsi="Calibri"/>
          <w:szCs w:val="28"/>
        </w:rPr>
      </w:pPr>
      <w:bookmarkStart w:id="59" w:name="_Toc151386979"/>
      <w:bookmarkEnd w:id="48"/>
      <w:bookmarkEnd w:id="57"/>
      <w:bookmarkEnd w:id="58"/>
      <w:r w:rsidRPr="002926D7">
        <w:rPr>
          <w:rFonts w:ascii="Calibri" w:hAnsi="Calibri"/>
          <w:szCs w:val="28"/>
        </w:rPr>
        <w:t>Results ad P</w:t>
      </w:r>
      <w:r w:rsidR="00DA3833" w:rsidRPr="002926D7">
        <w:rPr>
          <w:rFonts w:ascii="Calibri" w:hAnsi="Calibri"/>
          <w:szCs w:val="28"/>
        </w:rPr>
        <w:t>artnerships</w:t>
      </w:r>
      <w:bookmarkEnd w:id="59"/>
      <w:r w:rsidR="0094042F" w:rsidRPr="002926D7">
        <w:rPr>
          <w:rFonts w:ascii="Calibri" w:hAnsi="Calibri"/>
          <w:szCs w:val="28"/>
        </w:rPr>
        <w:t xml:space="preserve"> </w:t>
      </w:r>
    </w:p>
    <w:p w14:paraId="2C22A642" w14:textId="77777777" w:rsidR="00597334" w:rsidRPr="002926D7" w:rsidRDefault="00597334" w:rsidP="002926D7">
      <w:pPr>
        <w:jc w:val="left"/>
        <w:rPr>
          <w:szCs w:val="20"/>
          <w:u w:val="single"/>
        </w:rPr>
      </w:pPr>
    </w:p>
    <w:p w14:paraId="5CE90853" w14:textId="65A68A50" w:rsidR="0012128B" w:rsidRPr="002926D7" w:rsidRDefault="00C644BD" w:rsidP="002926D7">
      <w:pPr>
        <w:jc w:val="left"/>
        <w:rPr>
          <w:iCs/>
          <w:szCs w:val="20"/>
        </w:rPr>
      </w:pPr>
      <w:bookmarkStart w:id="60" w:name="_Hlk131936719"/>
      <w:r w:rsidRPr="002926D7">
        <w:rPr>
          <w:b/>
          <w:bCs/>
          <w:szCs w:val="20"/>
          <w:u w:val="single"/>
        </w:rPr>
        <w:t>Expected Results</w:t>
      </w:r>
      <w:r w:rsidRPr="002926D7">
        <w:rPr>
          <w:i/>
          <w:szCs w:val="20"/>
        </w:rPr>
        <w:t>:</w:t>
      </w:r>
    </w:p>
    <w:p w14:paraId="423EEFE7" w14:textId="2E041611" w:rsidR="00D34A3D" w:rsidRPr="002926D7" w:rsidRDefault="00D34A3D" w:rsidP="002926D7">
      <w:bookmarkStart w:id="61" w:name="_Hlk153977936"/>
    </w:p>
    <w:p w14:paraId="4443B8D4" w14:textId="3D328CF7" w:rsidR="005A1010" w:rsidRPr="002926D7" w:rsidRDefault="005A1010" w:rsidP="002926D7">
      <w:pPr>
        <w:numPr>
          <w:ilvl w:val="0"/>
          <w:numId w:val="8"/>
        </w:numPr>
        <w:ind w:left="0" w:firstLine="0"/>
        <w:rPr>
          <w:rFonts w:eastAsia="FangSong" w:cs="Calibri"/>
          <w:lang w:eastAsia="zh-CN"/>
        </w:rPr>
      </w:pPr>
      <w:r w:rsidRPr="002926D7">
        <w:rPr>
          <w:rFonts w:eastAsia="FangSong" w:cs="Calibri"/>
          <w:lang w:eastAsia="zh-CN"/>
        </w:rPr>
        <w:t>The</w:t>
      </w:r>
      <w:r w:rsidR="00FB78A6" w:rsidRPr="002926D7">
        <w:rPr>
          <w:rFonts w:eastAsia="FangSong" w:cs="Calibri"/>
          <w:lang w:eastAsia="zh-CN"/>
        </w:rPr>
        <w:t xml:space="preserve"> overall</w:t>
      </w:r>
      <w:r w:rsidRPr="002926D7">
        <w:rPr>
          <w:rFonts w:eastAsia="FangSong" w:cs="Calibri"/>
          <w:lang w:eastAsia="zh-CN"/>
        </w:rPr>
        <w:t xml:space="preserve"> </w:t>
      </w:r>
      <w:r w:rsidRPr="002926D7">
        <w:rPr>
          <w:rFonts w:eastAsia="FangSong" w:cs="Calibri"/>
          <w:b/>
          <w:bCs/>
          <w:lang w:eastAsia="zh-CN"/>
        </w:rPr>
        <w:t xml:space="preserve">objective of </w:t>
      </w:r>
      <w:r w:rsidR="00DD31F8" w:rsidRPr="002926D7">
        <w:rPr>
          <w:rFonts w:eastAsia="FangSong" w:cs="Calibri"/>
          <w:b/>
          <w:bCs/>
          <w:lang w:eastAsia="zh-CN"/>
        </w:rPr>
        <w:t>SGP OP8</w:t>
      </w:r>
      <w:r w:rsidR="00844D8C" w:rsidRPr="002926D7">
        <w:rPr>
          <w:rFonts w:eastAsia="FangSong" w:cs="Calibri"/>
          <w:b/>
          <w:bCs/>
          <w:lang w:eastAsia="zh-CN"/>
        </w:rPr>
        <w:t>-Part 1</w:t>
      </w:r>
      <w:r w:rsidRPr="002926D7">
        <w:rPr>
          <w:rFonts w:eastAsia="FangSong" w:cs="Calibri"/>
          <w:lang w:eastAsia="zh-CN"/>
        </w:rPr>
        <w:t xml:space="preserve"> </w:t>
      </w:r>
      <w:r w:rsidR="00DD31F8" w:rsidRPr="002926D7">
        <w:rPr>
          <w:rFonts w:eastAsia="FangSong" w:cs="Calibri"/>
          <w:lang w:eastAsia="zh-CN"/>
        </w:rPr>
        <w:t>is to facilitate local CSOs</w:t>
      </w:r>
      <w:r w:rsidR="00844D8C" w:rsidRPr="002926D7">
        <w:rPr>
          <w:rFonts w:eastAsia="FangSong" w:cs="Calibri"/>
          <w:lang w:eastAsia="zh-CN"/>
        </w:rPr>
        <w:t>/</w:t>
      </w:r>
      <w:r w:rsidR="00DD31F8" w:rsidRPr="002926D7">
        <w:rPr>
          <w:rFonts w:eastAsia="FangSong" w:cs="Calibri"/>
          <w:lang w:eastAsia="zh-CN"/>
        </w:rPr>
        <w:t xml:space="preserve">CBOs in landscapes-seascapes around the world to access grant financing and technical assistance, including capacity development and knowledge sharing to maintain and enhance their socio-ecological resilience, well-being and socioeconomic conditions for </w:t>
      </w:r>
      <w:r w:rsidR="00844F5B" w:rsidRPr="002926D7">
        <w:rPr>
          <w:rFonts w:eastAsia="FangSong" w:cs="Calibri"/>
          <w:lang w:eastAsia="zh-CN"/>
        </w:rPr>
        <w:t>g</w:t>
      </w:r>
      <w:r w:rsidR="00DD31F8" w:rsidRPr="002926D7">
        <w:rPr>
          <w:rFonts w:eastAsia="FangSong" w:cs="Calibri"/>
          <w:lang w:eastAsia="zh-CN"/>
        </w:rPr>
        <w:t xml:space="preserve">lobal </w:t>
      </w:r>
      <w:r w:rsidR="00844F5B" w:rsidRPr="002926D7">
        <w:rPr>
          <w:rFonts w:eastAsia="FangSong" w:cs="Calibri"/>
          <w:lang w:eastAsia="zh-CN"/>
        </w:rPr>
        <w:t>e</w:t>
      </w:r>
      <w:r w:rsidR="00DD31F8" w:rsidRPr="002926D7">
        <w:rPr>
          <w:rFonts w:eastAsia="FangSong" w:cs="Calibri"/>
          <w:lang w:eastAsia="zh-CN"/>
        </w:rPr>
        <w:t xml:space="preserve">nvironmental </w:t>
      </w:r>
      <w:r w:rsidR="00844F5B" w:rsidRPr="002926D7">
        <w:rPr>
          <w:rFonts w:eastAsia="FangSong" w:cs="Calibri"/>
          <w:lang w:eastAsia="zh-CN"/>
        </w:rPr>
        <w:t>b</w:t>
      </w:r>
      <w:r w:rsidR="00DD31F8" w:rsidRPr="002926D7">
        <w:rPr>
          <w:rFonts w:eastAsia="FangSong" w:cs="Calibri"/>
          <w:lang w:eastAsia="zh-CN"/>
        </w:rPr>
        <w:t>enefits.</w:t>
      </w:r>
    </w:p>
    <w:p w14:paraId="7077532F" w14:textId="77777777" w:rsidR="00DD31F8" w:rsidRPr="002926D7" w:rsidRDefault="00DD31F8" w:rsidP="002926D7">
      <w:pPr>
        <w:rPr>
          <w:rFonts w:eastAsia="FangSong" w:cs="Calibri"/>
          <w:lang w:eastAsia="zh-CN"/>
        </w:rPr>
      </w:pPr>
    </w:p>
    <w:p w14:paraId="5551F940" w14:textId="212A4071" w:rsidR="00DD31F8" w:rsidRPr="002926D7" w:rsidRDefault="00DD31F8" w:rsidP="002926D7">
      <w:pPr>
        <w:numPr>
          <w:ilvl w:val="0"/>
          <w:numId w:val="8"/>
        </w:numPr>
        <w:ind w:left="0" w:firstLine="0"/>
        <w:rPr>
          <w:rFonts w:eastAsia="FangSong" w:cs="Calibri"/>
          <w:lang w:eastAsia="zh-CN"/>
        </w:rPr>
      </w:pPr>
      <w:r w:rsidRPr="002926D7">
        <w:rPr>
          <w:rFonts w:eastAsia="Calibri" w:cs="Calibri"/>
          <w:b/>
          <w:bCs/>
          <w:i/>
          <w:iCs/>
          <w:color w:val="000000" w:themeColor="text1"/>
          <w:szCs w:val="20"/>
        </w:rPr>
        <w:t>SGP OP8</w:t>
      </w:r>
      <w:r w:rsidR="00844D8C" w:rsidRPr="002926D7">
        <w:rPr>
          <w:rFonts w:eastAsia="Calibri" w:cs="Calibri"/>
          <w:b/>
          <w:bCs/>
          <w:i/>
          <w:iCs/>
          <w:color w:val="000000" w:themeColor="text1"/>
          <w:szCs w:val="20"/>
        </w:rPr>
        <w:t>-Part 1,</w:t>
      </w:r>
      <w:r w:rsidRPr="002926D7">
        <w:rPr>
          <w:rFonts w:eastAsia="Calibri" w:cs="Calibri"/>
          <w:b/>
          <w:bCs/>
          <w:i/>
          <w:iCs/>
          <w:color w:val="000000" w:themeColor="text1"/>
          <w:szCs w:val="20"/>
        </w:rPr>
        <w:t xml:space="preserve"> with its focus on Landscapes-Seascapes for Sustainability, Resilience and the Global Environment </w:t>
      </w:r>
      <w:r w:rsidRPr="002926D7">
        <w:rPr>
          <w:rFonts w:eastAsia="Calibri" w:cs="Calibri"/>
          <w:color w:val="000000" w:themeColor="text1"/>
          <w:szCs w:val="20"/>
        </w:rPr>
        <w:t xml:space="preserve">will comprise </w:t>
      </w:r>
      <w:r w:rsidRPr="002926D7">
        <w:rPr>
          <w:rFonts w:eastAsia="Calibri" w:cs="Calibri"/>
          <w:b/>
          <w:bCs/>
          <w:color w:val="000000" w:themeColor="text1"/>
          <w:szCs w:val="20"/>
        </w:rPr>
        <w:t>three integrated outcomes,</w:t>
      </w:r>
      <w:r w:rsidRPr="002926D7">
        <w:rPr>
          <w:rFonts w:eastAsia="Calibri" w:cs="Calibri"/>
          <w:color w:val="000000" w:themeColor="text1"/>
          <w:szCs w:val="20"/>
        </w:rPr>
        <w:t xml:space="preserve"> which will enable the local actors in programme countries to develop, access and use technical expertise, generate and disseminate knowledge to develop land/seascape strategies and identify, design, finance and implement the strategy’s synergistic component initiatives aimed at building the sustainability, resilience and global environmental benefits of the selected landscapes.</w:t>
      </w:r>
    </w:p>
    <w:p w14:paraId="3EF45127" w14:textId="77777777" w:rsidR="00C169C3" w:rsidRPr="002926D7" w:rsidRDefault="00C169C3" w:rsidP="002926D7">
      <w:pPr>
        <w:rPr>
          <w:rFonts w:asciiTheme="minorHAnsi" w:hAnsiTheme="minorHAnsi" w:cstheme="minorHAnsi"/>
          <w:b/>
          <w:bCs/>
          <w:szCs w:val="20"/>
        </w:rPr>
      </w:pPr>
    </w:p>
    <w:p w14:paraId="60B8F975" w14:textId="4DE3D2A3" w:rsidR="00AA64F6" w:rsidRPr="002926D7" w:rsidRDefault="00AA64F6" w:rsidP="002926D7">
      <w:pPr>
        <w:rPr>
          <w:rFonts w:asciiTheme="minorHAnsi" w:hAnsiTheme="minorHAnsi" w:cstheme="minorHAnsi"/>
          <w:b/>
          <w:bCs/>
          <w:szCs w:val="20"/>
        </w:rPr>
      </w:pPr>
      <w:bookmarkStart w:id="62" w:name="_Hlk122076450"/>
      <w:r w:rsidRPr="002926D7">
        <w:rPr>
          <w:rFonts w:asciiTheme="minorHAnsi" w:hAnsiTheme="minorHAnsi" w:cstheme="minorHAnsi"/>
          <w:b/>
          <w:bCs/>
          <w:szCs w:val="20"/>
        </w:rPr>
        <w:t xml:space="preserve">Component 1: </w:t>
      </w:r>
      <w:r w:rsidR="00DD31F8" w:rsidRPr="002926D7">
        <w:rPr>
          <w:rFonts w:asciiTheme="minorHAnsi" w:hAnsiTheme="minorHAnsi" w:cstheme="minorHAnsi"/>
          <w:b/>
          <w:bCs/>
          <w:szCs w:val="20"/>
        </w:rPr>
        <w:t>Strategic Planning and Multi-Stakeholder Governance</w:t>
      </w:r>
      <w:r w:rsidR="00DD31F8" w:rsidRPr="002926D7">
        <w:rPr>
          <w:rFonts w:asciiTheme="minorHAnsi" w:hAnsiTheme="minorHAnsi"/>
          <w:sz w:val="18"/>
        </w:rPr>
        <w:t xml:space="preserve">  </w:t>
      </w:r>
    </w:p>
    <w:p w14:paraId="42411FCD" w14:textId="77777777" w:rsidR="00AA64F6" w:rsidRPr="002926D7" w:rsidRDefault="00AA64F6" w:rsidP="002926D7">
      <w:pPr>
        <w:rPr>
          <w:szCs w:val="20"/>
        </w:rPr>
      </w:pPr>
    </w:p>
    <w:p w14:paraId="11068791" w14:textId="3C3AAA0D" w:rsidR="005969CB" w:rsidRPr="002926D7" w:rsidRDefault="005C17E9" w:rsidP="002926D7">
      <w:pPr>
        <w:rPr>
          <w:rFonts w:cstheme="minorHAnsi"/>
          <w:b/>
          <w:bCs/>
          <w:szCs w:val="20"/>
        </w:rPr>
      </w:pPr>
      <w:r w:rsidRPr="002926D7">
        <w:rPr>
          <w:rFonts w:cstheme="minorHAnsi"/>
          <w:b/>
          <w:bCs/>
          <w:szCs w:val="20"/>
        </w:rPr>
        <w:t>Outcome 1</w:t>
      </w:r>
      <w:r w:rsidR="00DF0C44" w:rsidRPr="002926D7">
        <w:rPr>
          <w:rFonts w:cstheme="minorHAnsi"/>
          <w:b/>
          <w:bCs/>
          <w:szCs w:val="20"/>
        </w:rPr>
        <w:t>.1</w:t>
      </w:r>
      <w:r w:rsidRPr="002926D7">
        <w:rPr>
          <w:rFonts w:cstheme="minorHAnsi"/>
          <w:b/>
          <w:bCs/>
          <w:szCs w:val="20"/>
        </w:rPr>
        <w:t xml:space="preserve">: </w:t>
      </w:r>
      <w:r w:rsidR="005076C7" w:rsidRPr="002926D7">
        <w:rPr>
          <w:rFonts w:cstheme="minorHAnsi"/>
          <w:b/>
          <w:bCs/>
          <w:szCs w:val="20"/>
        </w:rPr>
        <w:t xml:space="preserve">Enabling environment strengthened </w:t>
      </w:r>
      <w:r w:rsidR="009A52AF" w:rsidRPr="002926D7">
        <w:rPr>
          <w:rFonts w:cstheme="minorHAnsi"/>
          <w:b/>
          <w:bCs/>
          <w:szCs w:val="20"/>
        </w:rPr>
        <w:t>for effective community-driven integrated approaches</w:t>
      </w:r>
    </w:p>
    <w:p w14:paraId="0773F6BD" w14:textId="77777777" w:rsidR="007F7746" w:rsidRPr="002926D7" w:rsidRDefault="007F7746" w:rsidP="002926D7">
      <w:pPr>
        <w:rPr>
          <w:rFonts w:asciiTheme="minorHAnsi" w:hAnsiTheme="minorHAnsi" w:cstheme="minorHAnsi"/>
          <w:szCs w:val="20"/>
        </w:rPr>
      </w:pPr>
    </w:p>
    <w:p w14:paraId="00C5B98C" w14:textId="319A8546" w:rsidR="006679DC" w:rsidRPr="002926D7" w:rsidRDefault="006679DC" w:rsidP="002926D7">
      <w:pPr>
        <w:numPr>
          <w:ilvl w:val="0"/>
          <w:numId w:val="8"/>
        </w:numPr>
        <w:ind w:left="0" w:firstLine="0"/>
        <w:rPr>
          <w:rFonts w:asciiTheme="minorHAnsi" w:hAnsiTheme="minorHAnsi" w:cstheme="minorHAnsi"/>
          <w:szCs w:val="20"/>
        </w:rPr>
      </w:pPr>
      <w:r w:rsidRPr="002926D7">
        <w:rPr>
          <w:rFonts w:eastAsia="Calibri" w:cs="Calibri"/>
          <w:color w:val="000000" w:themeColor="text1"/>
          <w:szCs w:val="20"/>
        </w:rPr>
        <w:t>To achieve</w:t>
      </w:r>
      <w:r w:rsidRPr="002926D7">
        <w:rPr>
          <w:rFonts w:eastAsia="Calibri" w:cs="Calibri"/>
          <w:b/>
          <w:bCs/>
          <w:color w:val="000000" w:themeColor="text1"/>
          <w:szCs w:val="20"/>
        </w:rPr>
        <w:t xml:space="preserve"> Outcome 1.1 </w:t>
      </w:r>
      <w:r w:rsidRPr="002926D7">
        <w:rPr>
          <w:rFonts w:eastAsia="Calibri" w:cs="Calibri"/>
          <w:b/>
          <w:bCs/>
          <w:i/>
          <w:iCs/>
          <w:color w:val="000000" w:themeColor="text1"/>
          <w:szCs w:val="20"/>
        </w:rPr>
        <w:t xml:space="preserve">Enabling environment strengthened </w:t>
      </w:r>
      <w:r w:rsidR="009A52AF" w:rsidRPr="002926D7">
        <w:rPr>
          <w:rFonts w:eastAsia="Calibri" w:cs="Calibri"/>
          <w:b/>
          <w:bCs/>
          <w:i/>
          <w:iCs/>
          <w:color w:val="000000" w:themeColor="text1"/>
          <w:szCs w:val="20"/>
        </w:rPr>
        <w:t>for effective community-driven integrated approaches</w:t>
      </w:r>
      <w:r w:rsidRPr="002926D7">
        <w:rPr>
          <w:rFonts w:eastAsia="Calibri" w:cs="Calibri"/>
          <w:b/>
          <w:bCs/>
          <w:color w:val="000000" w:themeColor="text1"/>
          <w:szCs w:val="20"/>
        </w:rPr>
        <w:t>,</w:t>
      </w:r>
      <w:r w:rsidRPr="002926D7">
        <w:rPr>
          <w:rFonts w:eastAsia="Calibri" w:cs="Calibri"/>
          <w:color w:val="000000" w:themeColor="text1"/>
          <w:szCs w:val="20"/>
        </w:rPr>
        <w:t xml:space="preserve"> SGP OP8</w:t>
      </w:r>
      <w:r w:rsidR="00B46AF6" w:rsidRPr="002926D7">
        <w:rPr>
          <w:rFonts w:eastAsia="Calibri" w:cs="Calibri"/>
          <w:color w:val="000000" w:themeColor="text1"/>
          <w:szCs w:val="20"/>
        </w:rPr>
        <w:t>-Part 1</w:t>
      </w:r>
      <w:r w:rsidRPr="002926D7">
        <w:rPr>
          <w:rFonts w:eastAsia="Calibri" w:cs="Calibri"/>
          <w:color w:val="000000" w:themeColor="text1"/>
          <w:szCs w:val="20"/>
        </w:rPr>
        <w:t xml:space="preserve"> will deliver technical and grant assistance to local CSOs/CBOs in critical landscapes-seascapes to form or strengthen multi-stakeholder platforms who will be assisted to analyze socio-ecological vulnerability to climate change and degradation of global environmental assets (biodiversity, water, soils) from production and land use practices, including climate change mitigation, adaptation and waste and chemicals management. These platforms will analyze trends and patterns in resource use and local actor behavior and their link to vulnerability and ecosystem and land degradation. The target landscapes-seascapes will be identified in SGP </w:t>
      </w:r>
      <w:r w:rsidRPr="002926D7">
        <w:rPr>
          <w:rFonts w:eastAsia="Calibri" w:cs="Calibri"/>
          <w:color w:val="000000" w:themeColor="text1"/>
          <w:szCs w:val="20"/>
        </w:rPr>
        <w:lastRenderedPageBreak/>
        <w:t>Country Programme Strategies</w:t>
      </w:r>
      <w:r w:rsidR="004F7E19" w:rsidRPr="002926D7">
        <w:rPr>
          <w:rFonts w:eastAsia="Calibri" w:cs="Calibri"/>
          <w:color w:val="000000" w:themeColor="text1"/>
          <w:szCs w:val="20"/>
        </w:rPr>
        <w:t xml:space="preserve"> and/or landscape-seascape strategies</w:t>
      </w:r>
      <w:r w:rsidRPr="002926D7">
        <w:rPr>
          <w:rFonts w:eastAsia="Calibri" w:cs="Calibri"/>
          <w:color w:val="000000" w:themeColor="text1"/>
          <w:szCs w:val="20"/>
        </w:rPr>
        <w:t>, developed for each of the participating countries.</w:t>
      </w:r>
    </w:p>
    <w:p w14:paraId="0FCF8502" w14:textId="77777777" w:rsidR="006679DC" w:rsidRPr="002926D7" w:rsidRDefault="006679DC" w:rsidP="002926D7">
      <w:pPr>
        <w:rPr>
          <w:rFonts w:asciiTheme="minorHAnsi" w:hAnsiTheme="minorHAnsi" w:cstheme="minorHAnsi"/>
          <w:szCs w:val="20"/>
        </w:rPr>
      </w:pPr>
    </w:p>
    <w:p w14:paraId="3F8AA537" w14:textId="608F1512" w:rsidR="006679DC" w:rsidRPr="002926D7" w:rsidRDefault="006679DC" w:rsidP="002926D7">
      <w:pPr>
        <w:numPr>
          <w:ilvl w:val="0"/>
          <w:numId w:val="8"/>
        </w:numPr>
        <w:ind w:left="0" w:firstLine="0"/>
        <w:rPr>
          <w:rFonts w:asciiTheme="minorHAnsi" w:hAnsiTheme="minorHAnsi" w:cstheme="minorHAnsi"/>
          <w:szCs w:val="20"/>
        </w:rPr>
      </w:pPr>
      <w:r w:rsidRPr="002926D7">
        <w:rPr>
          <w:rFonts w:eastAsia="Calibri" w:cs="Calibri"/>
          <w:color w:val="000000" w:themeColor="text1"/>
          <w:szCs w:val="20"/>
        </w:rPr>
        <w:t>Landscape-seascape multi-stakeholder platforms (or country-level platforms, depending on the context of the participating countries)</w:t>
      </w:r>
      <w:r w:rsidR="00CA616C" w:rsidRPr="002926D7">
        <w:rPr>
          <w:rFonts w:eastAsia="Calibri" w:cs="Calibri"/>
          <w:color w:val="000000" w:themeColor="text1"/>
          <w:szCs w:val="20"/>
        </w:rPr>
        <w:t>, with equitable representation of women,</w:t>
      </w:r>
      <w:r w:rsidRPr="002926D7">
        <w:rPr>
          <w:rFonts w:eastAsia="Calibri" w:cs="Calibri"/>
          <w:color w:val="000000" w:themeColor="text1"/>
          <w:szCs w:val="20"/>
        </w:rPr>
        <w:t xml:space="preserve"> will identify desirable socio-ecological outcomes for their landscapes-seascapes in terms of sustainable development (e.g., increased productivity), resilience (e.g., to climate change vulnerabilities) and global environmental protection (e.g., biodiversity conservation, ecosystem restoration, carbon sequestration). These landscape-seascape level outcomes will be discussed, and potential synergies identified (e.g., increased water provision from ecosystem restoration of headwaters or greater productivity from soil conservation). The multi-stakeholder platforms will </w:t>
      </w:r>
      <w:r w:rsidR="00740BE9" w:rsidRPr="002926D7">
        <w:rPr>
          <w:rFonts w:eastAsia="Calibri" w:cs="Calibri"/>
          <w:color w:val="000000" w:themeColor="text1"/>
          <w:szCs w:val="20"/>
        </w:rPr>
        <w:t>guide the development of</w:t>
      </w:r>
      <w:r w:rsidRPr="002926D7">
        <w:rPr>
          <w:rFonts w:eastAsia="Calibri" w:cs="Calibri"/>
          <w:color w:val="000000" w:themeColor="text1"/>
          <w:szCs w:val="20"/>
        </w:rPr>
        <w:t xml:space="preserve"> consensus-based landscape-seascape </w:t>
      </w:r>
      <w:r w:rsidR="00740BE9" w:rsidRPr="002926D7">
        <w:rPr>
          <w:rFonts w:eastAsia="Calibri" w:cs="Calibri"/>
          <w:color w:val="000000" w:themeColor="text1"/>
          <w:szCs w:val="20"/>
        </w:rPr>
        <w:t>approaches (integrated into the country programme strategies)</w:t>
      </w:r>
      <w:r w:rsidRPr="002926D7">
        <w:rPr>
          <w:rFonts w:eastAsia="Calibri" w:cs="Calibri"/>
          <w:color w:val="000000" w:themeColor="text1"/>
          <w:szCs w:val="20"/>
        </w:rPr>
        <w:t xml:space="preserve"> to achieve these outcomes and identify a typology of potential initiatives to achieve them (e.g., agroforestry to enhance soil productivity; community conserved areas to improve aquifer replenishment, etc.). The landscape-seascape strategies will also include specific actions for gender mainstreaming and inclusion of vulnerable and marginalized groups.</w:t>
      </w:r>
    </w:p>
    <w:p w14:paraId="44F0FB2F" w14:textId="77777777" w:rsidR="006679DC" w:rsidRPr="002926D7" w:rsidRDefault="006679DC" w:rsidP="002926D7"/>
    <w:p w14:paraId="145101B7" w14:textId="3861AB27" w:rsidR="006679DC" w:rsidRPr="002926D7" w:rsidRDefault="006679DC" w:rsidP="002926D7">
      <w:pPr>
        <w:rPr>
          <w:rFonts w:asciiTheme="minorHAnsi" w:hAnsiTheme="minorHAnsi" w:cstheme="minorHAnsi"/>
          <w:szCs w:val="20"/>
        </w:rPr>
      </w:pPr>
    </w:p>
    <w:p w14:paraId="02BB7DB6" w14:textId="77777777" w:rsidR="006679DC" w:rsidRPr="002926D7" w:rsidRDefault="006679DC" w:rsidP="002926D7">
      <w:pPr>
        <w:pStyle w:val="ListParagraph"/>
        <w:rPr>
          <w:rFonts w:eastAsia="Calibri" w:cs="Calibri"/>
          <w:color w:val="000000" w:themeColor="text1"/>
          <w:szCs w:val="20"/>
        </w:rPr>
      </w:pPr>
    </w:p>
    <w:p w14:paraId="536BF3C7" w14:textId="15EFD44F" w:rsidR="006679DC" w:rsidRPr="002926D7" w:rsidRDefault="00CE3C4D" w:rsidP="002926D7">
      <w:pPr>
        <w:numPr>
          <w:ilvl w:val="0"/>
          <w:numId w:val="8"/>
        </w:numPr>
        <w:ind w:left="0" w:firstLine="0"/>
        <w:rPr>
          <w:rFonts w:asciiTheme="minorHAnsi" w:hAnsiTheme="minorHAnsi" w:cstheme="minorHAnsi"/>
          <w:szCs w:val="20"/>
        </w:rPr>
      </w:pPr>
      <w:r w:rsidRPr="002926D7">
        <w:rPr>
          <w:rFonts w:eastAsia="Calibri" w:cs="Calibri"/>
          <w:color w:val="000000" w:themeColor="text1"/>
          <w:szCs w:val="20"/>
        </w:rPr>
        <w:t>T</w:t>
      </w:r>
      <w:r w:rsidR="006679DC" w:rsidRPr="002926D7">
        <w:rPr>
          <w:rFonts w:eastAsia="Calibri" w:cs="Calibri"/>
          <w:color w:val="000000" w:themeColor="text1"/>
          <w:szCs w:val="20"/>
        </w:rPr>
        <w:t>he multi-stakeholder platforms will be supported to become participatory landscape-seascape governance platforms that will provide guidance, peer-to-peer exchanges, knowledge and information dissemination, venues for discussion and strategizing, trouble-shooting and technical assistance, where needed. The platforms will have equitable representation of women and vulnerable and marginalized groups, including Indigenous Peoples. These mechanisms will be overseen and supported by the SGP National Steering Committees who will provide due diligence regarding landscape-seascape portfolio development, conflict resolution, final approval for funding and other services.</w:t>
      </w:r>
    </w:p>
    <w:p w14:paraId="6F740304" w14:textId="77777777" w:rsidR="006679DC" w:rsidRPr="002926D7" w:rsidRDefault="006679DC" w:rsidP="002926D7">
      <w:pPr>
        <w:pStyle w:val="ListParagraph"/>
        <w:rPr>
          <w:rFonts w:eastAsia="Calibri" w:cs="Calibri"/>
          <w:color w:val="000000" w:themeColor="text1"/>
          <w:szCs w:val="20"/>
        </w:rPr>
      </w:pPr>
    </w:p>
    <w:p w14:paraId="23052A42" w14:textId="03863616" w:rsidR="006679DC" w:rsidRPr="002926D7" w:rsidRDefault="00282D83" w:rsidP="002926D7">
      <w:pPr>
        <w:numPr>
          <w:ilvl w:val="0"/>
          <w:numId w:val="8"/>
        </w:numPr>
        <w:ind w:left="0" w:firstLine="0"/>
        <w:rPr>
          <w:rFonts w:asciiTheme="minorHAnsi" w:hAnsiTheme="minorHAnsi" w:cstheme="minorHAnsi"/>
          <w:szCs w:val="20"/>
        </w:rPr>
      </w:pPr>
      <w:r w:rsidRPr="002926D7">
        <w:rPr>
          <w:rFonts w:eastAsia="Calibri" w:cs="Calibri"/>
          <w:color w:val="000000" w:themeColor="text1"/>
        </w:rPr>
        <w:t>The underlying principle underpinning Outcome 1.1 is that empowered local actors</w:t>
      </w:r>
      <w:r w:rsidR="00CA616C" w:rsidRPr="002926D7">
        <w:rPr>
          <w:rFonts w:eastAsia="Calibri" w:cs="Calibri"/>
          <w:color w:val="000000" w:themeColor="text1"/>
        </w:rPr>
        <w:t>, including women and socially marginalized groups,</w:t>
      </w:r>
      <w:r w:rsidRPr="002926D7">
        <w:rPr>
          <w:rFonts w:eastAsia="Calibri" w:cs="Calibri"/>
          <w:color w:val="000000" w:themeColor="text1"/>
        </w:rPr>
        <w:t xml:space="preserve"> are the only guarantors of the successful, durable and adaptive behavior change required for socio-ecological landscape-seascape sustainability, resilience and global environmental benefits.  This empowerment is not granted by external actors but rather generated by local actors themselves when exercising their agency in pursuit of their identified goals and objectives. This empowerment leads to the strengthening of analytical and organizational capacities for advocacy, participation, democratic decision making, project design and implementation, and adaptive management</w:t>
      </w:r>
      <w:r w:rsidR="006679DC" w:rsidRPr="002926D7">
        <w:rPr>
          <w:rFonts w:eastAsia="Calibri" w:cs="Calibri"/>
          <w:color w:val="000000" w:themeColor="text1"/>
          <w:szCs w:val="20"/>
        </w:rPr>
        <w:t>.</w:t>
      </w:r>
    </w:p>
    <w:p w14:paraId="1832EAEA" w14:textId="77777777" w:rsidR="006679DC" w:rsidRPr="002926D7" w:rsidRDefault="006679DC" w:rsidP="002926D7">
      <w:pPr>
        <w:pStyle w:val="ListParagraph"/>
        <w:rPr>
          <w:rFonts w:eastAsia="Calibri" w:cs="Calibri"/>
          <w:color w:val="000000" w:themeColor="text1"/>
          <w:szCs w:val="20"/>
        </w:rPr>
      </w:pPr>
    </w:p>
    <w:p w14:paraId="51CDCFC9" w14:textId="2CB085B6" w:rsidR="006679DC" w:rsidRPr="002926D7" w:rsidRDefault="005A68BD" w:rsidP="002926D7">
      <w:pPr>
        <w:numPr>
          <w:ilvl w:val="0"/>
          <w:numId w:val="8"/>
        </w:numPr>
        <w:ind w:left="0" w:firstLine="0"/>
        <w:rPr>
          <w:rFonts w:asciiTheme="minorHAnsi" w:hAnsiTheme="minorHAnsi" w:cstheme="minorHAnsi"/>
          <w:szCs w:val="20"/>
        </w:rPr>
      </w:pPr>
      <w:r w:rsidRPr="002926D7">
        <w:rPr>
          <w:rFonts w:eastAsia="Calibri" w:cs="Calibri"/>
          <w:color w:val="000000" w:themeColor="text1"/>
        </w:rPr>
        <w:t xml:space="preserve">The two </w:t>
      </w:r>
      <w:r w:rsidRPr="002926D7">
        <w:rPr>
          <w:rFonts w:eastAsia="Calibri" w:cs="Calibri"/>
          <w:b/>
          <w:bCs/>
          <w:color w:val="000000" w:themeColor="text1"/>
        </w:rPr>
        <w:t>outputs</w:t>
      </w:r>
      <w:r w:rsidRPr="002926D7">
        <w:rPr>
          <w:rFonts w:eastAsia="Calibri" w:cs="Calibri"/>
          <w:color w:val="000000" w:themeColor="text1"/>
        </w:rPr>
        <w:t xml:space="preserve"> leading to Outcome 1.1 include Output 1.1.1 (Country Programme Strategies developed and National Steering Committees established and/or confirmed) and Output 1.1.2 (Landscape-seascape strategies developed and implemented, and multi-stakeholder governance platforms established</w:t>
      </w:r>
      <w:r w:rsidR="006679DC" w:rsidRPr="002926D7">
        <w:rPr>
          <w:rFonts w:eastAsia="Calibri" w:cs="Calibri"/>
          <w:color w:val="000000" w:themeColor="text1"/>
          <w:szCs w:val="20"/>
        </w:rPr>
        <w:t xml:space="preserve">).  </w:t>
      </w:r>
    </w:p>
    <w:p w14:paraId="7E40A9EB" w14:textId="16261E17" w:rsidR="00E2243A" w:rsidRPr="002926D7" w:rsidRDefault="00E2243A" w:rsidP="002926D7">
      <w:pPr>
        <w:rPr>
          <w:szCs w:val="20"/>
        </w:rPr>
      </w:pPr>
    </w:p>
    <w:p w14:paraId="2E485044" w14:textId="258C8730" w:rsidR="00D341AE" w:rsidRPr="002926D7" w:rsidRDefault="00D341AE" w:rsidP="002926D7">
      <w:pPr>
        <w:rPr>
          <w:rFonts w:cstheme="minorHAnsi"/>
          <w:b/>
          <w:bCs/>
          <w:i/>
          <w:iCs/>
          <w:szCs w:val="20"/>
        </w:rPr>
      </w:pPr>
      <w:r w:rsidRPr="002926D7">
        <w:rPr>
          <w:rFonts w:cstheme="minorHAnsi"/>
          <w:b/>
          <w:bCs/>
          <w:i/>
          <w:iCs/>
          <w:szCs w:val="20"/>
        </w:rPr>
        <w:t>Output 1.1</w:t>
      </w:r>
      <w:r w:rsidR="008C1F99" w:rsidRPr="002926D7">
        <w:rPr>
          <w:rFonts w:cstheme="minorHAnsi"/>
          <w:b/>
          <w:bCs/>
          <w:i/>
          <w:iCs/>
          <w:szCs w:val="20"/>
        </w:rPr>
        <w:t>.1</w:t>
      </w:r>
      <w:r w:rsidRPr="002926D7">
        <w:rPr>
          <w:rFonts w:cstheme="minorHAnsi"/>
          <w:b/>
          <w:bCs/>
          <w:i/>
          <w:iCs/>
          <w:szCs w:val="20"/>
        </w:rPr>
        <w:t xml:space="preserve">. </w:t>
      </w:r>
      <w:r w:rsidR="005076C7" w:rsidRPr="002926D7">
        <w:rPr>
          <w:rFonts w:cstheme="minorHAnsi"/>
          <w:b/>
          <w:bCs/>
          <w:i/>
          <w:iCs/>
          <w:szCs w:val="20"/>
        </w:rPr>
        <w:t xml:space="preserve">Country </w:t>
      </w:r>
      <w:r w:rsidR="005A68BD" w:rsidRPr="002926D7">
        <w:rPr>
          <w:rFonts w:cstheme="minorHAnsi"/>
          <w:b/>
          <w:bCs/>
          <w:i/>
          <w:iCs/>
          <w:szCs w:val="20"/>
        </w:rPr>
        <w:t>P</w:t>
      </w:r>
      <w:r w:rsidR="005076C7" w:rsidRPr="002926D7">
        <w:rPr>
          <w:rFonts w:cstheme="minorHAnsi"/>
          <w:b/>
          <w:bCs/>
          <w:i/>
          <w:iCs/>
          <w:szCs w:val="20"/>
        </w:rPr>
        <w:t xml:space="preserve">rogramme </w:t>
      </w:r>
      <w:r w:rsidR="005A68BD" w:rsidRPr="002926D7">
        <w:rPr>
          <w:rFonts w:cstheme="minorHAnsi"/>
          <w:b/>
          <w:bCs/>
          <w:i/>
          <w:iCs/>
          <w:szCs w:val="20"/>
        </w:rPr>
        <w:t>S</w:t>
      </w:r>
      <w:r w:rsidR="005076C7" w:rsidRPr="002926D7">
        <w:rPr>
          <w:rFonts w:cstheme="minorHAnsi"/>
          <w:b/>
          <w:bCs/>
          <w:i/>
          <w:iCs/>
          <w:szCs w:val="20"/>
        </w:rPr>
        <w:t xml:space="preserve">trategies </w:t>
      </w:r>
      <w:bookmarkStart w:id="63" w:name="_Int_FwurYTVf"/>
      <w:r w:rsidR="005076C7" w:rsidRPr="002926D7">
        <w:rPr>
          <w:rFonts w:cstheme="minorHAnsi"/>
          <w:b/>
          <w:bCs/>
          <w:i/>
          <w:iCs/>
          <w:szCs w:val="20"/>
        </w:rPr>
        <w:t>developed</w:t>
      </w:r>
      <w:bookmarkEnd w:id="63"/>
      <w:r w:rsidR="005076C7" w:rsidRPr="002926D7">
        <w:rPr>
          <w:rFonts w:cstheme="minorHAnsi"/>
          <w:b/>
          <w:bCs/>
          <w:i/>
          <w:iCs/>
          <w:szCs w:val="20"/>
        </w:rPr>
        <w:t xml:space="preserve"> and National Steering Committees in effective operation</w:t>
      </w:r>
    </w:p>
    <w:p w14:paraId="57E4F9CB" w14:textId="10FE4E4B" w:rsidR="00D341AE" w:rsidRPr="002926D7" w:rsidRDefault="00D341AE" w:rsidP="002926D7">
      <w:pPr>
        <w:rPr>
          <w:rFonts w:cstheme="minorHAnsi"/>
          <w:szCs w:val="20"/>
        </w:rPr>
      </w:pPr>
    </w:p>
    <w:p w14:paraId="2A25FB41" w14:textId="54892CFE" w:rsidR="00BF52BD" w:rsidRPr="002926D7" w:rsidRDefault="005A68BD" w:rsidP="002926D7">
      <w:pPr>
        <w:numPr>
          <w:ilvl w:val="0"/>
          <w:numId w:val="8"/>
        </w:numPr>
        <w:ind w:left="0" w:firstLine="0"/>
        <w:rPr>
          <w:szCs w:val="20"/>
        </w:rPr>
      </w:pPr>
      <w:r w:rsidRPr="002926D7">
        <w:t>Under Output 1.1.1, the programme will facilitate multiple stakeholder consultations, building upon the preliminary consultations conducted during the OP8-Part 1 preparation phase, soliciting feedback for the development of the country programme strategies (CPS’s) for each of the participating countries. The CPS’s will include descriptions of country level priorities and identification of landscapes-seascapes for SGP OP8-Part 1. The National Steering Committees (NSCs)</w:t>
      </w:r>
      <w:r w:rsidR="00CA616C" w:rsidRPr="002926D7">
        <w:t>,</w:t>
      </w:r>
      <w:r w:rsidR="00CA616C" w:rsidRPr="002926D7">
        <w:rPr>
          <w:rFonts w:eastAsia="Calibri" w:cs="Calibri"/>
          <w:color w:val="000000" w:themeColor="text1"/>
          <w:szCs w:val="20"/>
        </w:rPr>
        <w:t xml:space="preserve"> with equitable representation of women,</w:t>
      </w:r>
      <w:r w:rsidRPr="002926D7">
        <w:t xml:space="preserve"> in the countries will play an important role in overseeing the development and endorsement of the CPS frameworks. This output also includes activities focused on reactivating and/or establishing the NSCs in the participating countries</w:t>
      </w:r>
      <w:r w:rsidR="002815AC" w:rsidRPr="002926D7">
        <w:rPr>
          <w:szCs w:val="20"/>
        </w:rPr>
        <w:t>.</w:t>
      </w:r>
    </w:p>
    <w:p w14:paraId="0658F55B" w14:textId="77777777" w:rsidR="005076C7" w:rsidRPr="002926D7" w:rsidRDefault="005076C7" w:rsidP="002926D7">
      <w:pPr>
        <w:rPr>
          <w:szCs w:val="20"/>
        </w:rPr>
      </w:pPr>
    </w:p>
    <w:p w14:paraId="06F51904" w14:textId="0B0654A3" w:rsidR="005076C7" w:rsidRPr="002926D7" w:rsidRDefault="005076C7" w:rsidP="002926D7">
      <w:pPr>
        <w:rPr>
          <w:rFonts w:cstheme="minorHAnsi"/>
          <w:b/>
          <w:bCs/>
          <w:i/>
          <w:iCs/>
          <w:szCs w:val="20"/>
        </w:rPr>
      </w:pPr>
      <w:r w:rsidRPr="002926D7">
        <w:rPr>
          <w:rFonts w:cstheme="minorHAnsi"/>
          <w:b/>
          <w:bCs/>
          <w:i/>
          <w:iCs/>
          <w:szCs w:val="20"/>
        </w:rPr>
        <w:t xml:space="preserve">Output 1.1.2. Landscape-seascape strategies developed and implemented, and multi-stakeholder governance platforms established in relevant countries </w:t>
      </w:r>
    </w:p>
    <w:p w14:paraId="2F48626F" w14:textId="77777777" w:rsidR="005076C7" w:rsidRPr="002926D7" w:rsidRDefault="005076C7" w:rsidP="002926D7"/>
    <w:p w14:paraId="66DF1CC2" w14:textId="4CCD6BBD" w:rsidR="005076C7" w:rsidRPr="002926D7" w:rsidRDefault="00EF7B09" w:rsidP="002926D7">
      <w:pPr>
        <w:numPr>
          <w:ilvl w:val="0"/>
          <w:numId w:val="8"/>
        </w:numPr>
        <w:ind w:left="0" w:firstLine="0"/>
        <w:rPr>
          <w:szCs w:val="20"/>
        </w:rPr>
      </w:pPr>
      <w:bookmarkStart w:id="64" w:name="_Hlk154049170"/>
      <w:r w:rsidRPr="002926D7">
        <w:t xml:space="preserve">In conjunction with the development of the </w:t>
      </w:r>
      <w:r w:rsidRPr="002926D7">
        <w:rPr>
          <w:rFonts w:eastAsia="Calibri" w:cs="Calibri"/>
          <w:szCs w:val="20"/>
        </w:rPr>
        <w:t>CPSs</w:t>
      </w:r>
      <w:r w:rsidRPr="002926D7">
        <w:t xml:space="preserve">, the programme will facilitate development and/or updating of landscape-seascape approaches in the SGP OP8-Part 1 in targeted countries. Multi-stakeholder </w:t>
      </w:r>
      <w:r w:rsidRPr="002926D7">
        <w:lastRenderedPageBreak/>
        <w:t>landscape-seascape platforms</w:t>
      </w:r>
      <w:r w:rsidR="00CA616C" w:rsidRPr="002926D7">
        <w:t>,</w:t>
      </w:r>
      <w:r w:rsidR="00CA616C" w:rsidRPr="002926D7">
        <w:rPr>
          <w:rFonts w:eastAsia="Calibri" w:cs="Calibri"/>
          <w:color w:val="000000" w:themeColor="text1"/>
          <w:szCs w:val="20"/>
        </w:rPr>
        <w:t xml:space="preserve"> with equitable representation of women,</w:t>
      </w:r>
      <w:r w:rsidRPr="002926D7">
        <w:t xml:space="preserve"> will be established and/or strengthened to guide the development of the landscape-seascape approaches and to oversee the implementation of priority actions. Building upon best practices implemented through the </w:t>
      </w:r>
      <w:r w:rsidRPr="002926D7">
        <w:rPr>
          <w:i/>
          <w:iCs/>
        </w:rPr>
        <w:t>Community Development and Knowledge Management for the Satoyama Initiative (COMDEKS)</w:t>
      </w:r>
      <w:r w:rsidRPr="002926D7">
        <w:t xml:space="preserve">, the </w:t>
      </w:r>
      <w:r w:rsidRPr="002926D7">
        <w:rPr>
          <w:i/>
          <w:iCs/>
        </w:rPr>
        <w:t>Socio-ecological Production Landscapes and Seascapes (SEPLS)</w:t>
      </w:r>
      <w:r w:rsidRPr="002926D7">
        <w:t xml:space="preserve"> approach will be applied for development of the landscape-seascape strategies. The first step in the process entails conducting participatory landscape-seascape baseline assessments, ensuring involvement of key stakeholders, including government agencies, civil society, Indigenous Peoples and local communities, as well as private sector enterprises and other enabling partners. The landscape-seascape strategies, integrated into the CPSs, will be based on the findings of the baseline assessments, identifying potential community initiatives to address the agreed priorities.</w:t>
      </w:r>
      <w:bookmarkEnd w:id="64"/>
      <w:r w:rsidR="002E7F5B" w:rsidRPr="002926D7">
        <w:rPr>
          <w:szCs w:val="20"/>
        </w:rPr>
        <w:t xml:space="preserve"> </w:t>
      </w:r>
    </w:p>
    <w:p w14:paraId="453440C6" w14:textId="77777777" w:rsidR="00D341AE" w:rsidRPr="002926D7" w:rsidRDefault="00D341AE" w:rsidP="002926D7">
      <w:pPr>
        <w:rPr>
          <w:rFonts w:cstheme="minorHAnsi"/>
          <w:szCs w:val="20"/>
        </w:rPr>
      </w:pPr>
    </w:p>
    <w:p w14:paraId="404EEB6E" w14:textId="59581E7D" w:rsidR="00652F29" w:rsidRPr="002926D7" w:rsidRDefault="00652F29" w:rsidP="002926D7">
      <w:pPr>
        <w:rPr>
          <w:rFonts w:asciiTheme="minorHAnsi" w:hAnsiTheme="minorHAnsi" w:cstheme="minorHAnsi"/>
          <w:b/>
          <w:bCs/>
          <w:szCs w:val="20"/>
        </w:rPr>
      </w:pPr>
      <w:bookmarkStart w:id="65" w:name="_Hlk71013232"/>
      <w:bookmarkStart w:id="66" w:name="_Hlk39228235"/>
      <w:bookmarkStart w:id="67" w:name="_Hlk122081060"/>
      <w:bookmarkEnd w:id="62"/>
      <w:r w:rsidRPr="002926D7">
        <w:rPr>
          <w:rFonts w:asciiTheme="minorHAnsi" w:hAnsiTheme="minorHAnsi" w:cstheme="minorHAnsi"/>
          <w:b/>
          <w:bCs/>
          <w:szCs w:val="20"/>
        </w:rPr>
        <w:t xml:space="preserve">Component 2: </w:t>
      </w:r>
      <w:r w:rsidR="005076C7" w:rsidRPr="002926D7">
        <w:rPr>
          <w:rFonts w:asciiTheme="minorHAnsi" w:hAnsiTheme="minorHAnsi" w:cstheme="minorHAnsi"/>
          <w:b/>
          <w:bCs/>
          <w:szCs w:val="20"/>
        </w:rPr>
        <w:t>Demand-driven grants to CSOs/CBOs</w:t>
      </w:r>
    </w:p>
    <w:bookmarkEnd w:id="65"/>
    <w:p w14:paraId="6496B447" w14:textId="77777777" w:rsidR="00652F29" w:rsidRPr="002926D7" w:rsidRDefault="00652F29" w:rsidP="002926D7">
      <w:pPr>
        <w:rPr>
          <w:szCs w:val="20"/>
        </w:rPr>
      </w:pPr>
    </w:p>
    <w:p w14:paraId="0561101F" w14:textId="30370F75" w:rsidR="005C17E9" w:rsidRPr="002926D7" w:rsidRDefault="005C17E9" w:rsidP="002926D7">
      <w:pPr>
        <w:rPr>
          <w:rFonts w:cstheme="minorHAnsi"/>
          <w:b/>
          <w:bCs/>
          <w:szCs w:val="20"/>
        </w:rPr>
      </w:pPr>
      <w:bookmarkStart w:id="68" w:name="_Hlk71013315"/>
      <w:bookmarkStart w:id="69" w:name="_Hlk131937386"/>
      <w:bookmarkEnd w:id="60"/>
      <w:r w:rsidRPr="002926D7">
        <w:rPr>
          <w:rFonts w:cstheme="minorHAnsi"/>
          <w:b/>
          <w:bCs/>
          <w:szCs w:val="20"/>
        </w:rPr>
        <w:t>Outcome 2</w:t>
      </w:r>
      <w:r w:rsidR="008C1F99" w:rsidRPr="002926D7">
        <w:rPr>
          <w:rFonts w:cstheme="minorHAnsi"/>
          <w:b/>
          <w:bCs/>
          <w:szCs w:val="20"/>
        </w:rPr>
        <w:t>.1</w:t>
      </w:r>
      <w:r w:rsidRPr="002926D7">
        <w:rPr>
          <w:rFonts w:cstheme="minorHAnsi"/>
          <w:b/>
          <w:bCs/>
          <w:szCs w:val="20"/>
        </w:rPr>
        <w:t xml:space="preserve">: </w:t>
      </w:r>
      <w:r w:rsidR="005076C7" w:rsidRPr="002926D7">
        <w:rPr>
          <w:rFonts w:cstheme="minorHAnsi"/>
          <w:b/>
          <w:bCs/>
          <w:szCs w:val="20"/>
        </w:rPr>
        <w:t>Landscape-seascape strategic objectives advanced through community-led grants</w:t>
      </w:r>
    </w:p>
    <w:p w14:paraId="70BE28E3" w14:textId="77777777" w:rsidR="00CB6C67" w:rsidRPr="002926D7" w:rsidRDefault="00CB6C67" w:rsidP="002926D7">
      <w:pPr>
        <w:rPr>
          <w:sz w:val="22"/>
          <w:szCs w:val="22"/>
        </w:rPr>
      </w:pPr>
    </w:p>
    <w:p w14:paraId="4D916322" w14:textId="7597ABDD" w:rsidR="006679DC" w:rsidRPr="002926D7" w:rsidRDefault="006679DC" w:rsidP="002926D7">
      <w:pPr>
        <w:numPr>
          <w:ilvl w:val="0"/>
          <w:numId w:val="8"/>
        </w:numPr>
        <w:ind w:left="0" w:firstLine="0"/>
      </w:pPr>
      <w:r w:rsidRPr="002926D7">
        <w:rPr>
          <w:rFonts w:eastAsia="Calibri" w:cs="Calibri"/>
          <w:color w:val="000000" w:themeColor="text1"/>
          <w:szCs w:val="20"/>
        </w:rPr>
        <w:t>To achieve</w:t>
      </w:r>
      <w:r w:rsidRPr="002926D7">
        <w:rPr>
          <w:rFonts w:eastAsia="Calibri" w:cs="Calibri"/>
          <w:b/>
          <w:bCs/>
          <w:color w:val="000000" w:themeColor="text1"/>
          <w:szCs w:val="20"/>
        </w:rPr>
        <w:t xml:space="preserve"> Outcome 2.1 </w:t>
      </w:r>
      <w:r w:rsidRPr="002926D7">
        <w:rPr>
          <w:rFonts w:eastAsia="Calibri" w:cs="Calibri"/>
          <w:b/>
          <w:bCs/>
          <w:i/>
          <w:iCs/>
          <w:color w:val="000000" w:themeColor="text1"/>
          <w:szCs w:val="20"/>
        </w:rPr>
        <w:t>Landscape-seascape strategic objectives advanced through community-led grants</w:t>
      </w:r>
      <w:r w:rsidRPr="002926D7">
        <w:rPr>
          <w:rFonts w:eastAsia="Calibri" w:cs="Calibri"/>
          <w:b/>
          <w:bCs/>
          <w:color w:val="000000" w:themeColor="text1"/>
          <w:szCs w:val="20"/>
        </w:rPr>
        <w:t>,</w:t>
      </w:r>
      <w:r w:rsidRPr="002926D7">
        <w:rPr>
          <w:rFonts w:eastAsia="Calibri" w:cs="Calibri"/>
          <w:color w:val="000000" w:themeColor="text1"/>
          <w:szCs w:val="20"/>
        </w:rPr>
        <w:t xml:space="preserve"> the programme will provide grant financing to the different initiatives </w:t>
      </w:r>
      <w:r w:rsidR="00740BE9" w:rsidRPr="002926D7">
        <w:rPr>
          <w:rFonts w:eastAsia="Calibri" w:cs="Calibri"/>
          <w:color w:val="000000" w:themeColor="text1"/>
          <w:szCs w:val="20"/>
        </w:rPr>
        <w:t>highlighted in the CPSs</w:t>
      </w:r>
      <w:r w:rsidRPr="002926D7">
        <w:rPr>
          <w:rFonts w:eastAsia="Calibri" w:cs="Calibri"/>
          <w:color w:val="000000" w:themeColor="text1"/>
          <w:szCs w:val="20"/>
        </w:rPr>
        <w:t>, as well as seek further funding to co-finance them.  Although one-off co-financing will be welcomed, the SGP OP8 will seek to establish partnerships at global, country and landscape levels for ongoing programmatic support to landscape-seascape strategies.  These partnerships will be pursued with donors, public sector institutions and the private sector across these three levels.</w:t>
      </w:r>
    </w:p>
    <w:p w14:paraId="354148C9" w14:textId="77777777" w:rsidR="006679DC" w:rsidRPr="002926D7" w:rsidRDefault="006679DC" w:rsidP="002926D7"/>
    <w:p w14:paraId="75AF9A34" w14:textId="49A38DEB" w:rsidR="006679DC" w:rsidRPr="002926D7" w:rsidRDefault="00282D83" w:rsidP="002926D7">
      <w:pPr>
        <w:numPr>
          <w:ilvl w:val="0"/>
          <w:numId w:val="8"/>
        </w:numPr>
        <w:ind w:left="0" w:firstLine="0"/>
      </w:pPr>
      <w:r w:rsidRPr="002926D7">
        <w:rPr>
          <w:rFonts w:eastAsia="Calibri" w:cs="Calibri"/>
          <w:color w:val="000000" w:themeColor="text1"/>
        </w:rPr>
        <w:t>The programme will seek to establish collaborative partnerships with local governments, particularly where devolved budgeting is national policy, as well as with national governmental and non-governmental entities.  The SGP OP8</w:t>
      </w:r>
      <w:r w:rsidR="00B46AF6" w:rsidRPr="002926D7">
        <w:rPr>
          <w:rFonts w:eastAsia="Calibri" w:cs="Calibri"/>
          <w:color w:val="000000" w:themeColor="text1"/>
        </w:rPr>
        <w:t>-Part 1</w:t>
      </w:r>
      <w:r w:rsidRPr="002926D7">
        <w:rPr>
          <w:rFonts w:eastAsia="Calibri" w:cs="Calibri"/>
          <w:color w:val="000000" w:themeColor="text1"/>
        </w:rPr>
        <w:t xml:space="preserve"> will also work to engage MSMEs and other private sector entities in financing landscape-seascape strategies in relation to the different links of key value chains; as such, the programme will support the participatory formulation of value chain strategies for sustainably produced agricultural, livestock or fisheries products, as well as value-added products from sustainable harvests of non-timber forest products and the like</w:t>
      </w:r>
      <w:r w:rsidR="006679DC" w:rsidRPr="002926D7">
        <w:rPr>
          <w:rFonts w:eastAsia="Calibri" w:cs="Calibri"/>
          <w:color w:val="000000" w:themeColor="text1"/>
          <w:szCs w:val="20"/>
        </w:rPr>
        <w:t>.</w:t>
      </w:r>
    </w:p>
    <w:p w14:paraId="6CBBAD0E" w14:textId="77777777" w:rsidR="006679DC" w:rsidRPr="002926D7" w:rsidRDefault="006679DC" w:rsidP="002926D7"/>
    <w:p w14:paraId="03A6E1FF" w14:textId="19CF5F7A" w:rsidR="006679DC" w:rsidRPr="002926D7" w:rsidRDefault="00282D83" w:rsidP="002926D7">
      <w:pPr>
        <w:numPr>
          <w:ilvl w:val="0"/>
          <w:numId w:val="8"/>
        </w:numPr>
        <w:ind w:left="0" w:firstLine="0"/>
      </w:pPr>
      <w:r w:rsidRPr="002926D7">
        <w:rPr>
          <w:rFonts w:eastAsia="Calibri" w:cs="Calibri"/>
          <w:color w:val="000000" w:themeColor="text1"/>
        </w:rPr>
        <w:t>The essential principle underpinning Outcome 2.1 is that local CSOs/CBOs, particularly those representing the most vulnerable and marginalized, are only in a position to adopt new production practices or technological innovations that enhance sustainability, resilience and global environmental benefits if the risk of failure is nominal and the socio-economic benefits relatively significant. While a one-off grant provides a single capital infusion to an organization of producers or other local actors, for an innovation to be upscaled sufficiently to achieve sustainable impacts across a landscape-seascape, producers, for example, will likely need access to credit for investment capital as well as to equitable markets to ensure adequate returns on the investment. Local CSOs/CBOs in the landscapes-seascapes require technical assistance and other support to engage with lenders and regional and national markets in a longer-term adaptive process of learning by doing</w:t>
      </w:r>
      <w:r w:rsidR="006679DC" w:rsidRPr="002926D7">
        <w:rPr>
          <w:rFonts w:eastAsia="Calibri" w:cs="Calibri"/>
          <w:color w:val="000000" w:themeColor="text1"/>
          <w:szCs w:val="20"/>
        </w:rPr>
        <w:t>.</w:t>
      </w:r>
    </w:p>
    <w:p w14:paraId="7182BCF0" w14:textId="77777777" w:rsidR="006679DC" w:rsidRPr="002926D7" w:rsidRDefault="006679DC" w:rsidP="002926D7">
      <w:pPr>
        <w:pStyle w:val="ListParagraph"/>
      </w:pPr>
    </w:p>
    <w:p w14:paraId="25246048" w14:textId="61D368ED" w:rsidR="006679DC" w:rsidRPr="002926D7" w:rsidRDefault="006679DC" w:rsidP="002926D7">
      <w:pPr>
        <w:numPr>
          <w:ilvl w:val="0"/>
          <w:numId w:val="8"/>
        </w:numPr>
        <w:ind w:left="0" w:firstLine="0"/>
      </w:pPr>
      <w:r w:rsidRPr="002926D7">
        <w:rPr>
          <w:rFonts w:eastAsia="Calibri" w:cs="Calibri"/>
          <w:color w:val="000000" w:themeColor="text1"/>
          <w:szCs w:val="20"/>
        </w:rPr>
        <w:t xml:space="preserve">The </w:t>
      </w:r>
      <w:r w:rsidR="00EF1D55" w:rsidRPr="002926D7">
        <w:rPr>
          <w:rFonts w:eastAsia="Calibri" w:cs="Calibri"/>
          <w:color w:val="000000" w:themeColor="text1"/>
          <w:szCs w:val="20"/>
        </w:rPr>
        <w:t xml:space="preserve">four </w:t>
      </w:r>
      <w:r w:rsidRPr="002926D7">
        <w:rPr>
          <w:rFonts w:eastAsia="Calibri" w:cs="Calibri"/>
          <w:color w:val="000000" w:themeColor="text1"/>
          <w:szCs w:val="20"/>
        </w:rPr>
        <w:t>outputs leading to Outcome 2.1 include Output 2.1.1 (Capacities of CSOs/CBOs strengthened for implementation of landscape-seascape strategies</w:t>
      </w:r>
      <w:r w:rsidR="00995B4F" w:rsidRPr="002926D7">
        <w:rPr>
          <w:rFonts w:eastAsia="Calibri" w:cs="Calibri"/>
          <w:color w:val="000000" w:themeColor="text1"/>
          <w:szCs w:val="20"/>
        </w:rPr>
        <w:t>, for grant-supporting activities</w:t>
      </w:r>
      <w:r w:rsidRPr="002926D7">
        <w:rPr>
          <w:rFonts w:eastAsia="Calibri" w:cs="Calibri"/>
          <w:color w:val="000000" w:themeColor="text1"/>
          <w:szCs w:val="20"/>
        </w:rPr>
        <w:t>); Output 2.1.2 (Community level initiatives designed, financed, implemented, monitored and evaluated); Output 2.1.3 (Focused interventions for advancement of gender equality and women’s empowerment objectives)</w:t>
      </w:r>
      <w:bookmarkStart w:id="70" w:name="_Hlk168063198"/>
      <w:r w:rsidR="00EF1D55" w:rsidRPr="002926D7">
        <w:rPr>
          <w:rFonts w:eastAsia="Calibri" w:cs="Calibri"/>
          <w:color w:val="000000" w:themeColor="text1"/>
          <w:szCs w:val="20"/>
        </w:rPr>
        <w:t>; and Output 2.1.4 (Focused interventions on leaving no one behind, including Indigenous Peoples, youth, persons with disabilities)</w:t>
      </w:r>
      <w:r w:rsidRPr="002926D7">
        <w:rPr>
          <w:rFonts w:eastAsia="Calibri" w:cs="Calibri"/>
          <w:color w:val="000000" w:themeColor="text1"/>
          <w:szCs w:val="20"/>
        </w:rPr>
        <w:t xml:space="preserve">. </w:t>
      </w:r>
      <w:bookmarkEnd w:id="70"/>
      <w:r w:rsidRPr="002926D7">
        <w:rPr>
          <w:rFonts w:eastAsia="Calibri" w:cs="Calibri"/>
          <w:color w:val="000000" w:themeColor="text1"/>
          <w:szCs w:val="20"/>
        </w:rPr>
        <w:t>SGP projects predominantly also have integrated components of capacity development and innovation. These two can serve as both ‘drivers of change’ and ‘results’ in themselves.</w:t>
      </w:r>
      <w:r w:rsidR="00EF1D55" w:rsidRPr="002926D7">
        <w:rPr>
          <w:rFonts w:eastAsia="Calibri" w:cs="Calibri"/>
          <w:color w:val="000000" w:themeColor="text1"/>
          <w:szCs w:val="20"/>
        </w:rPr>
        <w:t xml:space="preserve"> </w:t>
      </w:r>
      <w:bookmarkStart w:id="71" w:name="_Hlk168063229"/>
      <w:r w:rsidR="00EF1D55" w:rsidRPr="002926D7">
        <w:rPr>
          <w:rFonts w:eastAsia="Calibri" w:cs="Calibri"/>
          <w:color w:val="000000" w:themeColor="text1"/>
          <w:szCs w:val="20"/>
        </w:rPr>
        <w:t>The resources allocated for Component 2 represent 72% of the total GEF financing, inclusive of the agency fee.</w:t>
      </w:r>
      <w:r w:rsidRPr="002926D7">
        <w:rPr>
          <w:rFonts w:eastAsia="Calibri" w:cs="Calibri"/>
          <w:color w:val="000000" w:themeColor="text1"/>
          <w:szCs w:val="20"/>
        </w:rPr>
        <w:t xml:space="preserve"> </w:t>
      </w:r>
      <w:bookmarkEnd w:id="71"/>
      <w:r w:rsidRPr="002926D7">
        <w:rPr>
          <w:rFonts w:eastAsia="Calibri" w:cs="Calibri"/>
          <w:color w:val="000000" w:themeColor="text1"/>
          <w:szCs w:val="20"/>
        </w:rPr>
        <w:t>It is SGP’s experience that the above suite of offerings also enables longer term sustainability of environmental results.</w:t>
      </w:r>
    </w:p>
    <w:p w14:paraId="6B493CD1" w14:textId="3F085861" w:rsidR="00CB6C67" w:rsidRPr="002926D7" w:rsidRDefault="00CB6C67" w:rsidP="002926D7">
      <w:pPr>
        <w:rPr>
          <w:szCs w:val="20"/>
        </w:rPr>
      </w:pPr>
    </w:p>
    <w:p w14:paraId="5249314E" w14:textId="47069CD9" w:rsidR="00804EBB" w:rsidRPr="002926D7" w:rsidRDefault="00804EBB" w:rsidP="002926D7">
      <w:pPr>
        <w:rPr>
          <w:rFonts w:cstheme="minorBidi"/>
          <w:b/>
          <w:bCs/>
          <w:i/>
          <w:iCs/>
        </w:rPr>
      </w:pPr>
      <w:bookmarkStart w:id="72" w:name="_Hlk101795134"/>
      <w:bookmarkEnd w:id="66"/>
      <w:bookmarkEnd w:id="68"/>
      <w:r w:rsidRPr="002926D7">
        <w:rPr>
          <w:rFonts w:cstheme="minorBidi"/>
          <w:b/>
          <w:bCs/>
          <w:i/>
          <w:iCs/>
        </w:rPr>
        <w:t xml:space="preserve">Output </w:t>
      </w:r>
      <w:r w:rsidR="00A62CAC" w:rsidRPr="002926D7">
        <w:rPr>
          <w:rFonts w:cstheme="minorBidi"/>
          <w:b/>
          <w:bCs/>
          <w:i/>
          <w:iCs/>
        </w:rPr>
        <w:t>2</w:t>
      </w:r>
      <w:r w:rsidRPr="002926D7">
        <w:rPr>
          <w:rFonts w:cstheme="minorBidi"/>
          <w:b/>
          <w:bCs/>
          <w:i/>
          <w:iCs/>
        </w:rPr>
        <w:t>.1</w:t>
      </w:r>
      <w:r w:rsidR="008C1F99" w:rsidRPr="002926D7">
        <w:rPr>
          <w:rFonts w:cstheme="minorBidi"/>
          <w:b/>
          <w:bCs/>
          <w:i/>
          <w:iCs/>
        </w:rPr>
        <w:t>.1</w:t>
      </w:r>
      <w:r w:rsidRPr="002926D7">
        <w:rPr>
          <w:rFonts w:cstheme="minorBidi"/>
          <w:b/>
          <w:bCs/>
          <w:i/>
          <w:iCs/>
        </w:rPr>
        <w:t xml:space="preserve">. </w:t>
      </w:r>
      <w:r w:rsidR="005076C7" w:rsidRPr="002926D7">
        <w:rPr>
          <w:rFonts w:cstheme="minorBidi"/>
          <w:b/>
          <w:bCs/>
          <w:i/>
          <w:iCs/>
        </w:rPr>
        <w:t>Capacities of CSOs/CBOs strengthened for implementation of landscape-seascape strategies</w:t>
      </w:r>
      <w:bookmarkStart w:id="73" w:name="_Hlk168063263"/>
      <w:r w:rsidR="002938C8" w:rsidRPr="002926D7">
        <w:rPr>
          <w:rFonts w:cstheme="minorBidi"/>
          <w:b/>
          <w:bCs/>
          <w:i/>
          <w:iCs/>
        </w:rPr>
        <w:t>, for grant-supporting activities</w:t>
      </w:r>
      <w:bookmarkEnd w:id="73"/>
    </w:p>
    <w:p w14:paraId="4DEF7EF1" w14:textId="77777777" w:rsidR="008C1F99" w:rsidRPr="002926D7" w:rsidRDefault="008C1F99" w:rsidP="002926D7">
      <w:pPr>
        <w:rPr>
          <w:szCs w:val="20"/>
        </w:rPr>
      </w:pPr>
    </w:p>
    <w:bookmarkEnd w:id="72"/>
    <w:p w14:paraId="10D0308B" w14:textId="4C2558D1" w:rsidR="0021751A" w:rsidRPr="002926D7" w:rsidRDefault="00B82402" w:rsidP="002926D7">
      <w:pPr>
        <w:numPr>
          <w:ilvl w:val="0"/>
          <w:numId w:val="8"/>
        </w:numPr>
        <w:ind w:left="0" w:firstLine="0"/>
      </w:pPr>
      <w:r w:rsidRPr="002926D7">
        <w:lastRenderedPageBreak/>
        <w:t>Output 2.1.1 is focused on strengthening capacities of CSOs/CBOs, developing skills for preparing grant proposals, improved financial management, introduction of innovative technologies and approaches, and building partnerships that will help enable broader access to market, improved quality, etc. Partnerships will be facilitated with government agencies, private sector enterprises and associations, and the donor community.</w:t>
      </w:r>
      <w:r w:rsidR="0021751A" w:rsidRPr="002926D7">
        <w:rPr>
          <w:rFonts w:eastAsia="Calibri" w:cs="Calibri"/>
          <w:szCs w:val="20"/>
        </w:rPr>
        <w:t xml:space="preserve"> </w:t>
      </w:r>
      <w:bookmarkStart w:id="74" w:name="_Hlk168063291"/>
      <w:r w:rsidR="002938C8" w:rsidRPr="002926D7">
        <w:rPr>
          <w:rFonts w:eastAsia="Calibri" w:cs="Calibri"/>
          <w:szCs w:val="20"/>
        </w:rPr>
        <w:t>The technical assistance delivered under this output will support the grant-making activities in the other Component 2 outputs, building grantee capacities to intensify local community agency in pursuit of global environmental impacts and sustainability contributing to creation of programmatic cohesion, internal coherence, and leveraging results at local levels. Additionally, essential travel will be supported for first-time, remote and/or socially marginalized grantees, delivering capacity development activities to ensure broader adoption and sustainability, e.g., through CSO-government policy dialogue, peer-to-peer exchanges and inclusivity efforts for gender responsiveness and youth empowerment.</w:t>
      </w:r>
      <w:bookmarkEnd w:id="74"/>
    </w:p>
    <w:p w14:paraId="1E33CFFF" w14:textId="0FAA6AAF" w:rsidR="00804EBB" w:rsidRPr="002926D7" w:rsidRDefault="00804EBB" w:rsidP="002926D7">
      <w:pPr>
        <w:rPr>
          <w:rFonts w:asciiTheme="minorHAnsi" w:hAnsiTheme="minorHAnsi" w:cstheme="minorHAnsi"/>
          <w:szCs w:val="20"/>
        </w:rPr>
      </w:pPr>
    </w:p>
    <w:p w14:paraId="44BF2834" w14:textId="168DE238" w:rsidR="00804EBB" w:rsidRPr="002926D7" w:rsidRDefault="00804EBB" w:rsidP="002926D7">
      <w:pPr>
        <w:pStyle w:val="Table"/>
        <w:ind w:left="0" w:right="180"/>
        <w:rPr>
          <w:rFonts w:asciiTheme="minorHAnsi" w:hAnsiTheme="minorHAnsi" w:cstheme="minorHAnsi"/>
          <w:b/>
          <w:bCs/>
          <w:i/>
          <w:iCs/>
        </w:rPr>
      </w:pPr>
      <w:bookmarkStart w:id="75" w:name="_Hlk101795190"/>
      <w:r w:rsidRPr="002926D7">
        <w:rPr>
          <w:rFonts w:asciiTheme="minorHAnsi" w:hAnsiTheme="minorHAnsi" w:cstheme="minorHAnsi"/>
          <w:b/>
          <w:bCs/>
          <w:i/>
          <w:iCs/>
        </w:rPr>
        <w:t xml:space="preserve">Output </w:t>
      </w:r>
      <w:r w:rsidR="001E6D0B" w:rsidRPr="002926D7">
        <w:rPr>
          <w:rFonts w:asciiTheme="minorHAnsi" w:hAnsiTheme="minorHAnsi" w:cstheme="minorHAnsi"/>
          <w:b/>
          <w:bCs/>
          <w:i/>
          <w:iCs/>
        </w:rPr>
        <w:t>2</w:t>
      </w:r>
      <w:r w:rsidRPr="002926D7">
        <w:rPr>
          <w:rFonts w:asciiTheme="minorHAnsi" w:hAnsiTheme="minorHAnsi" w:cstheme="minorHAnsi"/>
          <w:b/>
          <w:bCs/>
          <w:i/>
          <w:iCs/>
        </w:rPr>
        <w:t>.</w:t>
      </w:r>
      <w:r w:rsidR="008C1F99" w:rsidRPr="002926D7">
        <w:rPr>
          <w:rFonts w:asciiTheme="minorHAnsi" w:hAnsiTheme="minorHAnsi" w:cstheme="minorHAnsi"/>
          <w:b/>
          <w:bCs/>
          <w:i/>
          <w:iCs/>
        </w:rPr>
        <w:t>1.</w:t>
      </w:r>
      <w:r w:rsidRPr="002926D7">
        <w:rPr>
          <w:rFonts w:asciiTheme="minorHAnsi" w:hAnsiTheme="minorHAnsi" w:cstheme="minorHAnsi"/>
          <w:b/>
          <w:bCs/>
          <w:i/>
          <w:iCs/>
        </w:rPr>
        <w:t xml:space="preserve">2. </w:t>
      </w:r>
      <w:r w:rsidR="005076C7" w:rsidRPr="002926D7">
        <w:rPr>
          <w:rFonts w:asciiTheme="minorHAnsi" w:hAnsiTheme="minorHAnsi" w:cstheme="minorHAnsi"/>
          <w:b/>
          <w:bCs/>
          <w:i/>
          <w:iCs/>
        </w:rPr>
        <w:t>Community level initiatives designed, financed, implemented, monitored and evaluated, under the following Strategic priorities: (i) community- based management of threatened ecosystems and species, (ii)  sustainable agriculture and fisheries, and food security, (iii)  low-carbon energy access and co-benefits, (iv)  local to global coalitions for chemicals and waste management, (v) sustainable solutions in targeted urban landscapes</w:t>
      </w:r>
      <w:r w:rsidR="008C1F99" w:rsidRPr="002926D7">
        <w:rPr>
          <w:rFonts w:asciiTheme="minorHAnsi" w:hAnsiTheme="minorHAnsi" w:cstheme="minorHAnsi"/>
          <w:b/>
          <w:bCs/>
          <w:i/>
          <w:iCs/>
        </w:rPr>
        <w:t xml:space="preserve">  </w:t>
      </w:r>
    </w:p>
    <w:p w14:paraId="74762010" w14:textId="77777777" w:rsidR="00804EBB" w:rsidRPr="002926D7" w:rsidRDefault="00804EBB" w:rsidP="002926D7">
      <w:pPr>
        <w:rPr>
          <w:rFonts w:asciiTheme="minorHAnsi" w:hAnsiTheme="minorHAnsi" w:cstheme="minorHAnsi"/>
          <w:szCs w:val="20"/>
        </w:rPr>
      </w:pPr>
    </w:p>
    <w:p w14:paraId="20425DD9" w14:textId="5F29DC25" w:rsidR="0021751A" w:rsidRPr="002926D7" w:rsidRDefault="005A68BD" w:rsidP="002926D7">
      <w:pPr>
        <w:numPr>
          <w:ilvl w:val="0"/>
          <w:numId w:val="8"/>
        </w:numPr>
        <w:ind w:left="0" w:firstLine="0"/>
        <w:rPr>
          <w:rFonts w:asciiTheme="minorHAnsi" w:hAnsiTheme="minorHAnsi" w:cstheme="minorHAnsi"/>
          <w:szCs w:val="20"/>
        </w:rPr>
      </w:pPr>
      <w:r w:rsidRPr="002926D7">
        <w:t>The bulk of the grant funding will be delivered under Output 2.1.2. In accordance with the priority actions identified in the CPS</w:t>
      </w:r>
      <w:r w:rsidR="00740BE9" w:rsidRPr="002926D7">
        <w:t xml:space="preserve">s </w:t>
      </w:r>
      <w:r w:rsidRPr="002926D7">
        <w:t>developed under Component 1 and building upon the capacities strengthened under Output 2.1.1, local CSOs/CBOs will develop grant proposals focused on one or more of the following strategic priorities: (i) community- based management of threatened ecosystems and species, (ii)  sustainable agriculture and fisheries, and food security, (iii)  low-carbon energy access and co-benefits, (iv)  local to global coalitions for chemicals and waste management, (v) sustainable solutions in targeted urban landscapes. SGP National Coordinators will review the proposals and provide strategic guidance to the CSOs/CBOs, and the NSC’s will then review and approve the successful applications.</w:t>
      </w:r>
      <w:r w:rsidR="00CE3C4D" w:rsidRPr="002926D7">
        <w:t xml:space="preserve"> </w:t>
      </w:r>
      <w:bookmarkStart w:id="76" w:name="_Hlk168063326"/>
      <w:r w:rsidR="00CE3C4D" w:rsidRPr="002926D7">
        <w:rPr>
          <w:rFonts w:eastAsia="Calibri" w:cs="Calibri"/>
          <w:color w:val="000000" w:themeColor="text1"/>
          <w:szCs w:val="20"/>
        </w:rPr>
        <w:t>Preparation grants will also be available for refining the objective and strategic approach of the proposed initiatives.</w:t>
      </w:r>
      <w:bookmarkEnd w:id="76"/>
      <w:r w:rsidR="00CE3C4D" w:rsidRPr="002926D7">
        <w:rPr>
          <w:rFonts w:asciiTheme="minorHAnsi" w:hAnsiTheme="minorHAnsi" w:cstheme="minorHAnsi"/>
          <w:szCs w:val="20"/>
        </w:rPr>
        <w:t xml:space="preserve"> </w:t>
      </w:r>
      <w:r w:rsidRPr="002926D7">
        <w:t>Partnerships, including value chain opportunities, initiated under Output 2.1,1 will be further operationalized through direct collaboration and co-financing of the interventions, contributing to the objectives of the landscape-seascape strategies and enhancing the livelihoods and well-being of the local communities</w:t>
      </w:r>
      <w:r w:rsidR="0021751A" w:rsidRPr="002926D7">
        <w:rPr>
          <w:rFonts w:eastAsia="Calibri" w:cs="Calibri"/>
          <w:szCs w:val="20"/>
        </w:rPr>
        <w:t>.</w:t>
      </w:r>
      <w:r w:rsidR="00083534" w:rsidRPr="002926D7">
        <w:rPr>
          <w:rFonts w:eastAsia="Calibri" w:cs="Calibri"/>
          <w:szCs w:val="20"/>
        </w:rPr>
        <w:t xml:space="preserve"> Opportunities to enhance the uptake of digital innovation will be actively supported.</w:t>
      </w:r>
    </w:p>
    <w:p w14:paraId="501734C0" w14:textId="77777777" w:rsidR="00D06E70" w:rsidRPr="002926D7" w:rsidRDefault="00D06E70" w:rsidP="002926D7">
      <w:pPr>
        <w:rPr>
          <w:rFonts w:eastAsia="FangSong" w:cs="Calibri"/>
          <w:lang w:eastAsia="zh-CN"/>
        </w:rPr>
      </w:pPr>
    </w:p>
    <w:p w14:paraId="1447DDC7" w14:textId="63381EE1" w:rsidR="008C1F99" w:rsidRPr="002926D7" w:rsidRDefault="008C1F99" w:rsidP="002926D7">
      <w:pPr>
        <w:rPr>
          <w:rFonts w:cstheme="minorHAnsi"/>
          <w:b/>
          <w:bCs/>
          <w:i/>
          <w:iCs/>
          <w:szCs w:val="20"/>
        </w:rPr>
      </w:pPr>
      <w:bookmarkStart w:id="77" w:name="_Hlk131938698"/>
      <w:bookmarkEnd w:id="69"/>
      <w:bookmarkEnd w:id="75"/>
      <w:r w:rsidRPr="002926D7">
        <w:rPr>
          <w:rFonts w:cstheme="minorHAnsi"/>
          <w:b/>
          <w:bCs/>
          <w:i/>
          <w:iCs/>
          <w:szCs w:val="20"/>
        </w:rPr>
        <w:t xml:space="preserve">Output 2.1.3. </w:t>
      </w:r>
      <w:r w:rsidR="00D06E70" w:rsidRPr="002926D7">
        <w:rPr>
          <w:rFonts w:cstheme="minorHAnsi"/>
          <w:b/>
          <w:bCs/>
          <w:i/>
          <w:iCs/>
          <w:szCs w:val="20"/>
        </w:rPr>
        <w:t>Focused interventions for advancement of gender equality and women’s empowerment objectives</w:t>
      </w:r>
      <w:r w:rsidRPr="002926D7">
        <w:rPr>
          <w:rFonts w:cstheme="minorHAnsi"/>
          <w:b/>
          <w:bCs/>
          <w:i/>
          <w:iCs/>
          <w:szCs w:val="20"/>
        </w:rPr>
        <w:t xml:space="preserve">  </w:t>
      </w:r>
    </w:p>
    <w:p w14:paraId="2413D537" w14:textId="77777777" w:rsidR="008C1F99" w:rsidRPr="002926D7" w:rsidRDefault="008C1F99" w:rsidP="002926D7">
      <w:pPr>
        <w:rPr>
          <w:rFonts w:cstheme="minorHAnsi"/>
          <w:szCs w:val="20"/>
        </w:rPr>
      </w:pPr>
    </w:p>
    <w:p w14:paraId="0DF6FE82" w14:textId="771AA949" w:rsidR="0021751A" w:rsidRPr="002926D7" w:rsidRDefault="009F7FC2" w:rsidP="002926D7">
      <w:pPr>
        <w:numPr>
          <w:ilvl w:val="0"/>
          <w:numId w:val="8"/>
        </w:numPr>
        <w:ind w:left="0" w:firstLine="0"/>
        <w:rPr>
          <w:rFonts w:eastAsia="FangSong" w:cs="Calibri"/>
          <w:szCs w:val="20"/>
          <w:lang w:eastAsia="zh-CN"/>
        </w:rPr>
      </w:pPr>
      <w:r w:rsidRPr="002926D7">
        <w:t>Under Output 2.1.3, the SGP country programmes will facilitate focused grant interventions that advance gender equality and women’s empowerment objectives. Women’s groups and CSOs/CBOs that promote gender mainstreaming will be encouraged and capacitated to develop grant proposals and implement the interventions</w:t>
      </w:r>
      <w:r w:rsidR="0021751A" w:rsidRPr="002926D7">
        <w:rPr>
          <w:rFonts w:eastAsia="Calibri" w:cs="Calibri"/>
          <w:szCs w:val="20"/>
        </w:rPr>
        <w:t>.</w:t>
      </w:r>
    </w:p>
    <w:p w14:paraId="7927D91F" w14:textId="77777777" w:rsidR="0021751A" w:rsidRPr="002926D7" w:rsidRDefault="0021751A" w:rsidP="002926D7">
      <w:pPr>
        <w:rPr>
          <w:rFonts w:eastAsia="FangSong" w:cs="Calibri"/>
          <w:szCs w:val="20"/>
          <w:lang w:eastAsia="zh-CN"/>
        </w:rPr>
      </w:pPr>
    </w:p>
    <w:p w14:paraId="72E28DBC" w14:textId="09617DF9" w:rsidR="008C1F99" w:rsidRPr="002926D7" w:rsidRDefault="6E2FCBA8" w:rsidP="002926D7">
      <w:pPr>
        <w:rPr>
          <w:rFonts w:cstheme="minorBidi"/>
          <w:b/>
          <w:bCs/>
          <w:i/>
          <w:iCs/>
        </w:rPr>
      </w:pPr>
      <w:bookmarkStart w:id="78" w:name="_Hlk131938920"/>
      <w:bookmarkEnd w:id="77"/>
      <w:r w:rsidRPr="002926D7">
        <w:rPr>
          <w:rFonts w:cstheme="minorBidi"/>
          <w:b/>
          <w:bCs/>
          <w:i/>
          <w:iCs/>
        </w:rPr>
        <w:t xml:space="preserve">Output 2.1.4. </w:t>
      </w:r>
      <w:r w:rsidR="00D06E70" w:rsidRPr="002926D7">
        <w:rPr>
          <w:rFonts w:cstheme="minorBidi"/>
          <w:b/>
          <w:bCs/>
          <w:i/>
          <w:iCs/>
        </w:rPr>
        <w:t xml:space="preserve">Focused interventions on leaving no one behind, including Indigenous Peoples, </w:t>
      </w:r>
      <w:r w:rsidR="009F7FC2" w:rsidRPr="002926D7">
        <w:rPr>
          <w:rFonts w:cstheme="minorBidi"/>
          <w:b/>
          <w:bCs/>
          <w:i/>
          <w:iCs/>
        </w:rPr>
        <w:t>y</w:t>
      </w:r>
      <w:r w:rsidR="00D06E70" w:rsidRPr="002926D7">
        <w:rPr>
          <w:rFonts w:cstheme="minorBidi"/>
          <w:b/>
          <w:bCs/>
          <w:i/>
          <w:iCs/>
        </w:rPr>
        <w:t xml:space="preserve">outh, </w:t>
      </w:r>
      <w:r w:rsidR="009F7FC2" w:rsidRPr="002926D7">
        <w:rPr>
          <w:rFonts w:cstheme="minorBidi"/>
          <w:b/>
          <w:bCs/>
          <w:i/>
          <w:iCs/>
        </w:rPr>
        <w:t>p</w:t>
      </w:r>
      <w:r w:rsidR="00D06E70" w:rsidRPr="002926D7">
        <w:rPr>
          <w:rFonts w:cstheme="minorBidi"/>
          <w:b/>
          <w:bCs/>
          <w:i/>
          <w:iCs/>
        </w:rPr>
        <w:t xml:space="preserve">ersons with </w:t>
      </w:r>
      <w:r w:rsidR="009F7FC2" w:rsidRPr="002926D7">
        <w:rPr>
          <w:rFonts w:cstheme="minorBidi"/>
          <w:b/>
          <w:bCs/>
          <w:i/>
          <w:iCs/>
        </w:rPr>
        <w:t>d</w:t>
      </w:r>
      <w:r w:rsidR="00D06E70" w:rsidRPr="002926D7">
        <w:rPr>
          <w:rFonts w:cstheme="minorBidi"/>
          <w:b/>
          <w:bCs/>
          <w:i/>
          <w:iCs/>
        </w:rPr>
        <w:t xml:space="preserve">isabilities  </w:t>
      </w:r>
    </w:p>
    <w:p w14:paraId="78644CD9" w14:textId="77777777" w:rsidR="008C1F99" w:rsidRPr="002926D7" w:rsidRDefault="008C1F99" w:rsidP="002926D7">
      <w:pPr>
        <w:rPr>
          <w:rFonts w:cstheme="minorBidi"/>
        </w:rPr>
      </w:pPr>
    </w:p>
    <w:p w14:paraId="010F0098" w14:textId="7506B0F2" w:rsidR="008C1F99" w:rsidRPr="002926D7" w:rsidRDefault="005A68BD" w:rsidP="002926D7">
      <w:pPr>
        <w:numPr>
          <w:ilvl w:val="0"/>
          <w:numId w:val="8"/>
        </w:numPr>
        <w:ind w:left="0" w:firstLine="0"/>
        <w:rPr>
          <w:rFonts w:eastAsia="FangSong" w:cs="Calibri"/>
          <w:lang w:eastAsia="zh-CN"/>
        </w:rPr>
      </w:pPr>
      <w:r w:rsidRPr="002926D7">
        <w:t>Similar to the focus on gender issues in Output 2.1.3, this output aims to facilitate focused interventions that are targeted on Indigenous Peoples, youth, persons with disabilities and other marginalized groups. The output will include fellowship opportunities to build the capacity of the target groups, in partnership with GEF agencies and the UN system. This is consistent with the SGP objectives and is aligned with the “leaving no one behind” principle under the United Nations 2030 Agenda for Sustainable Development. Having a dedicated output focused on these groups will help ensure social inclusion objectives are realized</w:t>
      </w:r>
      <w:r w:rsidR="006C1F18" w:rsidRPr="002926D7">
        <w:t>.</w:t>
      </w:r>
    </w:p>
    <w:p w14:paraId="50445F3E" w14:textId="77777777" w:rsidR="0021751A" w:rsidRPr="002926D7" w:rsidRDefault="0021751A" w:rsidP="002926D7">
      <w:pPr>
        <w:rPr>
          <w:rFonts w:eastAsia="FangSong" w:cs="Calibri"/>
          <w:szCs w:val="20"/>
          <w:lang w:eastAsia="zh-CN"/>
        </w:rPr>
      </w:pPr>
    </w:p>
    <w:p w14:paraId="1FF0AD07" w14:textId="5D561EC4" w:rsidR="004024E8" w:rsidRPr="002926D7" w:rsidRDefault="004024E8" w:rsidP="002926D7">
      <w:pPr>
        <w:rPr>
          <w:rFonts w:asciiTheme="minorHAnsi" w:hAnsiTheme="minorHAnsi" w:cstheme="minorHAnsi"/>
          <w:b/>
          <w:bCs/>
          <w:szCs w:val="20"/>
        </w:rPr>
      </w:pPr>
      <w:bookmarkStart w:id="79" w:name="_Hlk122089641"/>
      <w:bookmarkStart w:id="80" w:name="_Hlk131940212"/>
      <w:bookmarkEnd w:id="67"/>
      <w:bookmarkEnd w:id="78"/>
      <w:r w:rsidRPr="002926D7">
        <w:rPr>
          <w:rFonts w:asciiTheme="minorHAnsi" w:hAnsiTheme="minorHAnsi" w:cstheme="minorHAnsi"/>
          <w:b/>
          <w:bCs/>
          <w:szCs w:val="20"/>
        </w:rPr>
        <w:t xml:space="preserve">Component 3: </w:t>
      </w:r>
      <w:r w:rsidR="00D06E70" w:rsidRPr="002926D7">
        <w:rPr>
          <w:rFonts w:asciiTheme="minorHAnsi" w:hAnsiTheme="minorHAnsi" w:cstheme="minorHAnsi"/>
          <w:b/>
          <w:bCs/>
          <w:szCs w:val="20"/>
        </w:rPr>
        <w:t>Knowledge Management and Learning</w:t>
      </w:r>
    </w:p>
    <w:p w14:paraId="0543FA61" w14:textId="232A5231" w:rsidR="004024E8" w:rsidRPr="002926D7" w:rsidRDefault="004024E8" w:rsidP="002926D7">
      <w:pPr>
        <w:rPr>
          <w:szCs w:val="20"/>
        </w:rPr>
      </w:pPr>
    </w:p>
    <w:p w14:paraId="4F065F04" w14:textId="54DE77B6" w:rsidR="008C1F99" w:rsidRPr="002926D7" w:rsidRDefault="008C1F99" w:rsidP="002926D7">
      <w:pPr>
        <w:rPr>
          <w:rFonts w:cstheme="minorHAnsi"/>
          <w:b/>
          <w:bCs/>
          <w:szCs w:val="20"/>
        </w:rPr>
      </w:pPr>
      <w:bookmarkStart w:id="81" w:name="_Hlk121999009"/>
      <w:bookmarkEnd w:id="79"/>
      <w:r w:rsidRPr="002926D7">
        <w:rPr>
          <w:rFonts w:cstheme="minorHAnsi"/>
          <w:b/>
          <w:bCs/>
          <w:szCs w:val="20"/>
        </w:rPr>
        <w:t xml:space="preserve">Outcome 3.1: </w:t>
      </w:r>
      <w:r w:rsidR="00D06E70" w:rsidRPr="002926D7">
        <w:rPr>
          <w:rFonts w:cstheme="minorHAnsi"/>
          <w:b/>
          <w:bCs/>
          <w:szCs w:val="20"/>
        </w:rPr>
        <w:t>Sustainability and impact of community-led collective action enhanced through knowledge management and learning approaches across landscapes-seascapes and regions</w:t>
      </w:r>
    </w:p>
    <w:p w14:paraId="4277FE76" w14:textId="77777777" w:rsidR="008C1F99" w:rsidRPr="002926D7" w:rsidRDefault="008C1F99" w:rsidP="002926D7">
      <w:pPr>
        <w:rPr>
          <w:sz w:val="22"/>
          <w:szCs w:val="22"/>
        </w:rPr>
      </w:pPr>
    </w:p>
    <w:p w14:paraId="57F4E3A3" w14:textId="4ECB4C05" w:rsidR="0021751A" w:rsidRPr="002926D7" w:rsidRDefault="00083534" w:rsidP="002926D7">
      <w:pPr>
        <w:numPr>
          <w:ilvl w:val="0"/>
          <w:numId w:val="8"/>
        </w:numPr>
        <w:ind w:left="0" w:firstLine="0"/>
        <w:rPr>
          <w:rFonts w:asciiTheme="minorHAnsi" w:hAnsiTheme="minorHAnsi" w:cstheme="minorHAnsi"/>
          <w:szCs w:val="20"/>
        </w:rPr>
      </w:pPr>
      <w:bookmarkStart w:id="82" w:name="_Hlk129935744"/>
      <w:bookmarkStart w:id="83" w:name="_Hlk151374898"/>
      <w:bookmarkStart w:id="84" w:name="_Hlk134444948"/>
      <w:r w:rsidRPr="002926D7">
        <w:rPr>
          <w:rFonts w:eastAsia="Calibri" w:cs="Calibri"/>
          <w:color w:val="000000" w:themeColor="text1"/>
        </w:rPr>
        <w:lastRenderedPageBreak/>
        <w:t>To achieve</w:t>
      </w:r>
      <w:r w:rsidRPr="002926D7">
        <w:rPr>
          <w:rFonts w:eastAsia="Calibri" w:cs="Calibri"/>
          <w:b/>
          <w:bCs/>
          <w:color w:val="000000" w:themeColor="text1"/>
        </w:rPr>
        <w:t xml:space="preserve"> </w:t>
      </w:r>
      <w:r w:rsidRPr="002926D7">
        <w:rPr>
          <w:rFonts w:eastAsia="Calibri"/>
          <w:b/>
          <w:bCs/>
          <w:color w:val="000000" w:themeColor="text1"/>
        </w:rPr>
        <w:t xml:space="preserve">Outcome 3.1 Sustainability </w:t>
      </w:r>
      <w:r w:rsidRPr="002926D7">
        <w:rPr>
          <w:rFonts w:eastAsia="Calibri" w:cs="Calibri"/>
          <w:b/>
          <w:bCs/>
          <w:color w:val="000000" w:themeColor="text1"/>
        </w:rPr>
        <w:t xml:space="preserve">and impact </w:t>
      </w:r>
      <w:r w:rsidRPr="002926D7">
        <w:rPr>
          <w:rFonts w:eastAsia="Calibri"/>
          <w:b/>
          <w:bCs/>
          <w:color w:val="000000" w:themeColor="text1"/>
        </w:rPr>
        <w:t xml:space="preserve">of community-led collective action enhanced through knowledge </w:t>
      </w:r>
      <w:r w:rsidRPr="002926D7">
        <w:rPr>
          <w:rFonts w:eastAsia="Calibri" w:cs="Calibri"/>
          <w:b/>
          <w:bCs/>
          <w:color w:val="000000" w:themeColor="text1"/>
        </w:rPr>
        <w:t xml:space="preserve">management </w:t>
      </w:r>
      <w:r w:rsidRPr="002926D7">
        <w:rPr>
          <w:rFonts w:eastAsia="Calibri"/>
          <w:b/>
          <w:bCs/>
          <w:color w:val="000000" w:themeColor="text1"/>
        </w:rPr>
        <w:t>and learning</w:t>
      </w:r>
      <w:r w:rsidRPr="002926D7">
        <w:rPr>
          <w:rFonts w:eastAsia="Calibri" w:cs="Calibri"/>
          <w:b/>
          <w:bCs/>
          <w:color w:val="000000" w:themeColor="text1"/>
        </w:rPr>
        <w:t xml:space="preserve"> </w:t>
      </w:r>
      <w:bookmarkEnd w:id="82"/>
      <w:r w:rsidRPr="002926D7">
        <w:rPr>
          <w:rFonts w:eastAsia="Calibri" w:cs="Calibri"/>
          <w:b/>
          <w:bCs/>
          <w:color w:val="000000" w:themeColor="text1"/>
        </w:rPr>
        <w:t>approaches across landscapes-seascapes and regions, including South-South Cooperation,</w:t>
      </w:r>
      <w:r w:rsidRPr="002926D7">
        <w:rPr>
          <w:rFonts w:eastAsia="Calibri" w:cs="Calibri"/>
          <w:color w:val="000000" w:themeColor="text1"/>
        </w:rPr>
        <w:t xml:space="preserve"> local organizations will be empowered, mobilized and capacitated through technical assistance for generation of evidence-based knowledge and results, facilitation of learning-by-doing and peer-to-peer sharing across landscapes-seascapes and regions. SGP OP8-Part 1 will build the capacities of local CSOs/CBOs to implement their landscape-seascape strategy initiatives and achieve global environmental benefits, resilience enhancements and sustainable development benefits by engaging and supporting them in results-capture, analysis, design, implementation, and organizational management for collective action. The programme will support their systematic monitoring and evaluation, harness evidence from local action and support assessment of lessons and knowledge towards improved implementation and adaptive management, actively using new and affordable digital technologies such as earth observation, mobile-based data collection or sensor data. These steps will enhance the overall sustainability, scale and impact of community-led collection actions.  Local CSOs/CBOs will be supported to share their knowledge across landscapes-seascapes, and national, regional, and global networks through multi-stakeholder dialogues, learning exchanges and systematized technical assistance across the Programme. Local CSOs/CBOs will also be supported with increased awareness, and access to and adaptive use of open data, open source digital solutions, as relevant. This will support increased accountability of landscape-seascape management and enhanced effectiveness of their initiatives’ overall impacts through generation of evidential knowledge and lessons learned</w:t>
      </w:r>
      <w:r w:rsidR="0021751A" w:rsidRPr="002926D7">
        <w:rPr>
          <w:rFonts w:eastAsia="Calibri" w:cs="Calibri"/>
          <w:color w:val="000000" w:themeColor="text1"/>
          <w:szCs w:val="20"/>
        </w:rPr>
        <w:t>.</w:t>
      </w:r>
      <w:bookmarkEnd w:id="83"/>
    </w:p>
    <w:p w14:paraId="3973C013" w14:textId="77777777" w:rsidR="0021751A" w:rsidRPr="002926D7" w:rsidRDefault="0021751A" w:rsidP="002926D7">
      <w:pPr>
        <w:rPr>
          <w:rFonts w:asciiTheme="minorHAnsi" w:hAnsiTheme="minorHAnsi" w:cstheme="minorHAnsi"/>
          <w:szCs w:val="20"/>
        </w:rPr>
      </w:pPr>
    </w:p>
    <w:p w14:paraId="2DE3CC43" w14:textId="77777777" w:rsidR="0021751A" w:rsidRPr="002926D7" w:rsidRDefault="0021751A" w:rsidP="002926D7">
      <w:pPr>
        <w:numPr>
          <w:ilvl w:val="0"/>
          <w:numId w:val="8"/>
        </w:numPr>
        <w:ind w:left="0" w:firstLine="0"/>
        <w:rPr>
          <w:rFonts w:asciiTheme="minorHAnsi" w:hAnsiTheme="minorHAnsi" w:cstheme="minorHAnsi"/>
          <w:szCs w:val="20"/>
        </w:rPr>
      </w:pPr>
      <w:r w:rsidRPr="002926D7">
        <w:rPr>
          <w:rFonts w:eastAsia="Calibri" w:cs="Calibri"/>
          <w:color w:val="000000" w:themeColor="text1"/>
          <w:szCs w:val="20"/>
        </w:rPr>
        <w:t>Knowledge management and learning are integral parts of the SGP. The knowledge obtained from project experiences and lessons learned will be socialized through SGP’s national, regional and global networks of stakeholders and broaden the GEF SGP repository, and it will be used in upscaling successful initiatives. The increased capacity of community-level stakeholders to generate, access and use information and knowledge is expected to increase the sustainability of project activities beyond the life of the grant funding. Targeted knowledge management and communications activities will aim to share lessons and experiences and showcase results of gender mainstreaming, as well as inclusion of vulnerable and marginalized groups</w:t>
      </w:r>
      <w:bookmarkEnd w:id="84"/>
      <w:r w:rsidRPr="002926D7">
        <w:rPr>
          <w:rFonts w:eastAsia="Calibri" w:cs="Calibri"/>
          <w:color w:val="000000" w:themeColor="text1"/>
          <w:szCs w:val="20"/>
        </w:rPr>
        <w:t>.</w:t>
      </w:r>
    </w:p>
    <w:p w14:paraId="171FFF82" w14:textId="77777777" w:rsidR="0021751A" w:rsidRPr="002926D7" w:rsidRDefault="0021751A" w:rsidP="002926D7"/>
    <w:p w14:paraId="2D28A9F8" w14:textId="77EE47C9" w:rsidR="0021751A" w:rsidRPr="002926D7" w:rsidRDefault="0021751A" w:rsidP="002926D7">
      <w:pPr>
        <w:numPr>
          <w:ilvl w:val="0"/>
          <w:numId w:val="8"/>
        </w:numPr>
        <w:ind w:left="0" w:firstLine="0"/>
        <w:rPr>
          <w:rFonts w:asciiTheme="minorHAnsi" w:hAnsiTheme="minorHAnsi" w:cstheme="minorHAnsi"/>
          <w:szCs w:val="20"/>
        </w:rPr>
      </w:pPr>
      <w:r w:rsidRPr="002926D7">
        <w:rPr>
          <w:rFonts w:eastAsia="Calibri" w:cs="Calibri"/>
          <w:color w:val="000000" w:themeColor="text1"/>
          <w:szCs w:val="20"/>
        </w:rPr>
        <w:t xml:space="preserve">The </w:t>
      </w:r>
      <w:r w:rsidRPr="002926D7">
        <w:rPr>
          <w:rFonts w:eastAsia="Calibri" w:cs="Calibri"/>
          <w:b/>
          <w:bCs/>
          <w:color w:val="000000" w:themeColor="text1"/>
          <w:szCs w:val="20"/>
        </w:rPr>
        <w:t>outputs</w:t>
      </w:r>
      <w:r w:rsidRPr="002926D7">
        <w:rPr>
          <w:rFonts w:eastAsia="Calibri" w:cs="Calibri"/>
          <w:color w:val="000000" w:themeColor="text1"/>
          <w:szCs w:val="20"/>
        </w:rPr>
        <w:t xml:space="preserve"> leading to this knowledge and capacities outcome, include </w:t>
      </w:r>
      <w:r w:rsidRPr="002926D7">
        <w:rPr>
          <w:rFonts w:eastAsia="Calibri"/>
        </w:rPr>
        <w:t>3</w:t>
      </w:r>
      <w:r w:rsidRPr="002926D7">
        <w:rPr>
          <w:rFonts w:eastAsia="Calibri" w:cs="Calibri"/>
          <w:szCs w:val="20"/>
        </w:rPr>
        <w:t>.1</w:t>
      </w:r>
      <w:r w:rsidRPr="002926D7">
        <w:rPr>
          <w:rFonts w:eastAsia="Calibri"/>
        </w:rPr>
        <w:t>.1.</w:t>
      </w:r>
      <w:r w:rsidRPr="002926D7">
        <w:rPr>
          <w:rFonts w:eastAsia="Calibri" w:cs="Calibri"/>
          <w:szCs w:val="20"/>
        </w:rPr>
        <w:t xml:space="preserve"> Local</w:t>
      </w:r>
      <w:r w:rsidRPr="002926D7">
        <w:rPr>
          <w:rFonts w:eastAsia="Calibri"/>
        </w:rPr>
        <w:t xml:space="preserve"> knowledge and lessons learned shared widely and systematically integrated into design of new projects with active participation of CSOs/CBOs and local communities</w:t>
      </w:r>
      <w:r w:rsidRPr="002926D7">
        <w:rPr>
          <w:rFonts w:eastAsia="Calibri" w:cs="Calibri"/>
          <w:szCs w:val="20"/>
        </w:rPr>
        <w:t>. 3.1.2. Knowledge transfer and replication of appropriate technologies, tools, and approaches to address global environmental issues, including through South-South exchanges across countries; 3.1.3. Local organizations mobilized and strengthened through learning by doing and knowledge-exchanges supporting local, sub-national and national peer-to peer dialogue and stakeholder capacity development.</w:t>
      </w:r>
    </w:p>
    <w:p w14:paraId="59EA6E2E" w14:textId="77777777" w:rsidR="00D06E70" w:rsidRPr="002926D7" w:rsidRDefault="00D06E70" w:rsidP="002926D7">
      <w:pPr>
        <w:rPr>
          <w:rFonts w:asciiTheme="minorHAnsi" w:hAnsiTheme="minorHAnsi" w:cstheme="minorHAnsi"/>
          <w:szCs w:val="20"/>
        </w:rPr>
      </w:pPr>
    </w:p>
    <w:p w14:paraId="70F8070B" w14:textId="6EF47906" w:rsidR="008C1F99" w:rsidRPr="002926D7" w:rsidRDefault="008C1F99" w:rsidP="002926D7">
      <w:pPr>
        <w:rPr>
          <w:rFonts w:cstheme="minorHAnsi"/>
          <w:b/>
          <w:bCs/>
          <w:i/>
          <w:iCs/>
          <w:szCs w:val="20"/>
        </w:rPr>
      </w:pPr>
      <w:r w:rsidRPr="002926D7">
        <w:rPr>
          <w:rFonts w:cstheme="minorHAnsi"/>
          <w:b/>
          <w:bCs/>
          <w:i/>
          <w:iCs/>
          <w:szCs w:val="20"/>
        </w:rPr>
        <w:t xml:space="preserve">Output 3.1.1. </w:t>
      </w:r>
      <w:r w:rsidR="00D06E70" w:rsidRPr="002926D7">
        <w:rPr>
          <w:rFonts w:cstheme="minorHAnsi"/>
          <w:b/>
          <w:bCs/>
          <w:i/>
          <w:iCs/>
          <w:szCs w:val="20"/>
        </w:rPr>
        <w:t>Local knowledge and lessons learned shared widely and systematically integrated into design of new projects with active participation of CSOs/CBOs and local communities</w:t>
      </w:r>
    </w:p>
    <w:p w14:paraId="76333371" w14:textId="77777777" w:rsidR="008C1F99" w:rsidRPr="002926D7" w:rsidRDefault="008C1F99" w:rsidP="002926D7">
      <w:pPr>
        <w:rPr>
          <w:szCs w:val="20"/>
        </w:rPr>
      </w:pPr>
    </w:p>
    <w:p w14:paraId="498A74DE" w14:textId="21D66D06" w:rsidR="00282D83" w:rsidRPr="002926D7" w:rsidRDefault="00282D83" w:rsidP="002926D7">
      <w:pPr>
        <w:numPr>
          <w:ilvl w:val="0"/>
          <w:numId w:val="8"/>
        </w:numPr>
        <w:ind w:left="0" w:firstLine="0"/>
        <w:rPr>
          <w:rFonts w:asciiTheme="minorHAnsi" w:hAnsiTheme="minorHAnsi" w:cstheme="minorHAnsi"/>
          <w:szCs w:val="20"/>
        </w:rPr>
      </w:pPr>
      <w:r w:rsidRPr="002926D7">
        <w:rPr>
          <w:rFonts w:eastAsia="Calibri" w:cs="Calibri"/>
          <w:color w:val="000000" w:themeColor="text1"/>
          <w:szCs w:val="20"/>
        </w:rPr>
        <w:t>In OP8</w:t>
      </w:r>
      <w:r w:rsidR="009D4DD4" w:rsidRPr="002926D7">
        <w:rPr>
          <w:rFonts w:eastAsia="Calibri" w:cs="Calibri"/>
          <w:color w:val="000000" w:themeColor="text1"/>
          <w:szCs w:val="20"/>
        </w:rPr>
        <w:t>-Part 1</w:t>
      </w:r>
      <w:r w:rsidRPr="002926D7">
        <w:rPr>
          <w:rFonts w:eastAsia="Calibri" w:cs="Calibri"/>
          <w:color w:val="000000" w:themeColor="text1"/>
          <w:szCs w:val="20"/>
        </w:rPr>
        <w:t xml:space="preserve"> knowledge transfer, learning and uptake will continue to take place via established SGP KM systems at the global, country and project levels. The knowledge generated at the project, country and global levels will be harnessed, analysed and assessed, and learnings and best practices will be integrated into the design and implementation of SGP and local action initiatives</w:t>
      </w:r>
      <w:r w:rsidR="00C40EFD">
        <w:rPr>
          <w:rFonts w:eastAsia="Calibri" w:cs="Calibri"/>
          <w:color w:val="000000" w:themeColor="text1"/>
          <w:szCs w:val="20"/>
        </w:rPr>
        <w:t>, including the Equator Initative</w:t>
      </w:r>
      <w:r w:rsidRPr="002926D7">
        <w:rPr>
          <w:rFonts w:eastAsia="Calibri" w:cs="Calibri"/>
          <w:color w:val="000000" w:themeColor="text1"/>
          <w:szCs w:val="20"/>
        </w:rPr>
        <w:t>. This will also facilitate scale-up, replication and broader adoption of successful local action initiatives.</w:t>
      </w:r>
      <w:r w:rsidR="009D4DD4" w:rsidRPr="002926D7">
        <w:rPr>
          <w:rFonts w:eastAsia="Calibri" w:cs="Calibri"/>
          <w:color w:val="000000" w:themeColor="text1"/>
          <w:szCs w:val="20"/>
        </w:rPr>
        <w:t xml:space="preserve"> Knowledge management and communications will be closely coordinated with the communication units in the respective UNDP Country Offices.</w:t>
      </w:r>
    </w:p>
    <w:p w14:paraId="65A3547B" w14:textId="77777777" w:rsidR="00282D83" w:rsidRPr="002926D7" w:rsidRDefault="00282D83" w:rsidP="002926D7">
      <w:pPr>
        <w:rPr>
          <w:rFonts w:asciiTheme="minorHAnsi" w:hAnsiTheme="minorHAnsi" w:cstheme="minorHAnsi"/>
          <w:szCs w:val="20"/>
        </w:rPr>
      </w:pPr>
    </w:p>
    <w:p w14:paraId="4C821AFF" w14:textId="33869AB9" w:rsidR="00D06E70" w:rsidRPr="002926D7" w:rsidRDefault="00282D83" w:rsidP="002926D7">
      <w:pPr>
        <w:numPr>
          <w:ilvl w:val="0"/>
          <w:numId w:val="8"/>
        </w:numPr>
        <w:ind w:left="0" w:firstLine="0"/>
        <w:rPr>
          <w:rFonts w:asciiTheme="minorHAnsi" w:hAnsiTheme="minorHAnsi" w:cstheme="minorHAnsi"/>
          <w:szCs w:val="20"/>
        </w:rPr>
      </w:pPr>
      <w:r w:rsidRPr="002926D7">
        <w:rPr>
          <w:rFonts w:eastAsia="Calibri" w:cs="Calibri"/>
          <w:color w:val="000000" w:themeColor="text1"/>
          <w:szCs w:val="20"/>
        </w:rPr>
        <w:t xml:space="preserve">At the global level, SGP provides guidance on how to capture and disseminate knowledge and conduct knowledge exchange at the local level so that it can be aggregated at the global level; shares technical publications and provides guidance and training on focal area and strategic areas of work; organizes regional workshops to exchange knowledge and provide training to SGP staff; and shares good practices emerging from thematic portfolios at global conferences and events. SGP also establishes partnerships with a variety of partners to promote knowledge transfer and broader adoption of SGP innovations and learnings. At the country level, each SGP Country Programme works directly with the communities in capturing their results and lessons, conducting peer-to peer knowledge exchanges, organizing training and capacity building, establishing and nurturing networks of CSOs, NGOs and CBOs, and helping to scale up and replicate best practices and lessons learned with national partners including the </w:t>
      </w:r>
      <w:r w:rsidRPr="002926D7">
        <w:rPr>
          <w:rFonts w:eastAsia="Calibri" w:cs="Calibri"/>
          <w:color w:val="000000" w:themeColor="text1"/>
          <w:szCs w:val="20"/>
        </w:rPr>
        <w:lastRenderedPageBreak/>
        <w:t xml:space="preserve">government. Each country programme outlines a knowledge management and communication plan as part of their Country Programme Strategy for each Operational Phase. Country Programmes routinely produce knowledge materials in local languages, including project fact sheets, project videos, informational brochures, and case studies to disseminate at key national events, and conferences. Some of the specific activities carried out at the national level include knowledge fairs, stakeholder workshops, establishing </w:t>
      </w:r>
      <w:r w:rsidR="008842AC" w:rsidRPr="002926D7">
        <w:rPr>
          <w:rFonts w:eastAsia="Calibri" w:cs="Calibri"/>
          <w:color w:val="000000" w:themeColor="text1"/>
          <w:szCs w:val="20"/>
        </w:rPr>
        <w:t>centers</w:t>
      </w:r>
      <w:r w:rsidRPr="002926D7">
        <w:rPr>
          <w:rFonts w:eastAsia="Calibri" w:cs="Calibri"/>
          <w:color w:val="000000" w:themeColor="text1"/>
          <w:szCs w:val="20"/>
        </w:rPr>
        <w:t xml:space="preserve"> of excellence or demonstration sites and facilitating knowledge exchange with key national partners including government, development partners, other UN agencies and UNDP, developing how-to manuals, and leverage the NSC as knowledge brokers. At the project level, each project includes a knowledge management plan with a corresponding budget that allows the programme to capture their experience as well as to access the training needed to carry out the projects. Lessons learnt and best practices are also </w:t>
      </w:r>
      <w:r w:rsidR="008842AC" w:rsidRPr="002926D7">
        <w:rPr>
          <w:rFonts w:eastAsia="Calibri" w:cs="Calibri"/>
          <w:color w:val="000000" w:themeColor="text1"/>
          <w:szCs w:val="20"/>
        </w:rPr>
        <w:t>captured</w:t>
      </w:r>
      <w:r w:rsidRPr="002926D7">
        <w:rPr>
          <w:rFonts w:eastAsia="Calibri" w:cs="Calibri"/>
          <w:color w:val="000000" w:themeColor="text1"/>
          <w:szCs w:val="20"/>
        </w:rPr>
        <w:t xml:space="preserve"> via project reporting and evaluations. These are then harnessed and aggregated by the Country Programmes to generate SGP knowledge products.</w:t>
      </w:r>
    </w:p>
    <w:p w14:paraId="16C8EF78" w14:textId="77777777" w:rsidR="00D06E70" w:rsidRPr="002926D7" w:rsidRDefault="00D06E70" w:rsidP="002926D7"/>
    <w:p w14:paraId="16D69BC4" w14:textId="3A1B78BD" w:rsidR="008C1F99" w:rsidRPr="002926D7" w:rsidRDefault="008C1F99" w:rsidP="002926D7">
      <w:pPr>
        <w:rPr>
          <w:rFonts w:cstheme="minorHAnsi"/>
          <w:b/>
          <w:bCs/>
          <w:i/>
          <w:iCs/>
          <w:szCs w:val="20"/>
        </w:rPr>
      </w:pPr>
      <w:r w:rsidRPr="002926D7">
        <w:rPr>
          <w:rFonts w:cstheme="minorHAnsi"/>
          <w:b/>
          <w:bCs/>
          <w:i/>
          <w:iCs/>
          <w:szCs w:val="20"/>
        </w:rPr>
        <w:t xml:space="preserve">Output 3.1.2. </w:t>
      </w:r>
      <w:r w:rsidR="00D06E70" w:rsidRPr="002926D7">
        <w:rPr>
          <w:rFonts w:cstheme="minorHAnsi"/>
          <w:b/>
          <w:bCs/>
          <w:i/>
          <w:iCs/>
          <w:szCs w:val="20"/>
        </w:rPr>
        <w:t>Knowledge transfer and replication of appropriate technologies, tools, and approaches on global environmental issues, including through South-South exchanges across countries</w:t>
      </w:r>
      <w:r w:rsidRPr="002926D7">
        <w:rPr>
          <w:rFonts w:cstheme="minorHAnsi"/>
          <w:b/>
          <w:bCs/>
          <w:i/>
          <w:iCs/>
          <w:szCs w:val="20"/>
        </w:rPr>
        <w:t xml:space="preserve">  </w:t>
      </w:r>
    </w:p>
    <w:p w14:paraId="42226AAC" w14:textId="77777777" w:rsidR="008C1F99" w:rsidRPr="002926D7" w:rsidRDefault="008C1F99" w:rsidP="002926D7">
      <w:pPr>
        <w:rPr>
          <w:rFonts w:cstheme="minorHAnsi"/>
          <w:szCs w:val="20"/>
        </w:rPr>
      </w:pPr>
    </w:p>
    <w:p w14:paraId="30236810" w14:textId="3FFECC51" w:rsidR="00D06E70" w:rsidRPr="002926D7" w:rsidRDefault="00282D83" w:rsidP="002926D7">
      <w:pPr>
        <w:numPr>
          <w:ilvl w:val="0"/>
          <w:numId w:val="8"/>
        </w:numPr>
        <w:ind w:left="0" w:firstLine="0"/>
        <w:rPr>
          <w:rFonts w:eastAsia="FangSong" w:cs="Calibri"/>
          <w:szCs w:val="20"/>
          <w:lang w:eastAsia="zh-CN"/>
        </w:rPr>
      </w:pPr>
      <w:r w:rsidRPr="002926D7">
        <w:rPr>
          <w:szCs w:val="20"/>
        </w:rPr>
        <w:t>In OP8 there will be an increased focus on knowledge transfer and South-South exchanges</w:t>
      </w:r>
      <w:r w:rsidRPr="002926D7">
        <w:rPr>
          <w:rFonts w:eastAsia="Calibri" w:cs="Calibri"/>
          <w:color w:val="000000" w:themeColor="text1"/>
          <w:szCs w:val="20"/>
        </w:rPr>
        <w:t xml:space="preserve"> with enhanced focus on regional and inter- regional exchanges. These exchanges will support local actors and communities in mobilizing and taking advantage of development solutions and technical expertise available in the global South. Learning opportunities and technology transfer from peer countries will be further explored during OP8 implementation. This complements current SGP grant-making results, as the South-South initiative will support the scaling up of innovations and practices developed by SGP grantees, as well as other CSOs at the regional level. SGP experiences from OP6 and OP7 South-South exchanges will enhance the implementation of exchanges in OP8. SGP will also further strengthen the relations with other partners and UN agencies as appropriate, including the UN Office for South-South Cooperation and the UNDP South-South Exchange Platforms. This will facilitate the scale-up, replication and sustainability of SGP interventions.</w:t>
      </w:r>
    </w:p>
    <w:p w14:paraId="6A9673A7" w14:textId="77777777" w:rsidR="00D06E70" w:rsidRPr="002926D7" w:rsidRDefault="00D06E70" w:rsidP="002926D7">
      <w:pPr>
        <w:rPr>
          <w:rFonts w:eastAsia="FangSong" w:cs="Calibri"/>
          <w:szCs w:val="20"/>
          <w:lang w:eastAsia="zh-CN"/>
        </w:rPr>
      </w:pPr>
    </w:p>
    <w:p w14:paraId="154AF8A5" w14:textId="3A3B1B2E" w:rsidR="008C1F99" w:rsidRPr="002926D7" w:rsidRDefault="008C1F99" w:rsidP="002926D7">
      <w:pPr>
        <w:rPr>
          <w:rFonts w:cstheme="minorHAnsi"/>
          <w:b/>
          <w:bCs/>
          <w:i/>
          <w:iCs/>
          <w:szCs w:val="20"/>
        </w:rPr>
      </w:pPr>
      <w:r w:rsidRPr="002926D7">
        <w:rPr>
          <w:rFonts w:cstheme="minorHAnsi"/>
          <w:b/>
          <w:bCs/>
          <w:i/>
          <w:iCs/>
          <w:szCs w:val="20"/>
        </w:rPr>
        <w:t xml:space="preserve">Output 3.1.3. </w:t>
      </w:r>
      <w:r w:rsidR="00D06E70" w:rsidRPr="002926D7">
        <w:rPr>
          <w:rFonts w:cstheme="minorHAnsi"/>
          <w:b/>
          <w:bCs/>
          <w:i/>
          <w:iCs/>
          <w:szCs w:val="20"/>
        </w:rPr>
        <w:t>Local organizations mobilized and strengthened through learning by doing and knowledge-exchanges supporting local, sub-national and national peer-to peer dialogue and stakeholder capacity development</w:t>
      </w:r>
    </w:p>
    <w:p w14:paraId="78319539" w14:textId="77777777" w:rsidR="008C1F99" w:rsidRPr="002926D7" w:rsidRDefault="008C1F99" w:rsidP="002926D7">
      <w:pPr>
        <w:rPr>
          <w:rFonts w:cstheme="minorHAnsi"/>
          <w:szCs w:val="20"/>
        </w:rPr>
      </w:pPr>
    </w:p>
    <w:p w14:paraId="1E678F65" w14:textId="2D9D673D" w:rsidR="008009C9" w:rsidRPr="002926D7" w:rsidRDefault="00282D83" w:rsidP="002926D7">
      <w:pPr>
        <w:numPr>
          <w:ilvl w:val="0"/>
          <w:numId w:val="8"/>
        </w:numPr>
        <w:ind w:left="0" w:firstLine="0"/>
        <w:rPr>
          <w:rFonts w:eastAsia="FangSong" w:cs="Calibri"/>
          <w:lang w:eastAsia="zh-CN"/>
        </w:rPr>
      </w:pPr>
      <w:r w:rsidRPr="002926D7">
        <w:rPr>
          <w:rFonts w:eastAsia="Calibri" w:cs="Calibri"/>
          <w:color w:val="000000" w:themeColor="text1"/>
          <w:szCs w:val="20"/>
        </w:rPr>
        <w:t>In OP8 SGP will further utilize CSO-Government-Private Sector Policy and Planning Dialogue Platforms as key knowledge sharing and up-take platforms- to share SGP knowledge with a range of national stakeholders including CSOs, local communities and Indigenous Peoples, government, development practitioners, donor community, private sector and academia. There will be greater focus on strategically communicating community learnings and experiences via these platforms to key partners to inform decision making, influence policy and share SGP best practices and learnings. These platforms will also help to connect local actors to government partners, private sector, CSOs NGOs, academia and other key partners, thereby building and strengthening relationships among these stakeholders</w:t>
      </w:r>
      <w:r w:rsidR="006D4EDE" w:rsidRPr="002926D7">
        <w:rPr>
          <w:rFonts w:eastAsia="Calibri" w:cs="Calibri"/>
          <w:color w:val="000000" w:themeColor="text1"/>
          <w:szCs w:val="20"/>
        </w:rPr>
        <w:t xml:space="preserve"> </w:t>
      </w:r>
      <w:r w:rsidR="006D4EDE" w:rsidRPr="002926D7">
        <w:rPr>
          <w:rFonts w:eastAsia="Calibri"/>
        </w:rPr>
        <w:t>and facilitating capacity development opportunities, including for women and socially marginalized groups</w:t>
      </w:r>
      <w:r w:rsidRPr="002926D7">
        <w:rPr>
          <w:rFonts w:eastAsia="Calibri" w:cs="Calibri"/>
          <w:color w:val="000000" w:themeColor="text1"/>
          <w:szCs w:val="20"/>
        </w:rPr>
        <w:t>.</w:t>
      </w:r>
    </w:p>
    <w:bookmarkEnd w:id="61"/>
    <w:p w14:paraId="7C2C82B3" w14:textId="77777777" w:rsidR="00D43ACF" w:rsidRPr="002926D7" w:rsidRDefault="00D43ACF" w:rsidP="002926D7">
      <w:pPr>
        <w:rPr>
          <w:rFonts w:eastAsia="FangSong" w:cs="Calibri"/>
          <w:szCs w:val="20"/>
          <w:lang w:eastAsia="zh-CN"/>
        </w:rPr>
      </w:pPr>
    </w:p>
    <w:bookmarkEnd w:id="80"/>
    <w:bookmarkEnd w:id="81"/>
    <w:p w14:paraId="6EA99B81" w14:textId="6E20B3C7" w:rsidR="00B469AB" w:rsidRPr="002926D7" w:rsidRDefault="00A91A62" w:rsidP="002926D7">
      <w:pPr>
        <w:jc w:val="left"/>
        <w:rPr>
          <w:b/>
          <w:bCs/>
          <w:iCs/>
          <w:szCs w:val="20"/>
        </w:rPr>
      </w:pPr>
      <w:r w:rsidRPr="002926D7">
        <w:rPr>
          <w:b/>
          <w:bCs/>
          <w:szCs w:val="20"/>
          <w:u w:val="single"/>
        </w:rPr>
        <w:t>P</w:t>
      </w:r>
      <w:r w:rsidR="00C644BD" w:rsidRPr="002926D7">
        <w:rPr>
          <w:b/>
          <w:bCs/>
          <w:szCs w:val="20"/>
          <w:u w:val="single"/>
        </w:rPr>
        <w:t>artnerships</w:t>
      </w:r>
      <w:r w:rsidR="00C644BD" w:rsidRPr="002926D7">
        <w:rPr>
          <w:b/>
          <w:bCs/>
          <w:szCs w:val="20"/>
        </w:rPr>
        <w:t>:</w:t>
      </w:r>
    </w:p>
    <w:p w14:paraId="12FCB173" w14:textId="77777777" w:rsidR="001F024F" w:rsidRPr="002926D7" w:rsidRDefault="001F024F" w:rsidP="002926D7"/>
    <w:p w14:paraId="4E990A29" w14:textId="19B6680A" w:rsidR="5C36F6E6" w:rsidRPr="002926D7" w:rsidRDefault="5C36F6E6" w:rsidP="002926D7">
      <w:pPr>
        <w:numPr>
          <w:ilvl w:val="0"/>
          <w:numId w:val="8"/>
        </w:numPr>
        <w:ind w:left="0" w:firstLine="0"/>
        <w:rPr>
          <w:rFonts w:asciiTheme="minorHAnsi" w:hAnsiTheme="minorHAnsi" w:cstheme="minorBidi"/>
        </w:rPr>
      </w:pPr>
      <w:bookmarkStart w:id="85" w:name="_Hlk89353357"/>
      <w:bookmarkStart w:id="86" w:name="_Hlk71020923"/>
      <w:bookmarkStart w:id="87" w:name="_Hlk47270323"/>
      <w:r w:rsidRPr="002926D7">
        <w:rPr>
          <w:rFonts w:asciiTheme="minorHAnsi" w:hAnsiTheme="minorHAnsi" w:cstheme="minorBidi"/>
        </w:rPr>
        <w:t>Contributions from the project’s co-financing partners are described below</w:t>
      </w:r>
      <w:r w:rsidR="58B8D092" w:rsidRPr="002926D7">
        <w:rPr>
          <w:rFonts w:asciiTheme="minorHAnsi" w:hAnsiTheme="minorHAnsi" w:cstheme="minorBidi"/>
        </w:rPr>
        <w:t>.</w:t>
      </w:r>
    </w:p>
    <w:p w14:paraId="587D2458" w14:textId="400D4C1A" w:rsidR="6F35BD26" w:rsidRPr="002926D7" w:rsidRDefault="6F35BD26" w:rsidP="002926D7">
      <w:pPr>
        <w:rPr>
          <w:rFonts w:asciiTheme="minorHAnsi" w:hAnsiTheme="minorHAnsi" w:cstheme="minorBidi"/>
        </w:rPr>
      </w:pPr>
    </w:p>
    <w:tbl>
      <w:tblPr>
        <w:tblStyle w:val="TableGrid"/>
        <w:tblW w:w="0" w:type="auto"/>
        <w:jc w:val="center"/>
        <w:tblLayout w:type="fixed"/>
        <w:tblLook w:val="06A0" w:firstRow="1" w:lastRow="0" w:firstColumn="1" w:lastColumn="0" w:noHBand="1" w:noVBand="1"/>
      </w:tblPr>
      <w:tblGrid>
        <w:gridCol w:w="3991"/>
        <w:gridCol w:w="1348"/>
        <w:gridCol w:w="1506"/>
        <w:gridCol w:w="1085"/>
        <w:gridCol w:w="1085"/>
      </w:tblGrid>
      <w:tr w:rsidR="6F35BD26" w:rsidRPr="002926D7" w14:paraId="34B4AD24" w14:textId="77777777" w:rsidTr="0021751A">
        <w:trPr>
          <w:trHeight w:val="585"/>
          <w:tblHeader/>
          <w:jc w:val="center"/>
        </w:trPr>
        <w:tc>
          <w:tcPr>
            <w:tcW w:w="3991" w:type="dxa"/>
            <w:shd w:val="clear" w:color="auto" w:fill="FFFFFF" w:themeFill="background1"/>
            <w:tcMar>
              <w:top w:w="15" w:type="dxa"/>
              <w:left w:w="15" w:type="dxa"/>
              <w:right w:w="15" w:type="dxa"/>
            </w:tcMar>
            <w:vAlign w:val="center"/>
          </w:tcPr>
          <w:p w14:paraId="422319E5" w14:textId="5639443E" w:rsidR="6F35BD26" w:rsidRPr="002926D7" w:rsidRDefault="6F35BD26" w:rsidP="002926D7">
            <w:pPr>
              <w:jc w:val="center"/>
              <w:rPr>
                <w:rFonts w:eastAsia="Calibri" w:cs="Calibri"/>
                <w:b/>
                <w:bCs/>
                <w:color w:val="000000" w:themeColor="text1"/>
                <w:szCs w:val="20"/>
              </w:rPr>
            </w:pPr>
            <w:r w:rsidRPr="002926D7">
              <w:rPr>
                <w:rFonts w:eastAsia="Calibri" w:cs="Calibri"/>
                <w:b/>
                <w:bCs/>
                <w:color w:val="000000" w:themeColor="text1"/>
                <w:szCs w:val="20"/>
              </w:rPr>
              <w:t>Name of Co-Financier</w:t>
            </w:r>
          </w:p>
        </w:tc>
        <w:tc>
          <w:tcPr>
            <w:tcW w:w="1348" w:type="dxa"/>
            <w:shd w:val="clear" w:color="auto" w:fill="FFFFFF" w:themeFill="background1"/>
            <w:tcMar>
              <w:top w:w="15" w:type="dxa"/>
              <w:left w:w="15" w:type="dxa"/>
              <w:right w:w="15" w:type="dxa"/>
            </w:tcMar>
            <w:vAlign w:val="center"/>
          </w:tcPr>
          <w:p w14:paraId="426CCED3" w14:textId="77A931E0" w:rsidR="6F35BD26" w:rsidRPr="002926D7" w:rsidRDefault="6F35BD26" w:rsidP="002926D7">
            <w:pPr>
              <w:jc w:val="center"/>
              <w:rPr>
                <w:rFonts w:eastAsia="Calibri" w:cs="Calibri"/>
                <w:b/>
                <w:bCs/>
                <w:color w:val="000000" w:themeColor="text1"/>
                <w:szCs w:val="20"/>
              </w:rPr>
            </w:pPr>
            <w:r w:rsidRPr="002926D7">
              <w:rPr>
                <w:rFonts w:eastAsia="Calibri" w:cs="Calibri"/>
                <w:b/>
                <w:bCs/>
                <w:color w:val="000000" w:themeColor="text1"/>
                <w:szCs w:val="20"/>
              </w:rPr>
              <w:t>Type of Co-Financing</w:t>
            </w:r>
          </w:p>
        </w:tc>
        <w:tc>
          <w:tcPr>
            <w:tcW w:w="1506" w:type="dxa"/>
            <w:shd w:val="clear" w:color="auto" w:fill="FFFFFF" w:themeFill="background1"/>
            <w:tcMar>
              <w:top w:w="15" w:type="dxa"/>
              <w:left w:w="15" w:type="dxa"/>
              <w:right w:w="15" w:type="dxa"/>
            </w:tcMar>
            <w:vAlign w:val="center"/>
          </w:tcPr>
          <w:p w14:paraId="3F1DE68A" w14:textId="5FC4BDAA" w:rsidR="6F35BD26" w:rsidRPr="002926D7" w:rsidRDefault="6F35BD26" w:rsidP="002926D7">
            <w:pPr>
              <w:jc w:val="center"/>
              <w:rPr>
                <w:rFonts w:eastAsia="Calibri" w:cs="Calibri"/>
                <w:b/>
                <w:bCs/>
                <w:color w:val="000000" w:themeColor="text1"/>
                <w:szCs w:val="20"/>
              </w:rPr>
            </w:pPr>
            <w:r w:rsidRPr="002926D7">
              <w:rPr>
                <w:rFonts w:eastAsia="Calibri" w:cs="Calibri"/>
                <w:b/>
                <w:bCs/>
                <w:color w:val="000000" w:themeColor="text1"/>
                <w:szCs w:val="20"/>
              </w:rPr>
              <w:t>Co-financing amount (USD</w:t>
            </w:r>
          </w:p>
        </w:tc>
        <w:tc>
          <w:tcPr>
            <w:tcW w:w="1085" w:type="dxa"/>
            <w:shd w:val="clear" w:color="auto" w:fill="FFFFFF" w:themeFill="background1"/>
            <w:tcMar>
              <w:top w:w="15" w:type="dxa"/>
              <w:left w:w="15" w:type="dxa"/>
              <w:right w:w="15" w:type="dxa"/>
            </w:tcMar>
            <w:vAlign w:val="center"/>
          </w:tcPr>
          <w:p w14:paraId="43135ACE" w14:textId="49D118D5" w:rsidR="6F35BD26" w:rsidRPr="002926D7" w:rsidRDefault="6F35BD26" w:rsidP="002926D7">
            <w:pPr>
              <w:jc w:val="center"/>
              <w:rPr>
                <w:rFonts w:eastAsia="Calibri" w:cs="Calibri"/>
                <w:b/>
                <w:bCs/>
                <w:color w:val="000000" w:themeColor="text1"/>
                <w:szCs w:val="20"/>
              </w:rPr>
            </w:pPr>
            <w:r w:rsidRPr="002926D7">
              <w:rPr>
                <w:rFonts w:eastAsia="Calibri" w:cs="Calibri"/>
                <w:b/>
                <w:bCs/>
                <w:color w:val="000000" w:themeColor="text1"/>
                <w:szCs w:val="20"/>
              </w:rPr>
              <w:t>Included in project results</w:t>
            </w:r>
          </w:p>
        </w:tc>
        <w:tc>
          <w:tcPr>
            <w:tcW w:w="1085" w:type="dxa"/>
            <w:shd w:val="clear" w:color="auto" w:fill="FFFFFF" w:themeFill="background1"/>
            <w:tcMar>
              <w:top w:w="15" w:type="dxa"/>
              <w:left w:w="15" w:type="dxa"/>
              <w:right w:w="15" w:type="dxa"/>
            </w:tcMar>
            <w:vAlign w:val="center"/>
          </w:tcPr>
          <w:p w14:paraId="79758F98" w14:textId="77962A4A" w:rsidR="6F35BD26" w:rsidRPr="002926D7" w:rsidRDefault="6F35BD26" w:rsidP="002926D7">
            <w:pPr>
              <w:jc w:val="center"/>
              <w:rPr>
                <w:rFonts w:eastAsia="Calibri" w:cs="Calibri"/>
                <w:b/>
                <w:bCs/>
                <w:color w:val="000000" w:themeColor="text1"/>
                <w:szCs w:val="20"/>
              </w:rPr>
            </w:pPr>
            <w:r w:rsidRPr="002926D7">
              <w:rPr>
                <w:rFonts w:eastAsia="Calibri" w:cs="Calibri"/>
                <w:b/>
                <w:bCs/>
                <w:color w:val="000000" w:themeColor="text1"/>
                <w:szCs w:val="20"/>
              </w:rPr>
              <w:t>If yes, list the relevant outputs</w:t>
            </w:r>
          </w:p>
        </w:tc>
      </w:tr>
      <w:tr w:rsidR="6F35BD26" w:rsidRPr="002926D7" w14:paraId="2BDA48F8" w14:textId="77777777" w:rsidTr="0021751A">
        <w:trPr>
          <w:trHeight w:val="345"/>
          <w:jc w:val="center"/>
        </w:trPr>
        <w:tc>
          <w:tcPr>
            <w:tcW w:w="3991" w:type="dxa"/>
            <w:shd w:val="clear" w:color="auto" w:fill="FFFFFF" w:themeFill="background1"/>
            <w:tcMar>
              <w:top w:w="15" w:type="dxa"/>
              <w:left w:w="15" w:type="dxa"/>
              <w:right w:w="15" w:type="dxa"/>
            </w:tcMar>
            <w:vAlign w:val="center"/>
          </w:tcPr>
          <w:p w14:paraId="58469BEF" w14:textId="6A0264EF" w:rsidR="6F35BD26" w:rsidRPr="002926D7" w:rsidRDefault="6F35BD26" w:rsidP="002926D7">
            <w:pPr>
              <w:ind w:left="70"/>
              <w:jc w:val="left"/>
              <w:rPr>
                <w:rFonts w:eastAsia="Calibri" w:cs="Calibri"/>
                <w:color w:val="000000" w:themeColor="text1"/>
                <w:szCs w:val="20"/>
              </w:rPr>
            </w:pPr>
            <w:r w:rsidRPr="002926D7">
              <w:rPr>
                <w:rFonts w:eastAsia="Calibri" w:cs="Calibri"/>
                <w:color w:val="000000" w:themeColor="text1"/>
                <w:szCs w:val="20"/>
              </w:rPr>
              <w:t>UNDP</w:t>
            </w:r>
          </w:p>
        </w:tc>
        <w:tc>
          <w:tcPr>
            <w:tcW w:w="1348" w:type="dxa"/>
            <w:shd w:val="clear" w:color="auto" w:fill="FFFFFF" w:themeFill="background1"/>
            <w:tcMar>
              <w:top w:w="15" w:type="dxa"/>
              <w:left w:w="15" w:type="dxa"/>
              <w:right w:w="15" w:type="dxa"/>
            </w:tcMar>
            <w:vAlign w:val="center"/>
          </w:tcPr>
          <w:p w14:paraId="70776D5F" w14:textId="04458A3F" w:rsidR="6F35BD26" w:rsidRPr="002926D7" w:rsidRDefault="00BF3905" w:rsidP="002926D7">
            <w:pPr>
              <w:jc w:val="center"/>
              <w:rPr>
                <w:rFonts w:eastAsia="Calibri" w:cs="Calibri"/>
                <w:color w:val="000000" w:themeColor="text1"/>
                <w:szCs w:val="20"/>
              </w:rPr>
            </w:pPr>
            <w:r w:rsidRPr="002926D7">
              <w:rPr>
                <w:rFonts w:eastAsia="Calibri" w:cs="Calibri"/>
                <w:color w:val="000000" w:themeColor="text1"/>
                <w:szCs w:val="20"/>
              </w:rPr>
              <w:t>Grant</w:t>
            </w:r>
          </w:p>
        </w:tc>
        <w:tc>
          <w:tcPr>
            <w:tcW w:w="1506" w:type="dxa"/>
            <w:shd w:val="clear" w:color="auto" w:fill="FFFFFF" w:themeFill="background1"/>
            <w:tcMar>
              <w:top w:w="15" w:type="dxa"/>
              <w:left w:w="15" w:type="dxa"/>
              <w:right w:w="15" w:type="dxa"/>
            </w:tcMar>
            <w:vAlign w:val="center"/>
          </w:tcPr>
          <w:p w14:paraId="382D3CD4" w14:textId="5833A1C4" w:rsidR="6F35BD26" w:rsidRPr="002926D7" w:rsidRDefault="00BF3905" w:rsidP="002926D7">
            <w:pPr>
              <w:jc w:val="center"/>
              <w:rPr>
                <w:rFonts w:eastAsia="Calibri" w:cs="Calibri"/>
                <w:color w:val="000000" w:themeColor="text1"/>
                <w:szCs w:val="20"/>
              </w:rPr>
            </w:pPr>
            <w:r w:rsidRPr="002926D7">
              <w:rPr>
                <w:rFonts w:eastAsia="Calibri" w:cs="Calibri"/>
                <w:color w:val="000000" w:themeColor="text1"/>
                <w:szCs w:val="20"/>
              </w:rPr>
              <w:t>3</w:t>
            </w:r>
            <w:r w:rsidR="00B945B7" w:rsidRPr="002926D7">
              <w:rPr>
                <w:rFonts w:eastAsia="Calibri" w:cs="Calibri"/>
                <w:color w:val="000000" w:themeColor="text1"/>
                <w:szCs w:val="20"/>
              </w:rPr>
              <w:t>5</w:t>
            </w:r>
            <w:r w:rsidRPr="002926D7">
              <w:rPr>
                <w:rFonts w:eastAsia="Calibri" w:cs="Calibri"/>
                <w:color w:val="000000" w:themeColor="text1"/>
                <w:szCs w:val="20"/>
              </w:rPr>
              <w:t>,000,000</w:t>
            </w:r>
          </w:p>
        </w:tc>
        <w:tc>
          <w:tcPr>
            <w:tcW w:w="1085" w:type="dxa"/>
            <w:tcMar>
              <w:top w:w="15" w:type="dxa"/>
              <w:left w:w="15" w:type="dxa"/>
              <w:right w:w="15" w:type="dxa"/>
            </w:tcMar>
            <w:vAlign w:val="center"/>
          </w:tcPr>
          <w:p w14:paraId="3F46486E" w14:textId="7107BA30" w:rsidR="6F35BD26" w:rsidRPr="002926D7" w:rsidRDefault="6F35BD26" w:rsidP="002926D7">
            <w:pPr>
              <w:jc w:val="center"/>
              <w:rPr>
                <w:rFonts w:eastAsia="Calibri" w:cs="Calibri"/>
                <w:color w:val="000000" w:themeColor="text1"/>
                <w:szCs w:val="20"/>
              </w:rPr>
            </w:pPr>
            <w:r w:rsidRPr="002926D7">
              <w:rPr>
                <w:rFonts w:eastAsia="Calibri" w:cs="Calibri"/>
                <w:color w:val="000000" w:themeColor="text1"/>
                <w:szCs w:val="20"/>
              </w:rPr>
              <w:t>No</w:t>
            </w:r>
          </w:p>
        </w:tc>
        <w:tc>
          <w:tcPr>
            <w:tcW w:w="1085" w:type="dxa"/>
            <w:tcMar>
              <w:top w:w="15" w:type="dxa"/>
              <w:left w:w="15" w:type="dxa"/>
              <w:right w:w="15" w:type="dxa"/>
            </w:tcMar>
            <w:vAlign w:val="center"/>
          </w:tcPr>
          <w:p w14:paraId="3AB92643" w14:textId="4CA62F02" w:rsidR="6F35BD26" w:rsidRPr="002926D7" w:rsidRDefault="6F35BD26" w:rsidP="002926D7">
            <w:pPr>
              <w:jc w:val="center"/>
              <w:rPr>
                <w:rFonts w:eastAsia="Calibri" w:cs="Calibri"/>
                <w:color w:val="000000" w:themeColor="text1"/>
                <w:szCs w:val="20"/>
              </w:rPr>
            </w:pPr>
            <w:r w:rsidRPr="002926D7">
              <w:rPr>
                <w:rFonts w:eastAsia="Calibri" w:cs="Calibri"/>
                <w:color w:val="000000" w:themeColor="text1"/>
                <w:szCs w:val="20"/>
              </w:rPr>
              <w:t>N/A</w:t>
            </w:r>
          </w:p>
        </w:tc>
      </w:tr>
    </w:tbl>
    <w:p w14:paraId="0AFD146D" w14:textId="77777777" w:rsidR="001472E8" w:rsidRPr="002926D7" w:rsidRDefault="001472E8" w:rsidP="002926D7">
      <w:pPr>
        <w:rPr>
          <w:rFonts w:asciiTheme="minorHAnsi" w:hAnsiTheme="minorHAnsi" w:cstheme="minorHAnsi"/>
          <w:szCs w:val="20"/>
        </w:rPr>
      </w:pPr>
    </w:p>
    <w:bookmarkEnd w:id="85"/>
    <w:bookmarkEnd w:id="86"/>
    <w:p w14:paraId="3C63FF78" w14:textId="634C7E46" w:rsidR="0021751A" w:rsidRPr="002926D7" w:rsidRDefault="0021751A" w:rsidP="002926D7">
      <w:pPr>
        <w:rPr>
          <w:b/>
          <w:i/>
          <w:szCs w:val="20"/>
        </w:rPr>
      </w:pPr>
      <w:r w:rsidRPr="002926D7">
        <w:rPr>
          <w:b/>
          <w:i/>
          <w:szCs w:val="20"/>
        </w:rPr>
        <w:t>Coordination and Cooperation with Ongoing Initiatives and Projects</w:t>
      </w:r>
    </w:p>
    <w:p w14:paraId="59999F1B" w14:textId="77777777" w:rsidR="00780982" w:rsidRPr="002926D7" w:rsidRDefault="00780982" w:rsidP="002926D7">
      <w:pPr>
        <w:rPr>
          <w:szCs w:val="20"/>
        </w:rPr>
      </w:pPr>
    </w:p>
    <w:p w14:paraId="4A42C6F6" w14:textId="5B9450B3" w:rsidR="0021751A" w:rsidRPr="002926D7" w:rsidRDefault="0021751A" w:rsidP="002926D7">
      <w:pPr>
        <w:numPr>
          <w:ilvl w:val="0"/>
          <w:numId w:val="8"/>
        </w:numPr>
        <w:ind w:left="0" w:firstLine="0"/>
        <w:rPr>
          <w:szCs w:val="20"/>
        </w:rPr>
      </w:pPr>
      <w:bookmarkStart w:id="88" w:name="_Hlk135384933"/>
      <w:bookmarkStart w:id="89" w:name="_Hlk153963151"/>
      <w:r w:rsidRPr="002926D7">
        <w:rPr>
          <w:rFonts w:asciiTheme="minorHAnsi" w:hAnsiTheme="minorHAnsi" w:cstheme="minorHAnsi"/>
          <w:szCs w:val="20"/>
        </w:rPr>
        <w:t>Cooperation with ongoing initiatives and projects include but are not limited to the following:</w:t>
      </w:r>
    </w:p>
    <w:p w14:paraId="7ED7A79A" w14:textId="77777777" w:rsidR="0021751A" w:rsidRPr="002926D7" w:rsidRDefault="0021751A" w:rsidP="002926D7">
      <w:pPr>
        <w:pStyle w:val="ListParagraph"/>
        <w:numPr>
          <w:ilvl w:val="0"/>
          <w:numId w:val="23"/>
        </w:numPr>
        <w:tabs>
          <w:tab w:val="left" w:pos="0"/>
        </w:tabs>
        <w:spacing w:before="120"/>
        <w:rPr>
          <w:rFonts w:eastAsia="Calibri" w:cs="Calibri"/>
          <w:color w:val="000000" w:themeColor="text1"/>
          <w:szCs w:val="20"/>
        </w:rPr>
      </w:pPr>
      <w:r w:rsidRPr="002926D7">
        <w:rPr>
          <w:rFonts w:eastAsia="Calibri" w:cs="Calibri"/>
          <w:b/>
          <w:bCs/>
          <w:color w:val="000000" w:themeColor="text1"/>
          <w:szCs w:val="20"/>
        </w:rPr>
        <w:lastRenderedPageBreak/>
        <w:t>Multi-stakeholder arrangements will be coordinated at global, regional and local levels</w:t>
      </w:r>
      <w:r w:rsidRPr="002926D7">
        <w:rPr>
          <w:rFonts w:eastAsia="Calibri" w:cs="Calibri"/>
          <w:color w:val="000000" w:themeColor="text1"/>
          <w:szCs w:val="20"/>
        </w:rPr>
        <w:t>. SGP has significant experience in working as a delivery mechanism both for GEF and non GEF projects particularly on community-focused components at country, regional and global levels. SGP will build on successful initiatives geared towards facilitating multiple stakeholder collaboration as demonstrated under the GEF-7 FSPs and Impact Programs, including Global Wildlife Management, Sustainable Land/Forest Management, and others. The GEF-8 Integrated Programs offer additional opportunities for cooperation, e.g., the focus on nature-based solutions in the Blue and Green Islands Integrated Program is closely aligned with SGP initiatives in Small Island Developing States (SIDS).</w:t>
      </w:r>
    </w:p>
    <w:p w14:paraId="3245AFCA" w14:textId="010AD5F3" w:rsidR="0021751A" w:rsidRPr="002926D7" w:rsidRDefault="008920C1" w:rsidP="002926D7">
      <w:pPr>
        <w:pStyle w:val="ListParagraph"/>
        <w:numPr>
          <w:ilvl w:val="0"/>
          <w:numId w:val="23"/>
        </w:numPr>
        <w:tabs>
          <w:tab w:val="left" w:pos="0"/>
        </w:tabs>
        <w:spacing w:before="120"/>
        <w:rPr>
          <w:rFonts w:eastAsia="Calibri"/>
          <w:color w:val="000000" w:themeColor="text1"/>
        </w:rPr>
      </w:pPr>
      <w:r w:rsidRPr="002926D7">
        <w:rPr>
          <w:rFonts w:eastAsia="Calibri" w:cs="Calibri"/>
          <w:b/>
          <w:bCs/>
          <w:color w:val="000000" w:themeColor="text1"/>
          <w:szCs w:val="20"/>
        </w:rPr>
        <w:t xml:space="preserve">Close coordination, at global, regional and local levels with the two new SGP agencies will be carried out with the aim of ensuring programmatic coherence and integrated impact as well as scale and risk mitigation. </w:t>
      </w:r>
      <w:r w:rsidRPr="002926D7">
        <w:rPr>
          <w:rFonts w:eastAsia="Calibri" w:cs="Calibri"/>
          <w:color w:val="000000" w:themeColor="text1"/>
          <w:szCs w:val="20"/>
        </w:rPr>
        <w:t xml:space="preserve">These include transfer of knowledge through South-South Cooperation, policy impact and influence through CSO-government dialogues and other scaling up activities among the SGP GEF Agencies. Another potential opportunity could be collaborative results monitoring and evaluation among the SGP GEF agencies, providing programme level reporting, assessing grassroots level impact and ensuring grantee-level sustainability through proactive and coordinated scaling up of successes. </w:t>
      </w:r>
      <w:r w:rsidRPr="002926D7">
        <w:rPr>
          <w:rFonts w:ascii="Segoe UI" w:hAnsi="Segoe UI" w:cs="Segoe UI"/>
          <w:sz w:val="18"/>
          <w:szCs w:val="18"/>
        </w:rPr>
        <w:t>Coordination frameworks amongst the three agencies will be clarified during the implementation phase of SGP OP8. A common approach on results management, knowledge management and communications will support in systematic capacitation of civil society organization, optimally harnessing avenues for scaling up and replication, and generation of quality data and evidence as "one SGP programme</w:t>
      </w:r>
      <w:r w:rsidR="0021751A" w:rsidRPr="002926D7">
        <w:rPr>
          <w:rFonts w:eastAsia="Calibri" w:cs="Calibri"/>
          <w:szCs w:val="20"/>
        </w:rPr>
        <w:t>.</w:t>
      </w:r>
    </w:p>
    <w:p w14:paraId="5527571C" w14:textId="77777777" w:rsidR="0021751A" w:rsidRDefault="0021751A" w:rsidP="002926D7">
      <w:pPr>
        <w:pStyle w:val="ListParagraph"/>
        <w:numPr>
          <w:ilvl w:val="0"/>
          <w:numId w:val="23"/>
        </w:numPr>
        <w:tabs>
          <w:tab w:val="left" w:pos="0"/>
        </w:tabs>
        <w:spacing w:before="120"/>
        <w:rPr>
          <w:rFonts w:eastAsia="Calibri" w:cs="Calibri"/>
          <w:color w:val="000000" w:themeColor="text1"/>
          <w:szCs w:val="20"/>
        </w:rPr>
      </w:pPr>
      <w:bookmarkStart w:id="90" w:name="_Hlk134440300"/>
      <w:r w:rsidRPr="002926D7">
        <w:rPr>
          <w:rFonts w:eastAsia="Calibri" w:cs="Calibri"/>
          <w:b/>
          <w:bCs/>
          <w:color w:val="000000" w:themeColor="text1"/>
          <w:szCs w:val="20"/>
        </w:rPr>
        <w:t>Potential cooperation with MEAs and tentative linkages with the Global Biodiversity Framework Fund (GBFF).</w:t>
      </w:r>
      <w:bookmarkEnd w:id="90"/>
      <w:r w:rsidRPr="002926D7">
        <w:rPr>
          <w:rFonts w:eastAsia="Calibri" w:cs="Calibri"/>
          <w:color w:val="000000" w:themeColor="text1"/>
          <w:szCs w:val="20"/>
        </w:rPr>
        <w:t xml:space="preserve"> The country programme strategies and landscape-seascape strategies in relevant countries will be aligned with relevant MEAs, e.g., alignment with specific priority actions in National Biodiversity Strategies and Action Plans (NBSAPs), Land Degradation National Target Setting Programmes, climate change mitigation in the agriculture, forestry and other land use (AFOLU) sector, etc. The sustainability of the landscape-seascape strategies (and country programme strategies) largely depends on durable partnerships and opportunities for additional financing. The GBFF may provide opportunities for replication and upscaling of results achieved under OP8 in alignment with the Kunming-Montreal Global Biodiversity Framework.</w:t>
      </w:r>
    </w:p>
    <w:p w14:paraId="6489F4E3" w14:textId="704F9477" w:rsidR="00B86928" w:rsidRPr="002926D7" w:rsidRDefault="00B86928" w:rsidP="002926D7">
      <w:pPr>
        <w:pStyle w:val="ListParagraph"/>
        <w:numPr>
          <w:ilvl w:val="0"/>
          <w:numId w:val="23"/>
        </w:numPr>
        <w:tabs>
          <w:tab w:val="left" w:pos="0"/>
        </w:tabs>
        <w:spacing w:before="120"/>
        <w:rPr>
          <w:rFonts w:eastAsia="Calibri" w:cs="Calibri"/>
          <w:color w:val="000000" w:themeColor="text1"/>
          <w:szCs w:val="20"/>
        </w:rPr>
      </w:pPr>
      <w:r w:rsidRPr="0075036B">
        <w:rPr>
          <w:rFonts w:asciiTheme="minorHAnsi" w:eastAsia="Calibri" w:hAnsiTheme="minorHAnsi" w:cstheme="minorHAnsi"/>
          <w:b/>
          <w:bCs/>
          <w:color w:val="000000" w:themeColor="text1"/>
          <w:szCs w:val="22"/>
        </w:rPr>
        <w:t>Contributions to the UNDP Nature Pledge and Climate Promise</w:t>
      </w:r>
      <w:r>
        <w:rPr>
          <w:rFonts w:asciiTheme="minorHAnsi" w:eastAsia="Calibri" w:hAnsiTheme="minorHAnsi" w:cstheme="minorHAnsi"/>
          <w:color w:val="000000" w:themeColor="text1"/>
          <w:szCs w:val="22"/>
        </w:rPr>
        <w:t>. The results achieved under the SGP represent important contributions to the UNDP Nature Pledge, a commitment to provide accelerated and upscaled support to over 140 countries to reach their ambitious targets in the historic Global Biodiversity Framework, and the UNDP Climate Promise, which is focused on over 120 countries and territories to reduce their greenhouse gas emissions and meet the challenges associated with climate change.</w:t>
      </w:r>
    </w:p>
    <w:p w14:paraId="15E6A5DA" w14:textId="667943B5" w:rsidR="0021751A" w:rsidRPr="002926D7" w:rsidRDefault="0021751A" w:rsidP="002926D7">
      <w:pPr>
        <w:pStyle w:val="ListParagraph"/>
        <w:numPr>
          <w:ilvl w:val="0"/>
          <w:numId w:val="23"/>
        </w:numPr>
        <w:tabs>
          <w:tab w:val="left" w:pos="0"/>
        </w:tabs>
        <w:spacing w:before="120"/>
        <w:rPr>
          <w:rFonts w:eastAsia="Calibri" w:cs="Calibri"/>
          <w:color w:val="000000" w:themeColor="text1"/>
          <w:szCs w:val="20"/>
        </w:rPr>
      </w:pPr>
      <w:r w:rsidRPr="002926D7">
        <w:rPr>
          <w:rFonts w:eastAsia="Calibri"/>
        </w:rPr>
        <w:t xml:space="preserve">Coordination </w:t>
      </w:r>
      <w:r w:rsidRPr="002926D7">
        <w:rPr>
          <w:rFonts w:eastAsia="Calibri" w:cs="Calibri"/>
          <w:szCs w:val="20"/>
        </w:rPr>
        <w:t>frameworks will</w:t>
      </w:r>
      <w:r w:rsidRPr="002926D7">
        <w:rPr>
          <w:rFonts w:eastAsia="Calibri"/>
        </w:rPr>
        <w:t xml:space="preserve"> be </w:t>
      </w:r>
      <w:r w:rsidRPr="002926D7">
        <w:rPr>
          <w:rFonts w:eastAsia="Calibri" w:cs="Calibri"/>
          <w:szCs w:val="20"/>
        </w:rPr>
        <w:t>clarified during the implementation phase of SGP OP8, while keeping needed flexibility for adaptive management, synchronized results, and knowledge approach, building on investments in line with evaluation findings, a common communication approach in working with civil societies and sharing of quality data and evidence towards scale and cohesion.</w:t>
      </w:r>
    </w:p>
    <w:bookmarkEnd w:id="88"/>
    <w:p w14:paraId="32104A6C" w14:textId="77777777" w:rsidR="00F2377C" w:rsidRPr="002926D7" w:rsidRDefault="00F2377C" w:rsidP="002926D7"/>
    <w:p w14:paraId="1811F8AC" w14:textId="5FFA7704" w:rsidR="00F2377C" w:rsidRPr="002926D7" w:rsidRDefault="00F2377C" w:rsidP="002926D7">
      <w:pPr>
        <w:numPr>
          <w:ilvl w:val="0"/>
          <w:numId w:val="8"/>
        </w:numPr>
        <w:ind w:left="0" w:firstLine="0"/>
      </w:pPr>
      <w:r w:rsidRPr="002926D7">
        <w:rPr>
          <w:rFonts w:asciiTheme="minorHAnsi" w:hAnsiTheme="minorHAnsi" w:cstheme="minorBidi"/>
          <w:szCs w:val="20"/>
        </w:rPr>
        <w:t>Local-Action related partnerships</w:t>
      </w:r>
      <w:r w:rsidR="007D2E41" w:rsidRPr="002926D7">
        <w:rPr>
          <w:rFonts w:asciiTheme="minorHAnsi" w:hAnsiTheme="minorHAnsi" w:cstheme="minorBidi"/>
          <w:szCs w:val="20"/>
        </w:rPr>
        <w:t xml:space="preserve"> are summarized below</w:t>
      </w:r>
      <w:r w:rsidRPr="002926D7">
        <w:rPr>
          <w:rFonts w:asciiTheme="minorHAnsi" w:hAnsiTheme="minorHAnsi" w:cstheme="minorBidi"/>
          <w:szCs w:val="20"/>
        </w:rPr>
        <w:t>:</w:t>
      </w:r>
    </w:p>
    <w:p w14:paraId="2A198A88" w14:textId="3F1AF8FE" w:rsidR="00F2377C" w:rsidRPr="002926D7" w:rsidRDefault="00F2377C" w:rsidP="002926D7">
      <w:pPr>
        <w:pStyle w:val="ListParagraph"/>
        <w:numPr>
          <w:ilvl w:val="0"/>
          <w:numId w:val="28"/>
        </w:numPr>
        <w:spacing w:before="120"/>
        <w:rPr>
          <w:szCs w:val="20"/>
        </w:rPr>
      </w:pPr>
      <w:bookmarkStart w:id="91" w:name="_Hlk150783891"/>
      <w:r w:rsidRPr="002926D7">
        <w:rPr>
          <w:b/>
          <w:bCs/>
          <w:szCs w:val="20"/>
        </w:rPr>
        <w:t>Global Support Initiative for Indigenous Peoples and Community-Conserved Territories and Areas (ICCA GSI) Phase 2</w:t>
      </w:r>
      <w:r w:rsidRPr="002926D7">
        <w:rPr>
          <w:szCs w:val="20"/>
        </w:rPr>
        <w:t xml:space="preserve">. </w:t>
      </w:r>
      <w:r w:rsidR="008920C1" w:rsidRPr="002926D7">
        <w:t xml:space="preserve">The ICCA GSI Phase 1 (USD 15 million) launched in 2014 has been funded by the International Climate Initiative (IKI) of the German Federal Ministry of the Environment, Nature Conservation, Nuclear Safety and Consumer Protection (BMUV), and delivered by the GEF SGP, is a multi-partnership initiative implemented together with the Global ICCA Consortium, UNEP World Conservation Monitoring Centre (WCMC), and IUCN Global Protected Areas Programme (GPAP). An ICCA GSI Phase 1 top-up phase was launched in October 2020 with additional funding of USD 17.2 million as part of the BMUV’s IKI Corona Response Package. The programme has now expanded to 45 countries with a total of 645 projects being supported. Aligned to the ICCA-GSI Phase 1 objectives of increasing recognition and support to ICCAs and contributing to the CBD Aichi Targets, ICCA-GSI tranche two (Covid top-up response) has supported Indigenous Peoples and local communities to cope with and recover from the socioeconomic impacts of </w:t>
      </w:r>
      <w:r w:rsidR="008920C1" w:rsidRPr="002926D7">
        <w:lastRenderedPageBreak/>
        <w:t>the COVID-19 pandemic. In December 2022, Phase 2 (tranche three) of the ICCA-GSI was announced at the CBD COP 15 with an additional EUR 22 million to be implemented in 50 countries in alignment to the Kunming-Montreal Global Biodiversity Framework (GBF), specifically on Targets 3, 21, 22, and 23</w:t>
      </w:r>
      <w:r w:rsidR="007D2E41" w:rsidRPr="002926D7">
        <w:rPr>
          <w:szCs w:val="20"/>
        </w:rPr>
        <w:t>.</w:t>
      </w:r>
    </w:p>
    <w:p w14:paraId="12C528AE" w14:textId="7E59985F" w:rsidR="007D2E41" w:rsidRPr="002926D7" w:rsidRDefault="00F2377C" w:rsidP="002926D7">
      <w:pPr>
        <w:pStyle w:val="ListParagraph"/>
        <w:numPr>
          <w:ilvl w:val="0"/>
          <w:numId w:val="28"/>
        </w:numPr>
        <w:spacing w:before="120"/>
        <w:rPr>
          <w:szCs w:val="20"/>
        </w:rPr>
      </w:pPr>
      <w:r w:rsidRPr="002926D7">
        <w:rPr>
          <w:b/>
          <w:bCs/>
          <w:szCs w:val="20"/>
        </w:rPr>
        <w:t>Community Development and Knowledge Management for the Satoyama Initiative (COMDEKS) Phase 4.</w:t>
      </w:r>
      <w:r w:rsidRPr="002926D7">
        <w:rPr>
          <w:szCs w:val="20"/>
        </w:rPr>
        <w:t xml:space="preserve"> </w:t>
      </w:r>
      <w:r w:rsidR="008920C1" w:rsidRPr="002926D7">
        <w:t xml:space="preserve">In December 2022, the Ministry of Environment Japan, the Keindanren Nature Conservation Fund, and other partners announced the launch of COMDEKS Phase 4, with expected total funding of approximately Yen 1 billion. This initiative will contribute to the implementation of the Kunming-Montreal Global Biodiversity Framework and further promote socio-ecological production landscape and seascapes (SEPLS). </w:t>
      </w:r>
      <w:r w:rsidR="008920C1" w:rsidRPr="002926D7">
        <w:rPr>
          <w:rFonts w:eastAsia="Calibri" w:cs="Calibri"/>
        </w:rPr>
        <w:t>COMDEKS Phase 4 will build on the previous three COMDEKS phases implemented by SGP since 2011 which supported over 390 projects in 20 countries</w:t>
      </w:r>
      <w:r w:rsidR="007D2E41" w:rsidRPr="002926D7">
        <w:t>.</w:t>
      </w:r>
    </w:p>
    <w:p w14:paraId="3D11AB6A" w14:textId="342EAD10" w:rsidR="006E3C0B" w:rsidRPr="002926D7" w:rsidRDefault="00F2377C" w:rsidP="002926D7">
      <w:pPr>
        <w:pStyle w:val="ListParagraph"/>
        <w:numPr>
          <w:ilvl w:val="0"/>
          <w:numId w:val="28"/>
        </w:numPr>
        <w:spacing w:before="120"/>
        <w:rPr>
          <w:szCs w:val="20"/>
        </w:rPr>
      </w:pPr>
      <w:bookmarkStart w:id="92" w:name="_Hlk151139283"/>
      <w:r w:rsidRPr="002926D7">
        <w:rPr>
          <w:b/>
          <w:bCs/>
          <w:szCs w:val="20"/>
        </w:rPr>
        <w:t>Community-Based Adaptation Programme (CBA Phase 3</w:t>
      </w:r>
      <w:r w:rsidR="003C33E1" w:rsidRPr="002926D7">
        <w:rPr>
          <w:b/>
          <w:bCs/>
          <w:szCs w:val="20"/>
        </w:rPr>
        <w:t>)</w:t>
      </w:r>
      <w:bookmarkEnd w:id="92"/>
      <w:r w:rsidRPr="002926D7">
        <w:rPr>
          <w:szCs w:val="20"/>
        </w:rPr>
        <w:t xml:space="preserve">. </w:t>
      </w:r>
      <w:r w:rsidR="008920C1" w:rsidRPr="002926D7">
        <w:rPr>
          <w:rFonts w:eastAsia="Calibri" w:cs="Calibri"/>
        </w:rPr>
        <w:t>Since 2009, SGP and the Government of Australia’s Department of Foreign Affairs and Trade have been partnering to implement the Community-Based Adaptation Programme in SIDS and Asia-Mekong countries. In 2022, the partnership was expanded to cover a third phase (CBA Phase 3) which is currently under implementation in 26 countries across the Asia and Pacific regions. Building on the global momentum towards locally-led adaptation, the main goal of this phase of CBA funding is to further enhance the capacities of local communities across priority landscapes/seascapes by building their social and ecological resilience to climate change. The total funding for CBA Phase 3 is 10 million Australian Dollars</w:t>
      </w:r>
      <w:r w:rsidRPr="002926D7">
        <w:rPr>
          <w:szCs w:val="20"/>
        </w:rPr>
        <w:t>.</w:t>
      </w:r>
    </w:p>
    <w:p w14:paraId="5DBEDBE4" w14:textId="77777777" w:rsidR="008920C1" w:rsidRPr="002926D7" w:rsidRDefault="006E3C0B" w:rsidP="002926D7">
      <w:pPr>
        <w:pStyle w:val="ListParagraph"/>
        <w:numPr>
          <w:ilvl w:val="0"/>
          <w:numId w:val="28"/>
        </w:numPr>
        <w:spacing w:before="120"/>
        <w:rPr>
          <w:szCs w:val="20"/>
        </w:rPr>
      </w:pPr>
      <w:r w:rsidRPr="002926D7">
        <w:rPr>
          <w:b/>
          <w:bCs/>
          <w:szCs w:val="20"/>
        </w:rPr>
        <w:t>SOS-SAHEL</w:t>
      </w:r>
      <w:r w:rsidRPr="002926D7">
        <w:rPr>
          <w:szCs w:val="20"/>
        </w:rPr>
        <w:t xml:space="preserve">, </w:t>
      </w:r>
      <w:r w:rsidR="00AC5348" w:rsidRPr="002926D7">
        <w:rPr>
          <w:szCs w:val="20"/>
        </w:rPr>
        <w:t xml:space="preserve">an African-born grassroots organization, implementing actions on food security and nutrition for rural communities in Sub-Saharan Africa. </w:t>
      </w:r>
      <w:r w:rsidR="007C08F6" w:rsidRPr="002926D7">
        <w:t>SGP’s partnership with SOS-SAHEL has supported over 30 community-based projects in seven participating countries. With the technical assistance provided by SOS-Sahel, the supported projects have enabled community organizations and CSOs in the Sahel to develop and implement adaptive landscape and seascape management strategies that build social, economic, and ecological resilience, based on local sustainable development benefits. A coordination meeting in October 2022 reviewed the achievements of the partnership and discussed the next steps. Based on the achievements of the first phase of this innovative partnership, SOS-Sahel and SGP agreed to continue this partnership</w:t>
      </w:r>
      <w:r w:rsidR="00AC5348" w:rsidRPr="002926D7">
        <w:rPr>
          <w:szCs w:val="20"/>
        </w:rPr>
        <w:t>.</w:t>
      </w:r>
    </w:p>
    <w:p w14:paraId="28447F20" w14:textId="5740781B" w:rsidR="008920C1" w:rsidRPr="002926D7" w:rsidRDefault="003C33E1" w:rsidP="002926D7">
      <w:pPr>
        <w:pStyle w:val="ListParagraph"/>
        <w:numPr>
          <w:ilvl w:val="0"/>
          <w:numId w:val="28"/>
        </w:numPr>
        <w:spacing w:before="120"/>
        <w:rPr>
          <w:szCs w:val="20"/>
        </w:rPr>
      </w:pPr>
      <w:r w:rsidRPr="002926D7">
        <w:rPr>
          <w:b/>
          <w:bCs/>
          <w:szCs w:val="20"/>
        </w:rPr>
        <w:t>Mountain Partnership</w:t>
      </w:r>
      <w:r w:rsidRPr="002926D7">
        <w:rPr>
          <w:szCs w:val="20"/>
        </w:rPr>
        <w:t xml:space="preserve"> (hosted by the FAO). </w:t>
      </w:r>
      <w:r w:rsidR="008920C1" w:rsidRPr="002926D7">
        <w:t xml:space="preserve">The collaboration between the SGP and the </w:t>
      </w:r>
      <w:r w:rsidR="008920C1" w:rsidRPr="002926D7">
        <w:rPr>
          <w:b/>
          <w:bCs/>
        </w:rPr>
        <w:t xml:space="preserve">Mountain Partnership </w:t>
      </w:r>
      <w:r w:rsidR="008920C1" w:rsidRPr="002926D7">
        <w:t xml:space="preserve">hosted by the FAO began in 2019 with the aim of increasing the resilience of mountain communities through the improvement of local economies and livelihoods by strengthening agriculture food value chains and capacity building. With a focus on mountain countries, the partnership with FAO and </w:t>
      </w:r>
      <w:r w:rsidR="008920C1" w:rsidRPr="002926D7">
        <w:rPr>
          <w:i/>
          <w:iCs/>
        </w:rPr>
        <w:t xml:space="preserve">Slow Food International </w:t>
      </w:r>
      <w:r w:rsidR="008920C1" w:rsidRPr="002926D7">
        <w:t xml:space="preserve">supported producer communities. Their flagship products were mapped, and the communities received capacity building and enhanced marketing with the </w:t>
      </w:r>
      <w:r w:rsidR="008920C1" w:rsidRPr="002926D7">
        <w:rPr>
          <w:i/>
          <w:iCs/>
        </w:rPr>
        <w:t xml:space="preserve">Mountain Partnership Products (MPP) </w:t>
      </w:r>
      <w:r w:rsidR="008920C1" w:rsidRPr="002926D7">
        <w:t>label and Participatory Guarantee System. To date, SGP and the Mountain Partnership Secretariat (MPS) have been engaged in two phases of collaboration, with Phase 2 currently in the incubation stage.</w:t>
      </w:r>
    </w:p>
    <w:p w14:paraId="7C138338" w14:textId="7BFEC3FF" w:rsidR="003C33E1" w:rsidRPr="002926D7" w:rsidRDefault="003C33E1" w:rsidP="002926D7">
      <w:pPr>
        <w:pStyle w:val="ListParagraph"/>
        <w:numPr>
          <w:ilvl w:val="0"/>
          <w:numId w:val="28"/>
        </w:numPr>
        <w:spacing w:before="120"/>
        <w:rPr>
          <w:szCs w:val="20"/>
        </w:rPr>
      </w:pPr>
      <w:r w:rsidRPr="002926D7">
        <w:rPr>
          <w:b/>
          <w:bCs/>
        </w:rPr>
        <w:t>PROCARIBE+.</w:t>
      </w:r>
      <w:r w:rsidRPr="002926D7">
        <w:rPr>
          <w:szCs w:val="20"/>
        </w:rPr>
        <w:t xml:space="preserve"> </w:t>
      </w:r>
      <w:r w:rsidRPr="002926D7">
        <w:rPr>
          <w:rFonts w:asciiTheme="majorHAnsi" w:eastAsiaTheme="majorEastAsia" w:hAnsiTheme="majorHAnsi" w:cstheme="majorBidi"/>
          <w:szCs w:val="20"/>
          <w:lang w:val="en-CA"/>
        </w:rPr>
        <w:t xml:space="preserve">PROCARIBE+ is a 5-year GEF funded project that aims at protecting, restoring, and harnessing the natural coastal and marine capital of the Caribbean and North Brazil Shelf Large Marine Ecosystems (CLME+) to catalyze investments in a climate-resilient, sustainable post-covid Blue Economy, through strengthened regional coordination and collaboration, and wide-ranging partnerships. </w:t>
      </w:r>
      <w:r w:rsidRPr="002926D7">
        <w:rPr>
          <w:rFonts w:asciiTheme="majorHAnsi" w:eastAsiaTheme="majorEastAsia" w:hAnsiTheme="majorHAnsi" w:cstheme="majorBidi"/>
          <w:szCs w:val="20"/>
        </w:rPr>
        <w:t>PROCARIBE+ will provide a grant amount of USD 1 million. In addition to this, a regional proposal “Supporting peace-positive &amp; community-based climate adaptation and blue economies in the Caribbean SIDS” was submitted by UNDP through the climate security window. The total budget requested from the Government of Japan is USD 17 million. If this proposal is approved, SGP will receive about USD 2 million to support the activities of PROCARIBE+ in a number of LAC states including Antigua and Barbuda, Barbados, Dominican Republic, Jamaica, and Trinidad, and Tobago. PROCARIBE+ was launched in July 2023, and is scheduled to close in 2028</w:t>
      </w:r>
      <w:r w:rsidRPr="002926D7">
        <w:t>.</w:t>
      </w:r>
    </w:p>
    <w:p w14:paraId="021A4E0D" w14:textId="09674DC6" w:rsidR="00751A03" w:rsidRPr="002926D7" w:rsidRDefault="003C33E1" w:rsidP="002926D7">
      <w:pPr>
        <w:pStyle w:val="ListParagraph"/>
        <w:numPr>
          <w:ilvl w:val="0"/>
          <w:numId w:val="28"/>
        </w:numPr>
        <w:spacing w:before="120"/>
        <w:rPr>
          <w:szCs w:val="20"/>
        </w:rPr>
      </w:pPr>
      <w:r w:rsidRPr="002926D7">
        <w:rPr>
          <w:rFonts w:asciiTheme="minorHAnsi" w:eastAsiaTheme="minorEastAsia" w:hAnsiTheme="minorHAnsi" w:cstheme="minorBidi"/>
          <w:b/>
          <w:bCs/>
          <w:szCs w:val="20"/>
        </w:rPr>
        <w:t>SGP Plastic Waste Management &amp; Behavior Change Partnership</w:t>
      </w:r>
      <w:r w:rsidRPr="002926D7">
        <w:rPr>
          <w:rFonts w:asciiTheme="minorHAnsi" w:eastAsiaTheme="minorEastAsia" w:hAnsiTheme="minorHAnsi" w:cstheme="minorBidi"/>
          <w:color w:val="201F1E"/>
          <w:szCs w:val="20"/>
        </w:rPr>
        <w:t xml:space="preserve">: Since April 2023, SGP has been partnering with UNDP, </w:t>
      </w:r>
      <w:hyperlink r:id="rId19" w:history="1">
        <w:r w:rsidRPr="002926D7">
          <w:rPr>
            <w:rStyle w:val="Hyperlink"/>
            <w:rFonts w:ascii="Candara" w:eastAsia="Candara" w:hAnsi="Candara" w:cs="Candara"/>
            <w:sz w:val="19"/>
            <w:szCs w:val="19"/>
          </w:rPr>
          <w:t>Rare</w:t>
        </w:r>
      </w:hyperlink>
      <w:r w:rsidRPr="002926D7">
        <w:rPr>
          <w:rFonts w:asciiTheme="minorHAnsi" w:eastAsiaTheme="minorEastAsia" w:hAnsiTheme="minorHAnsi" w:cstheme="minorBidi"/>
          <w:color w:val="201F1E"/>
          <w:szCs w:val="20"/>
        </w:rPr>
        <w:t xml:space="preserve"> (our global partner) and Rwanda Polytechnic to support the design and implementation of behavior change programs that leverage best practices and the latest insights from behavioral science </w:t>
      </w:r>
      <w:r w:rsidRPr="002926D7">
        <w:rPr>
          <w:rFonts w:asciiTheme="minorHAnsi" w:eastAsiaTheme="minorEastAsia" w:hAnsiTheme="minorHAnsi" w:cstheme="minorBidi"/>
          <w:color w:val="201F1E"/>
          <w:szCs w:val="20"/>
        </w:rPr>
        <w:lastRenderedPageBreak/>
        <w:t xml:space="preserve">and design thinking to sustainably prevent and manage plastic waste. SGP and UNDP provide grantmaking and technical assistance while </w:t>
      </w:r>
      <w:hyperlink r:id="rId20" w:history="1">
        <w:r w:rsidRPr="002926D7">
          <w:rPr>
            <w:rStyle w:val="Hyperlink"/>
            <w:rFonts w:ascii="Candara" w:eastAsia="Candara" w:hAnsi="Candara" w:cs="Candara"/>
            <w:sz w:val="19"/>
            <w:szCs w:val="19"/>
          </w:rPr>
          <w:t>Rare</w:t>
        </w:r>
      </w:hyperlink>
      <w:r w:rsidRPr="002926D7">
        <w:rPr>
          <w:rFonts w:asciiTheme="minorHAnsi" w:eastAsiaTheme="minorEastAsia" w:hAnsiTheme="minorHAnsi" w:cstheme="minorBidi"/>
          <w:color w:val="201F1E"/>
          <w:szCs w:val="20"/>
        </w:rPr>
        <w:t xml:space="preserve"> and Rwanda Polytechnic support with technical assistance.  As part of this initiative, SGP grantees and </w:t>
      </w:r>
      <w:r w:rsidRPr="002926D7">
        <w:rPr>
          <w:rFonts w:asciiTheme="minorHAnsi" w:hAnsiTheme="minorHAnsi" w:cstheme="minorBidi"/>
        </w:rPr>
        <w:t>National Steering Committee</w:t>
      </w:r>
      <w:r w:rsidRPr="002926D7">
        <w:rPr>
          <w:rFonts w:asciiTheme="minorHAnsi" w:eastAsiaTheme="minorEastAsia" w:hAnsiTheme="minorHAnsi" w:cstheme="minorBidi"/>
          <w:color w:val="201F1E"/>
          <w:szCs w:val="20"/>
        </w:rPr>
        <w:t xml:space="preserve"> members have been selected from 18 countries to participate in plastics and behavior change workshop in Rwanda. The partnership is a 2-year initiative, expected to close in 2025</w:t>
      </w:r>
      <w:bookmarkEnd w:id="89"/>
      <w:r w:rsidR="002934A5" w:rsidRPr="002926D7">
        <w:t>.</w:t>
      </w:r>
      <w:bookmarkEnd w:id="91"/>
    </w:p>
    <w:p w14:paraId="197C2284" w14:textId="0E1656AD" w:rsidR="00DF0CD4" w:rsidRPr="002926D7" w:rsidRDefault="00DF0CD4" w:rsidP="002926D7">
      <w:pPr>
        <w:pStyle w:val="ListParagraph"/>
        <w:numPr>
          <w:ilvl w:val="0"/>
          <w:numId w:val="28"/>
        </w:numPr>
        <w:spacing w:before="120"/>
        <w:rPr>
          <w:rFonts w:asciiTheme="minorHAnsi" w:hAnsiTheme="minorHAnsi" w:cstheme="minorHAnsi"/>
          <w:szCs w:val="20"/>
        </w:rPr>
      </w:pPr>
      <w:bookmarkStart w:id="93" w:name="_Hlk161073946"/>
      <w:r w:rsidRPr="002926D7">
        <w:rPr>
          <w:rFonts w:asciiTheme="minorHAnsi" w:eastAsiaTheme="minorEastAsia" w:hAnsiTheme="minorHAnsi" w:cstheme="minorHAnsi"/>
          <w:b/>
          <w:bCs/>
          <w:szCs w:val="20"/>
        </w:rPr>
        <w:t>Legal Identity related partnership</w:t>
      </w:r>
      <w:r w:rsidRPr="002926D7">
        <w:rPr>
          <w:rFonts w:asciiTheme="minorHAnsi" w:hAnsiTheme="minorHAnsi" w:cstheme="minorHAnsi"/>
          <w:szCs w:val="20"/>
        </w:rPr>
        <w:t xml:space="preserve">: </w:t>
      </w:r>
      <w:r w:rsidRPr="002926D7">
        <w:rPr>
          <w:rStyle w:val="xnormaltextrun"/>
          <w:rFonts w:asciiTheme="minorHAnsi" w:eastAsia="Times New Roman" w:hAnsiTheme="minorHAnsi" w:cstheme="minorHAnsi"/>
          <w:szCs w:val="20"/>
          <w:shd w:val="clear" w:color="auto" w:fill="FFFFFF"/>
        </w:rPr>
        <w:t>Under this partnership, SGP shall work with the UNDP legal identity program at both country and global levels. At the country level, the community members without legal identity will be (i) encouraged to register their vital events and obtain legal identity credentials, (ii) supported to register their organizations to facilitate access to funding opportunities and strengthen fund management capabilities; and (iii) supported in alignment with other initiatives during the transition period (until they receive legal identity/recognition credentials) to receive necessary services. At the global level, the lessons learned from country programming will be compiled and disseminated through webinars and other communication tools</w:t>
      </w:r>
      <w:bookmarkEnd w:id="93"/>
      <w:r w:rsidRPr="002926D7">
        <w:rPr>
          <w:rStyle w:val="xnormaltextrun"/>
          <w:rFonts w:asciiTheme="minorHAnsi" w:eastAsia="Times New Roman" w:hAnsiTheme="minorHAnsi" w:cstheme="minorHAnsi"/>
          <w:szCs w:val="20"/>
          <w:shd w:val="clear" w:color="auto" w:fill="FFFFFF"/>
        </w:rPr>
        <w:t>.</w:t>
      </w:r>
    </w:p>
    <w:p w14:paraId="0AD99E7D" w14:textId="77777777" w:rsidR="003A0785" w:rsidRPr="002926D7" w:rsidRDefault="003A0785" w:rsidP="002926D7">
      <w:pPr>
        <w:rPr>
          <w:szCs w:val="20"/>
        </w:rPr>
      </w:pPr>
    </w:p>
    <w:p w14:paraId="534A19C0" w14:textId="10D37DE7" w:rsidR="00041B95" w:rsidRPr="002926D7" w:rsidRDefault="005018C5" w:rsidP="002926D7">
      <w:pPr>
        <w:numPr>
          <w:ilvl w:val="0"/>
          <w:numId w:val="8"/>
        </w:numPr>
        <w:ind w:left="0" w:firstLine="0"/>
        <w:rPr>
          <w:rFonts w:asciiTheme="minorHAnsi" w:hAnsiTheme="minorHAnsi" w:cstheme="minorBidi"/>
          <w:szCs w:val="20"/>
        </w:rPr>
      </w:pPr>
      <w:r w:rsidRPr="002926D7">
        <w:rPr>
          <w:rFonts w:cs="Calibri"/>
        </w:rPr>
        <w:t>SGP OP8-Part 1</w:t>
      </w:r>
      <w:r w:rsidR="00041B95" w:rsidRPr="002926D7">
        <w:rPr>
          <w:rFonts w:cs="Calibri"/>
        </w:rPr>
        <w:t xml:space="preserve"> will coordinate with the listed ongoing GEF and non-GEF financed projects/programs at country level in the following ways:</w:t>
      </w:r>
    </w:p>
    <w:p w14:paraId="5CCAB975" w14:textId="77777777" w:rsidR="00041B95" w:rsidRPr="002926D7" w:rsidRDefault="00041B95" w:rsidP="002926D7">
      <w:pPr>
        <w:pStyle w:val="ListParagraph"/>
        <w:widowControl w:val="0"/>
        <w:autoSpaceDE w:val="0"/>
        <w:autoSpaceDN w:val="0"/>
        <w:spacing w:before="63"/>
        <w:ind w:left="720"/>
        <w:rPr>
          <w:rFonts w:cs="Calibri"/>
        </w:rPr>
      </w:pPr>
      <w:r w:rsidRPr="002926D7">
        <w:rPr>
          <w:rFonts w:cs="Calibri"/>
          <w:b/>
          <w:bCs/>
          <w:i/>
          <w:iCs/>
        </w:rPr>
        <w:t>Facilitating stakeholder engagement</w:t>
      </w:r>
      <w:r w:rsidRPr="002926D7">
        <w:rPr>
          <w:rFonts w:cs="Calibri"/>
        </w:rPr>
        <w:t xml:space="preserve">: This involves government agencies, NGOs, CBOs, private sector, academia, etc. in environmental conservation and sustainable development initiatives. Long-term, continued, multi-phased approach in engaging local communities and whole of society (men, women, youth and elders), SGP promote broad participation in all stages of the grant project cycle: design, implementation, monitoring and evaluation. A key pillar of the landscape approach, sustainability of landscape planning and management processes is enhanced through the continuous development of multi-stakeholder partnerships, involving local government, national agencies and institutions, NGOs, the private sector, universities, research institutions and others at the landscape level.  </w:t>
      </w:r>
    </w:p>
    <w:p w14:paraId="6839AE1E" w14:textId="19862CF2" w:rsidR="00041B95" w:rsidRPr="002926D7" w:rsidRDefault="00041B95" w:rsidP="002926D7">
      <w:pPr>
        <w:pStyle w:val="ListParagraph"/>
        <w:widowControl w:val="0"/>
        <w:autoSpaceDE w:val="0"/>
        <w:autoSpaceDN w:val="0"/>
        <w:spacing w:before="63"/>
        <w:ind w:left="720"/>
        <w:rPr>
          <w:rFonts w:cs="Calibri"/>
        </w:rPr>
      </w:pPr>
      <w:r w:rsidRPr="002926D7">
        <w:rPr>
          <w:rFonts w:cs="Calibri"/>
          <w:b/>
          <w:bCs/>
          <w:i/>
          <w:iCs/>
        </w:rPr>
        <w:t>Knowledge exchange</w:t>
      </w:r>
      <w:r w:rsidRPr="002926D7">
        <w:rPr>
          <w:rFonts w:cs="Calibri"/>
          <w:b/>
          <w:bCs/>
        </w:rPr>
        <w:t>:</w:t>
      </w:r>
      <w:r w:rsidRPr="002926D7">
        <w:rPr>
          <w:rFonts w:cs="Calibri"/>
        </w:rPr>
        <w:t xml:space="preserve"> Through learning platforms where stakeholders involved can exchange knowledge, experiences, and best practices. These platforms could include workshops, conferences, seminars, and online forums to facilitate dialogue and collaboration.</w:t>
      </w:r>
    </w:p>
    <w:p w14:paraId="07D9B554" w14:textId="486F233E" w:rsidR="00041B95" w:rsidRPr="002926D7" w:rsidRDefault="00041B95" w:rsidP="002926D7">
      <w:pPr>
        <w:pStyle w:val="ListParagraph"/>
        <w:widowControl w:val="0"/>
        <w:autoSpaceDE w:val="0"/>
        <w:autoSpaceDN w:val="0"/>
        <w:spacing w:before="63"/>
        <w:ind w:left="720"/>
        <w:rPr>
          <w:rFonts w:cs="Calibri"/>
        </w:rPr>
      </w:pPr>
      <w:r w:rsidRPr="002926D7">
        <w:rPr>
          <w:rFonts w:cs="Calibri"/>
          <w:b/>
          <w:bCs/>
          <w:i/>
          <w:iCs/>
        </w:rPr>
        <w:t>Capacity building</w:t>
      </w:r>
      <w:r w:rsidRPr="002926D7">
        <w:rPr>
          <w:rFonts w:cs="Calibri"/>
        </w:rPr>
        <w:t xml:space="preserve">: SGP </w:t>
      </w:r>
      <w:r w:rsidR="005018C5" w:rsidRPr="002926D7">
        <w:rPr>
          <w:rFonts w:cs="Calibri"/>
        </w:rPr>
        <w:t>OP8-Part 1</w:t>
      </w:r>
      <w:r w:rsidRPr="002926D7">
        <w:rPr>
          <w:rFonts w:cs="Calibri"/>
        </w:rPr>
        <w:t xml:space="preserve"> will provide technical assistance and capacity building support to stakeholders. This includes training sessions, mentoring, and knowledge sharing activities to strengthen the capacity of local communities, NGOs, and government agencies to implement their projects more effectively.</w:t>
      </w:r>
    </w:p>
    <w:p w14:paraId="460E17BB" w14:textId="7E0F49B8" w:rsidR="00041B95" w:rsidRPr="002926D7" w:rsidRDefault="00041B95" w:rsidP="002926D7">
      <w:pPr>
        <w:pStyle w:val="ListParagraph"/>
        <w:widowControl w:val="0"/>
        <w:autoSpaceDE w:val="0"/>
        <w:autoSpaceDN w:val="0"/>
        <w:spacing w:before="63"/>
        <w:ind w:left="720"/>
        <w:rPr>
          <w:rFonts w:cs="Calibri"/>
        </w:rPr>
      </w:pPr>
      <w:r w:rsidRPr="002926D7">
        <w:rPr>
          <w:rFonts w:cs="Calibri"/>
          <w:b/>
          <w:bCs/>
          <w:i/>
          <w:iCs/>
        </w:rPr>
        <w:t>Policy advocacy</w:t>
      </w:r>
      <w:r w:rsidRPr="002926D7">
        <w:rPr>
          <w:rFonts w:cs="Calibri"/>
        </w:rPr>
        <w:t xml:space="preserve">: SGP </w:t>
      </w:r>
      <w:r w:rsidR="005018C5" w:rsidRPr="002926D7">
        <w:rPr>
          <w:rFonts w:cs="Calibri"/>
        </w:rPr>
        <w:t>OP8-Part 1</w:t>
      </w:r>
      <w:r w:rsidRPr="002926D7">
        <w:rPr>
          <w:rFonts w:cs="Calibri"/>
        </w:rPr>
        <w:t xml:space="preserve"> can promote enabling environments for ongoing projects and programs, by advocating for supportive policies, regulations, and institutional frameworks that facilitate the scaling up of successful initiatives and the replication of best practices. Sustainability of results are ensured by aligning country programmes with relevant government policies and linking with relevant national policies and programs. </w:t>
      </w:r>
    </w:p>
    <w:p w14:paraId="25B12DF6" w14:textId="77777777" w:rsidR="00041B95" w:rsidRPr="002926D7" w:rsidRDefault="00041B95" w:rsidP="002926D7">
      <w:pPr>
        <w:pStyle w:val="ListParagraph"/>
        <w:widowControl w:val="0"/>
        <w:autoSpaceDE w:val="0"/>
        <w:autoSpaceDN w:val="0"/>
        <w:spacing w:before="63"/>
        <w:ind w:left="720"/>
        <w:rPr>
          <w:rFonts w:cs="Calibri"/>
        </w:rPr>
      </w:pPr>
      <w:r w:rsidRPr="002926D7">
        <w:rPr>
          <w:rFonts w:cs="Calibri"/>
          <w:b/>
          <w:bCs/>
          <w:i/>
          <w:iCs/>
        </w:rPr>
        <w:t>Resource mobilization</w:t>
      </w:r>
      <w:r w:rsidRPr="002926D7">
        <w:rPr>
          <w:rFonts w:cs="Calibri"/>
        </w:rPr>
        <w:t xml:space="preserve">: SGP will leverage its networks and partnerships by connecting grantees with potential funders, donors, technical assistance providers, and government led programs/projects to support their activities, scale up their impact, and ensure the sustainability of results at the grantee level. </w:t>
      </w:r>
    </w:p>
    <w:p w14:paraId="3D75C12D" w14:textId="77777777" w:rsidR="00041B95" w:rsidRPr="002926D7" w:rsidRDefault="00041B95" w:rsidP="002926D7">
      <w:pPr>
        <w:rPr>
          <w:szCs w:val="20"/>
        </w:rPr>
      </w:pPr>
    </w:p>
    <w:bookmarkEnd w:id="87"/>
    <w:p w14:paraId="4208DA89" w14:textId="5ECDD1CF" w:rsidR="004C0749" w:rsidRPr="002926D7" w:rsidRDefault="00677513" w:rsidP="002926D7">
      <w:pPr>
        <w:jc w:val="left"/>
        <w:rPr>
          <w:b/>
          <w:bCs/>
          <w:szCs w:val="20"/>
          <w:u w:val="single"/>
        </w:rPr>
      </w:pPr>
      <w:r w:rsidRPr="002926D7">
        <w:rPr>
          <w:b/>
          <w:bCs/>
          <w:szCs w:val="20"/>
          <w:u w:val="single"/>
        </w:rPr>
        <w:t xml:space="preserve">Risks: </w:t>
      </w:r>
    </w:p>
    <w:p w14:paraId="57D7AE7A" w14:textId="6FCBD45E" w:rsidR="00B469AB" w:rsidRPr="002926D7" w:rsidRDefault="00B469AB" w:rsidP="002926D7">
      <w:bookmarkStart w:id="94" w:name="_Hlk131941675"/>
    </w:p>
    <w:p w14:paraId="2ED2DEC9" w14:textId="03DDE215" w:rsidR="0021751A" w:rsidRPr="002926D7" w:rsidRDefault="0021751A" w:rsidP="002926D7">
      <w:pPr>
        <w:numPr>
          <w:ilvl w:val="0"/>
          <w:numId w:val="8"/>
        </w:numPr>
        <w:ind w:left="0" w:firstLine="0"/>
      </w:pPr>
      <w:bookmarkStart w:id="95" w:name="_Hlk71020194"/>
      <w:bookmarkStart w:id="96" w:name="_Hlk101781796"/>
      <w:bookmarkStart w:id="97" w:name="_Hlk122102980"/>
      <w:bookmarkStart w:id="98" w:name="_Hlk89351942"/>
      <w:bookmarkStart w:id="99" w:name="_Hlk508508340"/>
      <w:bookmarkStart w:id="100" w:name="_Hlk518053471"/>
      <w:r w:rsidRPr="002926D7">
        <w:rPr>
          <w:rFonts w:asciiTheme="minorHAnsi" w:hAnsiTheme="minorHAnsi" w:cstheme="minorBidi"/>
          <w:szCs w:val="20"/>
        </w:rPr>
        <w:t xml:space="preserve">Two broad categories of risks </w:t>
      </w:r>
      <w:r w:rsidR="0085428F" w:rsidRPr="002926D7">
        <w:rPr>
          <w:rFonts w:asciiTheme="minorHAnsi" w:hAnsiTheme="minorHAnsi" w:cstheme="minorBidi"/>
          <w:szCs w:val="20"/>
        </w:rPr>
        <w:t>were</w:t>
      </w:r>
      <w:r w:rsidRPr="002926D7">
        <w:rPr>
          <w:rFonts w:asciiTheme="minorHAnsi" w:hAnsiTheme="minorHAnsi" w:cstheme="minorBidi"/>
          <w:szCs w:val="20"/>
        </w:rPr>
        <w:t xml:space="preserve"> be identified for the design and implementation of SGP </w:t>
      </w:r>
      <w:r w:rsidRPr="002926D7">
        <w:rPr>
          <w:rFonts w:eastAsia="Calibri" w:cs="Calibri"/>
          <w:color w:val="000000" w:themeColor="text1"/>
          <w:szCs w:val="20"/>
        </w:rPr>
        <w:t>OP8</w:t>
      </w:r>
      <w:r w:rsidRPr="002926D7">
        <w:rPr>
          <w:rFonts w:asciiTheme="minorHAnsi" w:hAnsiTheme="minorHAnsi" w:cstheme="minorBidi"/>
          <w:szCs w:val="20"/>
        </w:rPr>
        <w:t xml:space="preserve">: (1) risks to the development and implementation of landscape-seascape strategies, including their component initiatives per se, and (2) risks to effective development and implementation of the global programme overall. </w:t>
      </w:r>
      <w:r w:rsidR="0085428F" w:rsidRPr="002926D7">
        <w:t xml:space="preserve">Analysis and screening conducted during the project development phase via UNDP’s Social and Environment Screening Procedure (SESP) identified </w:t>
      </w:r>
      <w:r w:rsidR="008920C1" w:rsidRPr="002926D7">
        <w:t>eight</w:t>
      </w:r>
      <w:r w:rsidR="0085428F" w:rsidRPr="002926D7">
        <w:t xml:space="preserve"> potential social and environmental risks associated with project activities. The screening procedure established that the project is rated as being of Moderate risk, and that the identified potential social and environmental impacts are manageable through identified mitigation measures detailed in the screening report, included in </w:t>
      </w:r>
      <w:r w:rsidR="0085428F" w:rsidRPr="002926D7">
        <w:rPr>
          <w:b/>
          <w:bCs/>
        </w:rPr>
        <w:t>Annex 4</w:t>
      </w:r>
      <w:r w:rsidRPr="002926D7">
        <w:rPr>
          <w:rFonts w:asciiTheme="minorHAnsi" w:hAnsiTheme="minorHAnsi" w:cstheme="minorBidi"/>
          <w:szCs w:val="20"/>
        </w:rPr>
        <w:t>.</w:t>
      </w:r>
    </w:p>
    <w:p w14:paraId="692DC7D9" w14:textId="77777777" w:rsidR="0021751A" w:rsidRPr="002926D7" w:rsidRDefault="0021751A" w:rsidP="002926D7"/>
    <w:p w14:paraId="533D98EF" w14:textId="7D219199" w:rsidR="0085428F" w:rsidRPr="002926D7" w:rsidRDefault="00327F70" w:rsidP="002926D7">
      <w:pPr>
        <w:numPr>
          <w:ilvl w:val="0"/>
          <w:numId w:val="8"/>
        </w:numPr>
        <w:ind w:left="0" w:firstLine="0"/>
      </w:pPr>
      <w:r w:rsidRPr="002926D7">
        <w:lastRenderedPageBreak/>
        <w:t xml:space="preserve">An environmental and social management framework (ESMF) was developed during the preparation phase (see </w:t>
      </w:r>
      <w:r w:rsidRPr="002926D7">
        <w:rPr>
          <w:b/>
          <w:bCs/>
        </w:rPr>
        <w:t>Annex 7</w:t>
      </w:r>
      <w:r w:rsidRPr="002926D7">
        <w:t>)</w:t>
      </w:r>
      <w:r w:rsidR="0085428F" w:rsidRPr="002926D7">
        <w:t xml:space="preserve"> to specify the processes that will be undertaken by the project for the assessment of potential impacts and identification and development of appropriate risk management measures, in line with UNDP’s Social and Environmental Standards (SES).</w:t>
      </w:r>
      <w:r w:rsidR="008920C1" w:rsidRPr="002926D7">
        <w:t xml:space="preserve"> </w:t>
      </w:r>
      <w:r w:rsidR="0085428F" w:rsidRPr="002926D7">
        <w:rPr>
          <w:rFonts w:eastAsiaTheme="majorEastAsia"/>
        </w:rPr>
        <w:t xml:space="preserve">The ESMF also details the roles and responsibilities for its implementation and includes a budget and monitoring and evaluation plan. </w:t>
      </w:r>
      <w:r w:rsidR="0085428F" w:rsidRPr="002926D7">
        <w:t xml:space="preserve">As with earlier operational phases of SGP, the project activities under OP8 will be defined during project implementation through proposals for small grants issued by local civil society organizations and community-based organizations (CSOs/CBOs). Potential impacts from the proposed activities will be assessed </w:t>
      </w:r>
      <w:r w:rsidR="00B502A6" w:rsidRPr="002926D7">
        <w:t xml:space="preserve"> by the  National Coordinators </w:t>
      </w:r>
      <w:r w:rsidR="0085428F" w:rsidRPr="002926D7">
        <w:t xml:space="preserve">as part of the grant proposal process and measures to avoid, minimize, mitigate or manage such impacts incorporated into the </w:t>
      </w:r>
      <w:r w:rsidR="00B502A6" w:rsidRPr="002926D7">
        <w:t xml:space="preserve">grant </w:t>
      </w:r>
      <w:r w:rsidR="0085428F" w:rsidRPr="002926D7">
        <w:t>proposals and implemented during the execution of the activities.</w:t>
      </w:r>
    </w:p>
    <w:p w14:paraId="0C500865" w14:textId="77777777" w:rsidR="0085428F" w:rsidRPr="002926D7" w:rsidRDefault="0085428F" w:rsidP="002926D7">
      <w:pPr>
        <w:pStyle w:val="ListParagraph"/>
        <w:rPr>
          <w:rFonts w:asciiTheme="minorHAnsi" w:hAnsiTheme="minorHAnsi" w:cstheme="minorBidi"/>
          <w:szCs w:val="20"/>
        </w:rPr>
      </w:pPr>
    </w:p>
    <w:p w14:paraId="070B134D" w14:textId="5304BB81" w:rsidR="0021751A" w:rsidRPr="002926D7" w:rsidRDefault="0021751A" w:rsidP="002926D7">
      <w:pPr>
        <w:numPr>
          <w:ilvl w:val="0"/>
          <w:numId w:val="8"/>
        </w:numPr>
        <w:ind w:left="0" w:firstLine="0"/>
      </w:pPr>
      <w:r w:rsidRPr="002926D7">
        <w:rPr>
          <w:rFonts w:asciiTheme="minorHAnsi" w:hAnsiTheme="minorHAnsi" w:cstheme="minorBidi"/>
          <w:szCs w:val="20"/>
        </w:rPr>
        <w:t>SGP Country Programme staff and the National Steering Committee</w:t>
      </w:r>
      <w:r w:rsidR="002934A5" w:rsidRPr="002926D7">
        <w:rPr>
          <w:rFonts w:asciiTheme="minorHAnsi" w:hAnsiTheme="minorHAnsi" w:cstheme="minorBidi"/>
          <w:szCs w:val="20"/>
        </w:rPr>
        <w:t xml:space="preserve"> (NSC)</w:t>
      </w:r>
      <w:r w:rsidRPr="002926D7">
        <w:rPr>
          <w:rFonts w:asciiTheme="minorHAnsi" w:hAnsiTheme="minorHAnsi" w:cstheme="minorBidi"/>
          <w:szCs w:val="20"/>
        </w:rPr>
        <w:t xml:space="preserve"> will carry out an initial analysis of risks as part of landscape-seascape selection (risks in more than one landscape-seascape may be assessed at this stage); once a candidate landscape-seascape has been </w:t>
      </w:r>
      <w:r w:rsidR="00327F70" w:rsidRPr="002926D7">
        <w:rPr>
          <w:rFonts w:asciiTheme="minorHAnsi" w:hAnsiTheme="minorHAnsi" w:cstheme="minorBidi"/>
          <w:szCs w:val="20"/>
        </w:rPr>
        <w:t>agreed</w:t>
      </w:r>
      <w:r w:rsidRPr="002926D7">
        <w:rPr>
          <w:rFonts w:asciiTheme="minorHAnsi" w:hAnsiTheme="minorHAnsi" w:cstheme="minorBidi"/>
          <w:szCs w:val="20"/>
        </w:rPr>
        <w:t xml:space="preserve"> by the NSC, a more in-depth participatory risk assessment, including identification of potential mitigation actions, will be conducted with the landscape-seascape multi-stakeholder platform (or country-level platform) as they initiate formulation of the landscape-seascape strategy.  Landscape-seascape level risks will be addressed as part of the participatory baseline assessments and mitigation measures reflected in the landscape-seascape strategies. Risks to the design of constituent initiatives will be assessed by each country level NSC prior to approval for funding.</w:t>
      </w:r>
    </w:p>
    <w:p w14:paraId="4EF014E6" w14:textId="77777777" w:rsidR="0021751A" w:rsidRPr="002926D7" w:rsidRDefault="0021751A" w:rsidP="002926D7">
      <w:pPr>
        <w:pStyle w:val="ListParagraph"/>
        <w:rPr>
          <w:rFonts w:asciiTheme="minorHAnsi" w:hAnsiTheme="minorHAnsi" w:cstheme="minorBidi"/>
          <w:szCs w:val="20"/>
        </w:rPr>
      </w:pPr>
    </w:p>
    <w:p w14:paraId="6070FBFE" w14:textId="77777777" w:rsidR="0021751A" w:rsidRPr="002926D7" w:rsidRDefault="0021751A" w:rsidP="002926D7">
      <w:pPr>
        <w:numPr>
          <w:ilvl w:val="0"/>
          <w:numId w:val="8"/>
        </w:numPr>
        <w:ind w:left="0" w:firstLine="0"/>
      </w:pPr>
      <w:r w:rsidRPr="002926D7">
        <w:rPr>
          <w:rFonts w:asciiTheme="minorHAnsi" w:hAnsiTheme="minorHAnsi" w:cstheme="minorBidi"/>
          <w:szCs w:val="20"/>
        </w:rPr>
        <w:t>Risks to implementation of landscape-seascape strategies include the risk of conflict between communities, organizations and local governments and elite capture of programme resources and potential sustainable development benefits. The risk of conflict will be assessed prior to landscape-seascape selection and during the initial design stages.  A consultative conflict resolution mechanism will be established, as well as a multi-tiered grievance redress mechanism. Awareness and discussion of potential conflicts will be a consistent feature of NSC deliberations.</w:t>
      </w:r>
    </w:p>
    <w:p w14:paraId="098AE926" w14:textId="48BAFD21" w:rsidR="0021751A" w:rsidRPr="002926D7" w:rsidRDefault="0021751A" w:rsidP="002926D7"/>
    <w:p w14:paraId="023354C9" w14:textId="7DDB39EA" w:rsidR="0021751A" w:rsidRPr="002926D7" w:rsidRDefault="0021751A" w:rsidP="002926D7">
      <w:pPr>
        <w:numPr>
          <w:ilvl w:val="0"/>
          <w:numId w:val="8"/>
        </w:numPr>
        <w:ind w:left="0" w:firstLine="0"/>
      </w:pPr>
      <w:r w:rsidRPr="002926D7">
        <w:rPr>
          <w:rFonts w:asciiTheme="minorHAnsi" w:hAnsiTheme="minorHAnsi" w:cstheme="minorBidi"/>
          <w:szCs w:val="20"/>
        </w:rPr>
        <w:t>At the global programme level, risks are considered to be moderate. UNDP has thirty years of experience of implementing the SGP global programme, and the corresponding multiple independent joint evaluations attest to UNDP’s institutional capacities to ensure the quality of Country Programme design and implementation across</w:t>
      </w:r>
      <w:r w:rsidR="001944C6" w:rsidRPr="002926D7">
        <w:rPr>
          <w:rFonts w:asciiTheme="minorHAnsi" w:hAnsiTheme="minorHAnsi" w:cstheme="minorBidi"/>
          <w:szCs w:val="20"/>
        </w:rPr>
        <w:t xml:space="preserve"> the</w:t>
      </w:r>
      <w:r w:rsidRPr="002926D7">
        <w:rPr>
          <w:rFonts w:asciiTheme="minorHAnsi" w:hAnsiTheme="minorHAnsi" w:cstheme="minorBidi"/>
          <w:szCs w:val="20"/>
        </w:rPr>
        <w:t xml:space="preserve"> </w:t>
      </w:r>
      <w:r w:rsidR="001944C6" w:rsidRPr="002926D7">
        <w:rPr>
          <w:rFonts w:asciiTheme="minorHAnsi" w:hAnsiTheme="minorHAnsi" w:cstheme="minorBidi"/>
          <w:szCs w:val="20"/>
        </w:rPr>
        <w:t>99</w:t>
      </w:r>
      <w:r w:rsidRPr="002926D7">
        <w:rPr>
          <w:rFonts w:asciiTheme="minorHAnsi" w:hAnsiTheme="minorHAnsi" w:cstheme="minorBidi"/>
          <w:szCs w:val="20"/>
        </w:rPr>
        <w:t xml:space="preserve"> participating countries.  </w:t>
      </w:r>
      <w:r w:rsidR="008920C1" w:rsidRPr="002926D7">
        <w:rPr>
          <w:rFonts w:asciiTheme="minorHAnsi" w:hAnsiTheme="minorHAnsi" w:cstheme="minorBidi"/>
        </w:rPr>
        <w:t>UNDP will monitor all Country Programmes and exercise due diligence regarding the design and implementation of their country programme strategies which are developed using a robust landscape-seascape approach</w:t>
      </w:r>
      <w:r w:rsidRPr="002926D7">
        <w:rPr>
          <w:rFonts w:asciiTheme="minorHAnsi" w:hAnsiTheme="minorHAnsi" w:cstheme="minorBidi"/>
          <w:szCs w:val="20"/>
        </w:rPr>
        <w:t>.</w:t>
      </w:r>
    </w:p>
    <w:bookmarkEnd w:id="94"/>
    <w:bookmarkEnd w:id="95"/>
    <w:bookmarkEnd w:id="96"/>
    <w:bookmarkEnd w:id="97"/>
    <w:bookmarkEnd w:id="98"/>
    <w:bookmarkEnd w:id="99"/>
    <w:bookmarkEnd w:id="100"/>
    <w:p w14:paraId="2BFB4A2E" w14:textId="77777777" w:rsidR="0021751A" w:rsidRPr="002926D7" w:rsidRDefault="0021751A" w:rsidP="002926D7">
      <w:pPr>
        <w:jc w:val="left"/>
      </w:pPr>
    </w:p>
    <w:p w14:paraId="2F785FFA" w14:textId="53C79DBD" w:rsidR="009469AA" w:rsidRPr="002926D7" w:rsidRDefault="00A572FB" w:rsidP="002926D7">
      <w:pPr>
        <w:jc w:val="left"/>
        <w:rPr>
          <w:b/>
          <w:bCs/>
          <w:szCs w:val="20"/>
        </w:rPr>
      </w:pPr>
      <w:r w:rsidRPr="002926D7">
        <w:rPr>
          <w:b/>
          <w:bCs/>
          <w:szCs w:val="20"/>
          <w:u w:val="single"/>
        </w:rPr>
        <w:t xml:space="preserve">Stakeholder </w:t>
      </w:r>
      <w:r w:rsidR="00341B73" w:rsidRPr="002926D7">
        <w:rPr>
          <w:b/>
          <w:bCs/>
          <w:szCs w:val="20"/>
          <w:u w:val="single"/>
        </w:rPr>
        <w:t>E</w:t>
      </w:r>
      <w:r w:rsidRPr="002926D7">
        <w:rPr>
          <w:b/>
          <w:bCs/>
          <w:szCs w:val="20"/>
          <w:u w:val="single"/>
        </w:rPr>
        <w:t>ngagement</w:t>
      </w:r>
      <w:r w:rsidR="0036517D" w:rsidRPr="002926D7">
        <w:rPr>
          <w:b/>
          <w:bCs/>
          <w:szCs w:val="20"/>
          <w:u w:val="single"/>
        </w:rPr>
        <w:t xml:space="preserve"> </w:t>
      </w:r>
      <w:r w:rsidR="00B816C6" w:rsidRPr="002926D7">
        <w:rPr>
          <w:b/>
          <w:bCs/>
          <w:szCs w:val="20"/>
          <w:u w:val="single"/>
        </w:rPr>
        <w:t xml:space="preserve">and </w:t>
      </w:r>
      <w:r w:rsidR="00341B73" w:rsidRPr="002926D7">
        <w:rPr>
          <w:b/>
          <w:bCs/>
          <w:szCs w:val="20"/>
          <w:u w:val="single"/>
        </w:rPr>
        <w:t>S</w:t>
      </w:r>
      <w:r w:rsidR="00B816C6" w:rsidRPr="002926D7">
        <w:rPr>
          <w:b/>
          <w:bCs/>
          <w:szCs w:val="20"/>
          <w:u w:val="single"/>
        </w:rPr>
        <w:t>outh-</w:t>
      </w:r>
      <w:r w:rsidR="00341B73" w:rsidRPr="002926D7">
        <w:rPr>
          <w:b/>
          <w:bCs/>
          <w:szCs w:val="20"/>
          <w:u w:val="single"/>
        </w:rPr>
        <w:t>S</w:t>
      </w:r>
      <w:r w:rsidR="00B816C6" w:rsidRPr="002926D7">
        <w:rPr>
          <w:b/>
          <w:bCs/>
          <w:szCs w:val="20"/>
          <w:u w:val="single"/>
        </w:rPr>
        <w:t xml:space="preserve">outh </w:t>
      </w:r>
      <w:r w:rsidR="00341B73" w:rsidRPr="002926D7">
        <w:rPr>
          <w:b/>
          <w:bCs/>
          <w:szCs w:val="20"/>
          <w:u w:val="single"/>
        </w:rPr>
        <w:t>C</w:t>
      </w:r>
      <w:r w:rsidR="00B816C6" w:rsidRPr="002926D7">
        <w:rPr>
          <w:b/>
          <w:bCs/>
          <w:szCs w:val="20"/>
          <w:u w:val="single"/>
        </w:rPr>
        <w:t>ooperation:</w:t>
      </w:r>
      <w:r w:rsidR="00707A93" w:rsidRPr="002926D7">
        <w:rPr>
          <w:b/>
          <w:bCs/>
          <w:szCs w:val="20"/>
        </w:rPr>
        <w:t xml:space="preserve"> </w:t>
      </w:r>
    </w:p>
    <w:p w14:paraId="5DE47F97" w14:textId="3E9FAE04" w:rsidR="002032EC" w:rsidRPr="002926D7" w:rsidRDefault="002032EC" w:rsidP="002926D7">
      <w:bookmarkStart w:id="101" w:name="_Hlk41904729"/>
    </w:p>
    <w:p w14:paraId="7C398400" w14:textId="4BBD7AD8" w:rsidR="009C4496" w:rsidRPr="002926D7" w:rsidRDefault="009C4496" w:rsidP="002926D7">
      <w:pPr>
        <w:numPr>
          <w:ilvl w:val="0"/>
          <w:numId w:val="8"/>
        </w:numPr>
        <w:ind w:left="0" w:firstLine="0"/>
        <w:rPr>
          <w:rFonts w:asciiTheme="minorHAnsi" w:hAnsiTheme="minorHAnsi" w:cstheme="minorHAnsi"/>
          <w:szCs w:val="20"/>
        </w:rPr>
      </w:pPr>
      <w:bookmarkStart w:id="102" w:name="_Hlk101781377"/>
      <w:bookmarkStart w:id="103" w:name="_Hlk89350583"/>
      <w:r w:rsidRPr="002926D7">
        <w:rPr>
          <w:rFonts w:asciiTheme="minorHAnsi" w:hAnsiTheme="minorHAnsi" w:cstheme="minorBidi"/>
          <w:szCs w:val="20"/>
        </w:rPr>
        <w:t xml:space="preserve">Through UNDP’s 30-year track record of implementing the SGP, the programme has become highly visible in most countries. </w:t>
      </w:r>
      <w:r w:rsidR="00327F70" w:rsidRPr="002926D7">
        <w:rPr>
          <w:rFonts w:asciiTheme="minorHAnsi" w:hAnsiTheme="minorHAnsi" w:cstheme="minorBidi"/>
          <w:szCs w:val="20"/>
        </w:rPr>
        <w:t xml:space="preserve">Stakeholder consultations were conducted in the 99 countries participating in Part 1 of OP8; a summary of the feedback obtained is included in the stakeholder engagement plan in </w:t>
      </w:r>
      <w:r w:rsidR="00327F70" w:rsidRPr="002926D7">
        <w:rPr>
          <w:rFonts w:asciiTheme="minorHAnsi" w:hAnsiTheme="minorHAnsi" w:cstheme="minorBidi"/>
          <w:b/>
          <w:bCs/>
          <w:szCs w:val="20"/>
        </w:rPr>
        <w:t>Annex 6</w:t>
      </w:r>
      <w:r w:rsidRPr="002926D7">
        <w:rPr>
          <w:rFonts w:asciiTheme="minorHAnsi" w:hAnsiTheme="minorHAnsi" w:cstheme="minorBidi"/>
          <w:szCs w:val="20"/>
        </w:rPr>
        <w:t xml:space="preserve">. </w:t>
      </w:r>
      <w:r w:rsidR="00327F70" w:rsidRPr="002926D7">
        <w:rPr>
          <w:rFonts w:asciiTheme="minorHAnsi" w:hAnsiTheme="minorHAnsi" w:cstheme="minorBidi"/>
          <w:szCs w:val="20"/>
        </w:rPr>
        <w:t>Additional</w:t>
      </w:r>
      <w:r w:rsidRPr="002926D7">
        <w:rPr>
          <w:rFonts w:asciiTheme="minorHAnsi" w:hAnsiTheme="minorHAnsi" w:cstheme="minorBidi"/>
          <w:szCs w:val="20"/>
        </w:rPr>
        <w:t xml:space="preserve"> country level stakeholder consultations will be conducted during formulation of the SGP OP8 Country Programme Strategies. Moreover, Indigenous </w:t>
      </w:r>
      <w:r w:rsidR="008920C1" w:rsidRPr="002926D7">
        <w:rPr>
          <w:rFonts w:asciiTheme="minorHAnsi" w:hAnsiTheme="minorHAnsi" w:cstheme="minorBidi"/>
          <w:szCs w:val="20"/>
        </w:rPr>
        <w:t>P</w:t>
      </w:r>
      <w:r w:rsidRPr="002926D7">
        <w:rPr>
          <w:rFonts w:asciiTheme="minorHAnsi" w:hAnsiTheme="minorHAnsi" w:cstheme="minorBidi"/>
          <w:szCs w:val="20"/>
        </w:rPr>
        <w:t>eoples and local communities, local government units and private sector partners will be</w:t>
      </w:r>
      <w:r w:rsidR="00327F70" w:rsidRPr="002926D7">
        <w:rPr>
          <w:rFonts w:asciiTheme="minorHAnsi" w:hAnsiTheme="minorHAnsi" w:cstheme="minorBidi"/>
          <w:szCs w:val="20"/>
        </w:rPr>
        <w:t xml:space="preserve"> further</w:t>
      </w:r>
      <w:r w:rsidRPr="002926D7">
        <w:rPr>
          <w:rFonts w:asciiTheme="minorHAnsi" w:hAnsiTheme="minorHAnsi" w:cstheme="minorBidi"/>
          <w:szCs w:val="20"/>
        </w:rPr>
        <w:t xml:space="preserve"> consulted during project implementation, as part of the participatory landscape-seascape baseline assessments and development of the landscape-seascape strategies.</w:t>
      </w:r>
    </w:p>
    <w:p w14:paraId="565678A3" w14:textId="77777777" w:rsidR="009C4496" w:rsidRPr="002926D7" w:rsidRDefault="009C4496" w:rsidP="002926D7"/>
    <w:p w14:paraId="2D55FE35" w14:textId="0A5FB84D" w:rsidR="009C4496" w:rsidRPr="002926D7" w:rsidRDefault="009C4496" w:rsidP="002926D7">
      <w:pPr>
        <w:numPr>
          <w:ilvl w:val="0"/>
          <w:numId w:val="8"/>
        </w:numPr>
        <w:ind w:left="0" w:firstLine="0"/>
        <w:rPr>
          <w:rFonts w:asciiTheme="minorHAnsi" w:hAnsiTheme="minorHAnsi" w:cstheme="minorHAnsi"/>
          <w:szCs w:val="20"/>
        </w:rPr>
      </w:pPr>
      <w:r w:rsidRPr="002926D7">
        <w:rPr>
          <w:rFonts w:asciiTheme="minorHAnsi" w:hAnsiTheme="minorHAnsi" w:cstheme="minorBidi"/>
          <w:szCs w:val="20"/>
        </w:rPr>
        <w:t xml:space="preserve">SGP </w:t>
      </w:r>
      <w:r w:rsidRPr="002926D7">
        <w:rPr>
          <w:rFonts w:eastAsia="Calibri" w:cs="Calibri"/>
          <w:color w:val="000000" w:themeColor="text1"/>
          <w:szCs w:val="20"/>
        </w:rPr>
        <w:t>OP8</w:t>
      </w:r>
      <w:r w:rsidRPr="002926D7">
        <w:rPr>
          <w:rFonts w:asciiTheme="minorHAnsi" w:hAnsiTheme="minorHAnsi" w:cstheme="minorBidi"/>
          <w:szCs w:val="20"/>
        </w:rPr>
        <w:t xml:space="preserve"> will operate at the country level through a multi-stakeholder landscape-seascape approach, engaging a range of stakeholders at landscape-seascape, national and global levels, including NGOs, CBOs, Indigenous Peoples, local communities, private sector, government, academia, and donor partners. Local CSOs/CBOs will be beneficiaries and direct participants in the programme. Civil society organizations, overall, will be represented on the National Steering Committees, where non-governmental members must be in the majority. Selected CSOs may also take on roles related to capacity building of local CSOs/CBOs, knowledge management, policy advocacy, etc. Although SGP is targeted at specifically empowering CSOs/CBOs, particularly vulnerable groups, including Indigenous Peoples, women, persons with disabilities, etc., a broad range of stakeholders will be engaged as active partners on platforms for landscape-seascape level participatory multi-stakeholder governance. These may include </w:t>
      </w:r>
      <w:r w:rsidRPr="002926D7">
        <w:rPr>
          <w:rFonts w:asciiTheme="minorHAnsi" w:hAnsiTheme="minorHAnsi" w:cstheme="minorBidi"/>
          <w:szCs w:val="20"/>
        </w:rPr>
        <w:lastRenderedPageBreak/>
        <w:t xml:space="preserve">local governments, </w:t>
      </w:r>
      <w:r w:rsidR="00327F70" w:rsidRPr="002926D7">
        <w:rPr>
          <w:rFonts w:asciiTheme="minorHAnsi" w:hAnsiTheme="minorHAnsi" w:cstheme="minorBidi"/>
          <w:szCs w:val="20"/>
        </w:rPr>
        <w:t xml:space="preserve">national and </w:t>
      </w:r>
      <w:r w:rsidRPr="002926D7">
        <w:rPr>
          <w:rFonts w:asciiTheme="minorHAnsi" w:hAnsiTheme="minorHAnsi" w:cstheme="minorBidi"/>
          <w:szCs w:val="20"/>
        </w:rPr>
        <w:t>local private sector entities and entrepreneurs, and academic institutions, as well as national experts.</w:t>
      </w:r>
    </w:p>
    <w:p w14:paraId="57060B2C" w14:textId="77777777" w:rsidR="009C4496" w:rsidRPr="002926D7" w:rsidRDefault="009C4496" w:rsidP="002926D7"/>
    <w:p w14:paraId="769B1878" w14:textId="77777777" w:rsidR="009C4496" w:rsidRPr="002926D7" w:rsidRDefault="009C4496" w:rsidP="002926D7">
      <w:pPr>
        <w:numPr>
          <w:ilvl w:val="0"/>
          <w:numId w:val="8"/>
        </w:numPr>
        <w:ind w:left="0" w:firstLine="0"/>
        <w:rPr>
          <w:rFonts w:asciiTheme="minorHAnsi" w:hAnsiTheme="minorHAnsi" w:cstheme="minorHAnsi"/>
          <w:szCs w:val="20"/>
        </w:rPr>
      </w:pPr>
      <w:r w:rsidRPr="002926D7">
        <w:rPr>
          <w:rFonts w:asciiTheme="minorHAnsi" w:hAnsiTheme="minorHAnsi" w:cstheme="minorBidi"/>
          <w:szCs w:val="20"/>
        </w:rPr>
        <w:t xml:space="preserve">Regarding Indigenous Peoples and other marginalized groups, SGP </w:t>
      </w:r>
      <w:r w:rsidRPr="002926D7">
        <w:rPr>
          <w:rFonts w:eastAsia="Calibri" w:cs="Calibri"/>
          <w:color w:val="000000" w:themeColor="text1"/>
          <w:szCs w:val="20"/>
        </w:rPr>
        <w:t>OP8</w:t>
      </w:r>
      <w:r w:rsidRPr="002926D7">
        <w:rPr>
          <w:rFonts w:asciiTheme="minorHAnsi" w:hAnsiTheme="minorHAnsi" w:cstheme="minorBidi"/>
          <w:szCs w:val="20"/>
        </w:rPr>
        <w:t xml:space="preserve"> follows a set of principles that advocate a flexible, time-sensitive, and simplified project cycle to allow these groups to benefit from the programme. As evidenced by SGP participatory video, photo stories, and community </w:t>
      </w:r>
      <w:bookmarkStart w:id="104" w:name="_Int_Wb68srW2"/>
      <w:r w:rsidRPr="002926D7">
        <w:rPr>
          <w:rFonts w:asciiTheme="minorHAnsi" w:hAnsiTheme="minorHAnsi" w:cstheme="minorBidi"/>
          <w:szCs w:val="20"/>
        </w:rPr>
        <w:t>theatre, SGP in OP</w:t>
      </w:r>
      <w:bookmarkEnd w:id="104"/>
      <w:r w:rsidRPr="002926D7">
        <w:rPr>
          <w:rFonts w:asciiTheme="minorHAnsi" w:hAnsiTheme="minorHAnsi" w:cstheme="minorBidi"/>
          <w:szCs w:val="20"/>
        </w:rPr>
        <w:t xml:space="preserve">8 will build on this longstanding experience in working with poor and marginalized groups. This includes using alternative formats for grant proposal submission in local and vernacular languages. The programme will also include flexible disbursement terms to adapt to Indigenous Peoples’ culture, customs and seasonal movements. SGP </w:t>
      </w:r>
      <w:r w:rsidRPr="002926D7">
        <w:rPr>
          <w:rFonts w:eastAsia="Calibri" w:cs="Calibri"/>
          <w:color w:val="000000" w:themeColor="text1"/>
          <w:szCs w:val="20"/>
        </w:rPr>
        <w:t>OP8</w:t>
      </w:r>
      <w:r w:rsidRPr="002926D7">
        <w:rPr>
          <w:rFonts w:asciiTheme="minorHAnsi" w:hAnsiTheme="minorHAnsi" w:cstheme="minorBidi"/>
          <w:szCs w:val="20"/>
        </w:rPr>
        <w:t xml:space="preserve"> will make extra efforts to reach people and groups who are often marginalized or disadvantaged. Empowering women and engaging youth are two important current initiatives of SGP.  The SGP NSCs at the Country Program level designate focal points for Indigenous Peoples (in relevant countries), gender and youth to ensure these voices are heard. Additionally, through stakeholder workshops, communication through mass media and targeted outreach by the National Coordinators in their respective countries, local CSOs/CBOs can learn of SGP projects and activities and provide inputs on how to improve on them.</w:t>
      </w:r>
    </w:p>
    <w:p w14:paraId="133E5820" w14:textId="77777777" w:rsidR="009C4496" w:rsidRPr="002926D7" w:rsidRDefault="009C4496" w:rsidP="002926D7">
      <w:pPr>
        <w:rPr>
          <w:rFonts w:asciiTheme="minorHAnsi" w:hAnsiTheme="minorHAnsi" w:cstheme="minorHAnsi"/>
          <w:szCs w:val="20"/>
        </w:rPr>
      </w:pPr>
    </w:p>
    <w:p w14:paraId="17C77690" w14:textId="13AC735B" w:rsidR="009C4496" w:rsidRPr="002926D7" w:rsidRDefault="009C4496" w:rsidP="002926D7">
      <w:pPr>
        <w:numPr>
          <w:ilvl w:val="0"/>
          <w:numId w:val="8"/>
        </w:numPr>
        <w:ind w:left="0" w:firstLine="0"/>
        <w:rPr>
          <w:rFonts w:asciiTheme="minorHAnsi" w:hAnsiTheme="minorHAnsi" w:cstheme="minorHAnsi"/>
          <w:szCs w:val="20"/>
        </w:rPr>
      </w:pPr>
      <w:r w:rsidRPr="002926D7">
        <w:rPr>
          <w:rFonts w:asciiTheme="minorHAnsi" w:hAnsiTheme="minorHAnsi" w:cstheme="minorBidi"/>
          <w:szCs w:val="20"/>
        </w:rPr>
        <w:t xml:space="preserve">As for the private sector, SGP </w:t>
      </w:r>
      <w:r w:rsidRPr="002926D7">
        <w:rPr>
          <w:rFonts w:eastAsia="Calibri" w:cs="Calibri"/>
          <w:color w:val="000000" w:themeColor="text1"/>
          <w:szCs w:val="20"/>
        </w:rPr>
        <w:t>OP8</w:t>
      </w:r>
      <w:r w:rsidRPr="002926D7">
        <w:rPr>
          <w:rFonts w:asciiTheme="minorHAnsi" w:hAnsiTheme="minorHAnsi" w:cstheme="minorBidi"/>
          <w:szCs w:val="20"/>
        </w:rPr>
        <w:t xml:space="preserve"> will include mechanisms for engaging with the private sector through their potential engagement on landscape-seascape multi-stakeholder platforms as well as in support of regular grant projects through enhanced involvement in public-private partnerships and other means. In line with the GEF 8 Programming Directions’ emphasis on engagement with the private sector, SGP will enhance its work with the private sector through a number of ways, including but not limited to engagement at landscape-seascape and national levels to influence businesses towards sustainable practices; and exploring entry points at landscape-seascape, national and global levels for private sector engagement </w:t>
      </w:r>
      <w:r w:rsidR="00016231" w:rsidRPr="002926D7">
        <w:rPr>
          <w:rFonts w:asciiTheme="minorHAnsi" w:hAnsiTheme="minorHAnsi" w:cstheme="minorBidi"/>
        </w:rPr>
        <w:t>that can assist in financing and supporting locally developed nature-positive innovations. Engagement with micro, small and medium enterprises can also provide peer-to-peer support and knowledge exchange to support nature-positive, locally</w:t>
      </w:r>
      <w:r w:rsidR="008920C1" w:rsidRPr="002926D7">
        <w:rPr>
          <w:rFonts w:asciiTheme="minorHAnsi" w:hAnsiTheme="minorHAnsi" w:cstheme="minorBidi"/>
        </w:rPr>
        <w:t>-</w:t>
      </w:r>
      <w:r w:rsidR="00016231" w:rsidRPr="002926D7">
        <w:rPr>
          <w:rFonts w:asciiTheme="minorHAnsi" w:hAnsiTheme="minorHAnsi" w:cstheme="minorBidi"/>
        </w:rPr>
        <w:t>developed innovations</w:t>
      </w:r>
      <w:r w:rsidRPr="002926D7">
        <w:rPr>
          <w:rFonts w:asciiTheme="minorHAnsi" w:hAnsiTheme="minorHAnsi" w:cstheme="minorBidi"/>
          <w:szCs w:val="20"/>
        </w:rPr>
        <w:t>.</w:t>
      </w:r>
    </w:p>
    <w:p w14:paraId="5A1C33B9" w14:textId="77777777" w:rsidR="009C4496" w:rsidRPr="002926D7" w:rsidRDefault="009C4496" w:rsidP="002926D7"/>
    <w:p w14:paraId="4B5F4651" w14:textId="0E39971F" w:rsidR="009C4496" w:rsidRPr="002926D7" w:rsidRDefault="009C4496" w:rsidP="002926D7">
      <w:pPr>
        <w:numPr>
          <w:ilvl w:val="0"/>
          <w:numId w:val="8"/>
        </w:numPr>
        <w:ind w:left="0" w:firstLine="0"/>
        <w:rPr>
          <w:rFonts w:asciiTheme="minorHAnsi" w:hAnsiTheme="minorHAnsi" w:cstheme="minorHAnsi"/>
          <w:szCs w:val="20"/>
        </w:rPr>
      </w:pPr>
      <w:r w:rsidRPr="002926D7">
        <w:rPr>
          <w:rFonts w:asciiTheme="minorHAnsi" w:hAnsiTheme="minorHAnsi" w:cstheme="minorBidi"/>
          <w:szCs w:val="20"/>
        </w:rPr>
        <w:t>In line with GEF</w:t>
      </w:r>
      <w:r w:rsidR="00016231" w:rsidRPr="002926D7">
        <w:rPr>
          <w:rFonts w:asciiTheme="minorHAnsi" w:hAnsiTheme="minorHAnsi" w:cstheme="minorBidi"/>
          <w:szCs w:val="20"/>
        </w:rPr>
        <w:t xml:space="preserve"> and UNDP</w:t>
      </w:r>
      <w:r w:rsidRPr="002926D7">
        <w:rPr>
          <w:rFonts w:asciiTheme="minorHAnsi" w:hAnsiTheme="minorHAnsi" w:cstheme="minorBidi"/>
          <w:szCs w:val="20"/>
        </w:rPr>
        <w:t xml:space="preserve"> polic</w:t>
      </w:r>
      <w:r w:rsidR="00016231" w:rsidRPr="002926D7">
        <w:rPr>
          <w:rFonts w:asciiTheme="minorHAnsi" w:hAnsiTheme="minorHAnsi" w:cstheme="minorBidi"/>
          <w:szCs w:val="20"/>
        </w:rPr>
        <w:t xml:space="preserve">ies </w:t>
      </w:r>
      <w:r w:rsidRPr="002926D7">
        <w:rPr>
          <w:rFonts w:asciiTheme="minorHAnsi" w:hAnsiTheme="minorHAnsi" w:cstheme="minorBidi"/>
          <w:szCs w:val="20"/>
        </w:rPr>
        <w:t xml:space="preserve">on stakeholder engagement, a stakeholder engagement plan </w:t>
      </w:r>
      <w:r w:rsidR="00016231" w:rsidRPr="002926D7">
        <w:rPr>
          <w:rFonts w:asciiTheme="minorHAnsi" w:hAnsiTheme="minorHAnsi" w:cstheme="minorBidi"/>
          <w:szCs w:val="20"/>
        </w:rPr>
        <w:t xml:space="preserve">was prepared during the OP8 preparation phase (see </w:t>
      </w:r>
      <w:r w:rsidR="00016231" w:rsidRPr="002926D7">
        <w:rPr>
          <w:rFonts w:asciiTheme="minorHAnsi" w:hAnsiTheme="minorHAnsi" w:cstheme="minorBidi"/>
          <w:b/>
          <w:bCs/>
          <w:szCs w:val="20"/>
        </w:rPr>
        <w:t>Annex 6</w:t>
      </w:r>
      <w:r w:rsidR="00016231" w:rsidRPr="002926D7">
        <w:rPr>
          <w:rFonts w:asciiTheme="minorHAnsi" w:hAnsiTheme="minorHAnsi" w:cstheme="minorBidi"/>
          <w:szCs w:val="20"/>
        </w:rPr>
        <w:t>)</w:t>
      </w:r>
      <w:r w:rsidRPr="002926D7">
        <w:rPr>
          <w:rFonts w:asciiTheme="minorHAnsi" w:hAnsiTheme="minorHAnsi" w:cstheme="minorBidi"/>
          <w:szCs w:val="20"/>
        </w:rPr>
        <w:t xml:space="preserve">. The primary objectives of the plan </w:t>
      </w:r>
      <w:r w:rsidR="00016231" w:rsidRPr="002926D7">
        <w:rPr>
          <w:rFonts w:asciiTheme="minorHAnsi" w:hAnsiTheme="minorHAnsi" w:cstheme="minorBidi"/>
          <w:szCs w:val="20"/>
        </w:rPr>
        <w:t>is</w:t>
      </w:r>
      <w:r w:rsidRPr="002926D7">
        <w:rPr>
          <w:rFonts w:asciiTheme="minorHAnsi" w:hAnsiTheme="minorHAnsi" w:cstheme="minorBidi"/>
          <w:szCs w:val="20"/>
        </w:rPr>
        <w:t xml:space="preserve"> to i) integrate concerns, needs, and interests of key stakeholders to ensure effective and efficient project planning and implementation for better outcome; ii) ensure local ownership and participation of marginalized groups, including women, Indigenous Peoples, youth, and other vulnerable groups, in project design and implementation; iii) collaborate with diverse key stakeholders for increasing adaptability, sustainability, and replicability of project results; and iv) avoid and minimize negative impacts of the project on local communities, their institutions or environment by ensuring that local stakeholders drive project design and implementation.</w:t>
      </w:r>
    </w:p>
    <w:p w14:paraId="736D0E51" w14:textId="77777777" w:rsidR="009C4496" w:rsidRPr="002926D7" w:rsidRDefault="009C4496" w:rsidP="002926D7">
      <w:pPr>
        <w:rPr>
          <w:rFonts w:asciiTheme="minorHAnsi" w:hAnsiTheme="minorHAnsi" w:cstheme="minorBidi"/>
        </w:rPr>
      </w:pPr>
    </w:p>
    <w:p w14:paraId="6AB236E3" w14:textId="1F74B52C" w:rsidR="00225038" w:rsidRPr="002926D7" w:rsidRDefault="00CD74E0" w:rsidP="002926D7">
      <w:pPr>
        <w:rPr>
          <w:rFonts w:cstheme="minorHAnsi"/>
          <w:color w:val="000000"/>
          <w:szCs w:val="20"/>
          <w:lang w:eastAsia="ja-JP"/>
        </w:rPr>
      </w:pPr>
      <w:bookmarkStart w:id="105" w:name="_Hlk122105078"/>
      <w:bookmarkEnd w:id="101"/>
      <w:bookmarkEnd w:id="102"/>
      <w:bookmarkEnd w:id="103"/>
      <w:r w:rsidRPr="002926D7">
        <w:rPr>
          <w:rFonts w:cstheme="minorHAnsi"/>
          <w:b/>
          <w:bCs/>
          <w:color w:val="000000"/>
          <w:u w:val="single"/>
          <w:lang w:eastAsia="ja-JP"/>
        </w:rPr>
        <w:t xml:space="preserve">Engagement with the </w:t>
      </w:r>
      <w:r w:rsidR="00F93158" w:rsidRPr="002926D7">
        <w:rPr>
          <w:rFonts w:cstheme="minorHAnsi"/>
          <w:b/>
          <w:bCs/>
          <w:color w:val="000000"/>
          <w:u w:val="single"/>
          <w:lang w:eastAsia="ja-JP"/>
        </w:rPr>
        <w:t>Private</w:t>
      </w:r>
      <w:r w:rsidRPr="002926D7">
        <w:rPr>
          <w:rFonts w:cstheme="minorHAnsi"/>
          <w:b/>
          <w:bCs/>
          <w:color w:val="000000"/>
          <w:u w:val="single"/>
          <w:lang w:eastAsia="ja-JP"/>
        </w:rPr>
        <w:t xml:space="preserve"> </w:t>
      </w:r>
      <w:r w:rsidR="00341B73" w:rsidRPr="002926D7">
        <w:rPr>
          <w:rFonts w:cstheme="minorHAnsi"/>
          <w:b/>
          <w:bCs/>
          <w:color w:val="000000"/>
          <w:u w:val="single"/>
          <w:lang w:eastAsia="ja-JP"/>
        </w:rPr>
        <w:t>S</w:t>
      </w:r>
      <w:r w:rsidRPr="002926D7">
        <w:rPr>
          <w:rFonts w:cstheme="minorHAnsi"/>
          <w:b/>
          <w:bCs/>
          <w:color w:val="000000"/>
          <w:u w:val="single"/>
          <w:lang w:eastAsia="ja-JP"/>
        </w:rPr>
        <w:t>ector</w:t>
      </w:r>
      <w:r w:rsidR="00225038" w:rsidRPr="002926D7">
        <w:rPr>
          <w:rFonts w:cstheme="minorHAnsi"/>
          <w:color w:val="000000"/>
          <w:lang w:eastAsia="ja-JP"/>
        </w:rPr>
        <w:t>:</w:t>
      </w:r>
      <w:r w:rsidRPr="002926D7">
        <w:rPr>
          <w:rFonts w:cstheme="minorHAnsi"/>
          <w:color w:val="000000"/>
          <w:lang w:eastAsia="ja-JP"/>
        </w:rPr>
        <w:t xml:space="preserve"> </w:t>
      </w:r>
      <w:bookmarkStart w:id="106" w:name="_Hlk101781696"/>
      <w:bookmarkStart w:id="107" w:name="_Hlk71020110"/>
    </w:p>
    <w:p w14:paraId="51F09016" w14:textId="77777777" w:rsidR="00225038" w:rsidRPr="002926D7" w:rsidRDefault="00225038" w:rsidP="002926D7">
      <w:pPr>
        <w:pStyle w:val="ListParagraph"/>
        <w:rPr>
          <w:szCs w:val="20"/>
        </w:rPr>
      </w:pPr>
    </w:p>
    <w:p w14:paraId="48348FF8" w14:textId="77777777" w:rsidR="009C4496" w:rsidRPr="002926D7" w:rsidRDefault="009C4496" w:rsidP="002926D7">
      <w:pPr>
        <w:numPr>
          <w:ilvl w:val="0"/>
          <w:numId w:val="8"/>
        </w:numPr>
        <w:ind w:left="0" w:firstLine="0"/>
      </w:pPr>
      <w:bookmarkStart w:id="108" w:name="_Hlk124780066"/>
      <w:r w:rsidRPr="002926D7">
        <w:t>SGP projects at local and landscape-seascape levels are designed to provide community-based solutions to complex environmental problems. Given the interrelated and integrated nature of such environmental problems, engagement and partnership with a wide variety of stakeholders and actors, including the private sector will be important if the programme is to affect meaningful and transformative change – be this through transforming policies and regulatory frameworks or through building capacities and empowering local actors at the community level. During OP7, SGP developed a Guidance Note on Private Sector Engagement with the GEF Secretariat and UNDP’s private sector experts, a practical guide for NCs and NSCs to further enhance engagement with the private sectors to scale up relevant initiatives with further financial and technical resources.  This will be further updated and implemented under SGP OP8 in relevant countries.</w:t>
      </w:r>
    </w:p>
    <w:p w14:paraId="1B81FF85" w14:textId="77777777" w:rsidR="009C4496" w:rsidRPr="002926D7" w:rsidRDefault="009C4496" w:rsidP="002926D7"/>
    <w:p w14:paraId="1EA17C9C" w14:textId="6144EC78" w:rsidR="009C4496" w:rsidRPr="002926D7" w:rsidRDefault="009C4496" w:rsidP="002926D7">
      <w:pPr>
        <w:numPr>
          <w:ilvl w:val="0"/>
          <w:numId w:val="8"/>
        </w:numPr>
        <w:ind w:left="0" w:firstLine="0"/>
      </w:pPr>
      <w:r w:rsidRPr="002926D7">
        <w:rPr>
          <w:rFonts w:asciiTheme="minorHAnsi" w:hAnsiTheme="minorHAnsi" w:cstheme="minorBidi"/>
          <w:szCs w:val="20"/>
        </w:rPr>
        <w:t xml:space="preserve">In line with the GEF 8 Programming Directions and the GEF's Private Sector Engagement Strategy, the proposed SGP </w:t>
      </w:r>
      <w:r w:rsidRPr="002926D7">
        <w:rPr>
          <w:rFonts w:eastAsia="Calibri" w:cs="Calibri"/>
          <w:color w:val="000000" w:themeColor="text1"/>
          <w:szCs w:val="20"/>
        </w:rPr>
        <w:t>OP8</w:t>
      </w:r>
      <w:r w:rsidR="00016231" w:rsidRPr="002926D7">
        <w:rPr>
          <w:rFonts w:eastAsia="Calibri" w:cs="Calibri"/>
          <w:color w:val="000000" w:themeColor="text1"/>
          <w:szCs w:val="20"/>
        </w:rPr>
        <w:t xml:space="preserve"> strategy</w:t>
      </w:r>
      <w:r w:rsidRPr="002926D7">
        <w:rPr>
          <w:rFonts w:asciiTheme="minorHAnsi" w:hAnsiTheme="minorHAnsi" w:cstheme="minorBidi"/>
          <w:szCs w:val="20"/>
        </w:rPr>
        <w:t xml:space="preserve"> is grounded on the principle that an important characteristic of a well-functioning state is synergy between government, civil society and the private sector. SGP </w:t>
      </w:r>
      <w:r w:rsidRPr="002926D7">
        <w:rPr>
          <w:rFonts w:eastAsia="Calibri" w:cs="Calibri"/>
          <w:color w:val="000000" w:themeColor="text1"/>
          <w:szCs w:val="20"/>
        </w:rPr>
        <w:t>OP8</w:t>
      </w:r>
      <w:r w:rsidRPr="002926D7">
        <w:rPr>
          <w:rFonts w:asciiTheme="minorHAnsi" w:hAnsiTheme="minorHAnsi" w:cstheme="minorBidi"/>
          <w:szCs w:val="20"/>
        </w:rPr>
        <w:t xml:space="preserve"> will boost its engagement with the private sector through different ways, including engagement at the national level but most importantly through the participatory multi-stakeholder landscape-seascape platforms that each Country Programme will help facilitate strengthened dialogue and influence businesses toward sustainable practices; and explore entry points at landscape-</w:t>
      </w:r>
      <w:r w:rsidRPr="002926D7">
        <w:rPr>
          <w:rFonts w:asciiTheme="minorHAnsi" w:hAnsiTheme="minorHAnsi" w:cstheme="minorBidi"/>
          <w:szCs w:val="20"/>
        </w:rPr>
        <w:lastRenderedPageBreak/>
        <w:t>seascape, national and global levels for private sector engagement and engagement with micro, small and medium enterprises in the landscape-seascapes that can help scale up innovations.</w:t>
      </w:r>
    </w:p>
    <w:p w14:paraId="482FB044" w14:textId="77777777" w:rsidR="008920C1" w:rsidRPr="002926D7" w:rsidRDefault="008920C1" w:rsidP="002926D7">
      <w:pPr>
        <w:pStyle w:val="ListParagraph"/>
        <w:rPr>
          <w:rFonts w:asciiTheme="minorHAnsi" w:hAnsiTheme="minorHAnsi" w:cstheme="minorHAnsi"/>
        </w:rPr>
      </w:pPr>
    </w:p>
    <w:p w14:paraId="34362611" w14:textId="333FA5A2" w:rsidR="009C4496" w:rsidRPr="002926D7" w:rsidRDefault="008920C1" w:rsidP="002926D7">
      <w:pPr>
        <w:numPr>
          <w:ilvl w:val="0"/>
          <w:numId w:val="8"/>
        </w:numPr>
        <w:ind w:left="0" w:firstLine="0"/>
        <w:rPr>
          <w:rFonts w:asciiTheme="minorHAnsi" w:hAnsiTheme="minorHAnsi" w:cstheme="minorHAnsi"/>
        </w:rPr>
      </w:pPr>
      <w:r w:rsidRPr="002926D7">
        <w:rPr>
          <w:rFonts w:asciiTheme="minorHAnsi" w:hAnsiTheme="minorHAnsi" w:cstheme="minorHAnsi"/>
        </w:rPr>
        <w:t>In response to the GEF evaluation stating that many grantees of the SGP have potential to be micro, small and medium enterprises and should be further supported, the SGP is piloting an initiative for potential and established nature-positive  micro, small, medium enterprises in value chain development through courses in business planning, understanding marketing for wholesale and retail, e-commerce, cross-border trade, and credit and financial assistance.  Mentoring from private sector companies and peer-to-peer mentoring from other micro, small and medium enterprises are interspersed throughout the courses. The SGP will generate lessons learned in three pilot country programmes, before expanding to other country programmes, in</w:t>
      </w:r>
      <w:r w:rsidRPr="002926D7">
        <w:rPr>
          <w:rFonts w:asciiTheme="minorHAnsi" w:hAnsiTheme="minorHAnsi" w:cstheme="minorHAnsi"/>
          <w:szCs w:val="20"/>
        </w:rPr>
        <w:t xml:space="preserve"> supporting micro, small, medium enterprises to thrive as successful and independent businesses with </w:t>
      </w:r>
      <w:r w:rsidRPr="002926D7">
        <w:rPr>
          <w:rFonts w:asciiTheme="minorHAnsi" w:eastAsia="Times New Roman" w:hAnsiTheme="minorHAnsi" w:cstheme="minorHAnsi"/>
          <w:szCs w:val="20"/>
          <w:lang w:val="en-GB"/>
        </w:rPr>
        <w:t>commerc</w:t>
      </w:r>
      <w:r w:rsidRPr="002926D7">
        <w:rPr>
          <w:rFonts w:asciiTheme="minorHAnsi" w:eastAsiaTheme="minorEastAsia" w:hAnsiTheme="minorHAnsi" w:cstheme="minorHAnsi"/>
          <w:szCs w:val="20"/>
          <w:lang w:val="en-GB"/>
        </w:rPr>
        <w:t>ially sustainable business models that demonstrate that environmentally sustainable production can be a competitive advantage and incentivize producers to continue with this production model.</w:t>
      </w:r>
    </w:p>
    <w:p w14:paraId="2222C117" w14:textId="77777777" w:rsidR="008920C1" w:rsidRPr="002926D7" w:rsidRDefault="008920C1" w:rsidP="002926D7">
      <w:pPr>
        <w:rPr>
          <w:rFonts w:asciiTheme="minorHAnsi" w:hAnsiTheme="minorHAnsi" w:cstheme="minorHAnsi"/>
        </w:rPr>
      </w:pPr>
    </w:p>
    <w:p w14:paraId="115C6FCC" w14:textId="2B029F2E" w:rsidR="009C4496" w:rsidRPr="002926D7" w:rsidRDefault="009C4496" w:rsidP="002926D7">
      <w:pPr>
        <w:numPr>
          <w:ilvl w:val="0"/>
          <w:numId w:val="8"/>
        </w:numPr>
        <w:ind w:left="0" w:firstLine="0"/>
      </w:pPr>
      <w:r w:rsidRPr="002926D7">
        <w:rPr>
          <w:rFonts w:asciiTheme="minorHAnsi" w:hAnsiTheme="minorHAnsi" w:cstheme="minorBidi"/>
          <w:szCs w:val="20"/>
        </w:rPr>
        <w:t>Engagement with the private sector will be important throughout programme implementation, reaching out to companies that are buyers of community products, as well as companies that can support product development or market research. To attract investment by the private sector, engagement with financial institutions and establishment of public-private partnerships to facilitate increased access to credit schemes is necessary. Furthermore, the engagement with both private sector and financial institutions will allow local communities to access processing technology.</w:t>
      </w:r>
      <w:r w:rsidRPr="002926D7">
        <w:rPr>
          <w:rFonts w:asciiTheme="minorHAnsi" w:hAnsiTheme="minorHAnsi" w:cstheme="minorBidi"/>
        </w:rPr>
        <w:t xml:space="preserve"> </w:t>
      </w:r>
    </w:p>
    <w:p w14:paraId="22398F72" w14:textId="77777777" w:rsidR="009C4496" w:rsidRPr="002926D7" w:rsidRDefault="009C4496" w:rsidP="002926D7">
      <w:pPr>
        <w:rPr>
          <w:rFonts w:asciiTheme="minorHAnsi" w:hAnsiTheme="minorHAnsi" w:cstheme="minorBidi"/>
          <w:szCs w:val="20"/>
        </w:rPr>
      </w:pPr>
    </w:p>
    <w:p w14:paraId="2C485185" w14:textId="2E2E2944" w:rsidR="00684712" w:rsidRPr="002926D7" w:rsidRDefault="008920C1" w:rsidP="002926D7">
      <w:pPr>
        <w:numPr>
          <w:ilvl w:val="0"/>
          <w:numId w:val="8"/>
        </w:numPr>
        <w:ind w:left="0" w:firstLine="0"/>
      </w:pPr>
      <w:r w:rsidRPr="002926D7">
        <w:rPr>
          <w:rFonts w:asciiTheme="minorHAnsi" w:eastAsiaTheme="minorEastAsia" w:hAnsiTheme="minorHAnsi" w:cstheme="minorBidi"/>
        </w:rPr>
        <w:t xml:space="preserve">Such engagement is expected to take place across all GEF thematic areas. For instance, in terms of </w:t>
      </w:r>
      <w:r w:rsidRPr="002926D7">
        <w:rPr>
          <w:rFonts w:asciiTheme="minorHAnsi" w:eastAsiaTheme="minorEastAsia" w:hAnsiTheme="minorHAnsi" w:cstheme="minorBidi"/>
          <w:i/>
          <w:iCs/>
        </w:rPr>
        <w:t>sustainable agriculture, fisheries and food security</w:t>
      </w:r>
      <w:r w:rsidRPr="002926D7">
        <w:rPr>
          <w:rFonts w:asciiTheme="minorHAnsi" w:eastAsiaTheme="minorEastAsia" w:hAnsiTheme="minorHAnsi" w:cstheme="minorBidi"/>
        </w:rPr>
        <w:t>, the programme will strengthen partnerships with the private sector by reaching out to companies that are buyers of non-timber forest products, fish and other marine resources or other local community products, as well as companies that have skills for product development or market research; and innovative, affordable, and practical solutions to chemicals and waste management. Similarly, the role of the private sector in low-carbon energy is critical in promoting community-level technologies. The programme will also explore opportunities to engage with the private sector in supporting community-based management of threatened ecosystems and species, including through the generation of incentives for local communities to sustainably manage and conserve biodiversity. The programme will work with other national and local private sector stakeholders to identify and support exploration of incentives to sustainably manage waste and chemicals</w:t>
      </w:r>
      <w:r w:rsidR="5941517D" w:rsidRPr="002926D7">
        <w:t>.</w:t>
      </w:r>
    </w:p>
    <w:bookmarkEnd w:id="105"/>
    <w:bookmarkEnd w:id="108"/>
    <w:p w14:paraId="602C5A46" w14:textId="77777777" w:rsidR="00225038" w:rsidRPr="002926D7" w:rsidRDefault="00225038" w:rsidP="002926D7">
      <w:pPr>
        <w:rPr>
          <w:rFonts w:asciiTheme="minorHAnsi" w:hAnsiTheme="minorHAnsi" w:cstheme="minorHAnsi"/>
          <w:color w:val="000000"/>
          <w:szCs w:val="20"/>
          <w:lang w:eastAsia="ja-JP"/>
        </w:rPr>
      </w:pPr>
    </w:p>
    <w:p w14:paraId="77BD7FCD" w14:textId="77777777" w:rsidR="00225038" w:rsidRPr="002926D7" w:rsidRDefault="00B816C6" w:rsidP="002926D7">
      <w:pPr>
        <w:rPr>
          <w:bCs/>
          <w:szCs w:val="20"/>
        </w:rPr>
      </w:pPr>
      <w:bookmarkStart w:id="109" w:name="_Hlk41905257"/>
      <w:bookmarkEnd w:id="106"/>
      <w:bookmarkEnd w:id="107"/>
      <w:r w:rsidRPr="002926D7">
        <w:rPr>
          <w:rFonts w:asciiTheme="minorHAnsi" w:hAnsiTheme="minorHAnsi" w:cstheme="minorHAnsi"/>
          <w:b/>
          <w:szCs w:val="20"/>
        </w:rPr>
        <w:t>South</w:t>
      </w:r>
      <w:r w:rsidRPr="002926D7">
        <w:rPr>
          <w:b/>
          <w:szCs w:val="20"/>
        </w:rPr>
        <w:t>-</w:t>
      </w:r>
      <w:r w:rsidR="00341B73" w:rsidRPr="002926D7">
        <w:rPr>
          <w:b/>
          <w:szCs w:val="20"/>
        </w:rPr>
        <w:t>S</w:t>
      </w:r>
      <w:r w:rsidRPr="002926D7">
        <w:rPr>
          <w:b/>
          <w:szCs w:val="20"/>
        </w:rPr>
        <w:t xml:space="preserve">outh </w:t>
      </w:r>
      <w:r w:rsidR="00341B73" w:rsidRPr="002926D7">
        <w:rPr>
          <w:b/>
          <w:szCs w:val="20"/>
        </w:rPr>
        <w:t>C</w:t>
      </w:r>
      <w:r w:rsidRPr="002926D7">
        <w:rPr>
          <w:b/>
          <w:szCs w:val="20"/>
        </w:rPr>
        <w:t>ooperation</w:t>
      </w:r>
      <w:r w:rsidRPr="002926D7">
        <w:rPr>
          <w:bCs/>
          <w:szCs w:val="20"/>
        </w:rPr>
        <w:t>:</w:t>
      </w:r>
      <w:bookmarkStart w:id="110" w:name="_Hlk71019208"/>
    </w:p>
    <w:p w14:paraId="1281C9C1" w14:textId="1825A87D" w:rsidR="00225038" w:rsidRPr="002926D7" w:rsidRDefault="00D86DDE" w:rsidP="002926D7">
      <w:pPr>
        <w:rPr>
          <w:rFonts w:asciiTheme="minorHAnsi" w:hAnsiTheme="minorHAnsi" w:cstheme="minorHAnsi"/>
        </w:rPr>
      </w:pPr>
      <w:r w:rsidRPr="002926D7">
        <w:rPr>
          <w:bCs/>
          <w:szCs w:val="20"/>
        </w:rPr>
        <w:t xml:space="preserve"> </w:t>
      </w:r>
      <w:bookmarkStart w:id="111" w:name="_Hlk101781561"/>
    </w:p>
    <w:p w14:paraId="1242B7D1" w14:textId="3EE6CC80" w:rsidR="008E50A4" w:rsidRPr="002926D7" w:rsidRDefault="00016231" w:rsidP="002926D7">
      <w:pPr>
        <w:numPr>
          <w:ilvl w:val="0"/>
          <w:numId w:val="8"/>
        </w:numPr>
        <w:ind w:left="0" w:firstLine="0"/>
        <w:rPr>
          <w:rFonts w:asciiTheme="minorHAnsi" w:hAnsiTheme="minorHAnsi" w:cstheme="minorHAnsi"/>
          <w:iCs/>
          <w:szCs w:val="20"/>
        </w:rPr>
      </w:pPr>
      <w:bookmarkStart w:id="112" w:name="_Hlk121848903"/>
      <w:r w:rsidRPr="002926D7">
        <w:rPr>
          <w:rFonts w:asciiTheme="minorHAnsi" w:hAnsiTheme="minorHAnsi" w:cstheme="minorHAnsi"/>
          <w:iCs/>
          <w:szCs w:val="20"/>
        </w:rPr>
        <w:t xml:space="preserve">The OP8 strategy includes a dedicated output (3.1.2) on promoting knowledge transfer and replication, including through South-South exchanges. Results will be disseminated </w:t>
      </w:r>
      <w:r w:rsidR="008E50A4" w:rsidRPr="002926D7">
        <w:rPr>
          <w:rFonts w:asciiTheme="minorHAnsi" w:hAnsiTheme="minorHAnsi" w:cstheme="minorHAnsi"/>
          <w:iCs/>
          <w:szCs w:val="20"/>
        </w:rPr>
        <w:t xml:space="preserve">through the </w:t>
      </w:r>
      <w:r w:rsidR="000E6AB0" w:rsidRPr="002926D7">
        <w:rPr>
          <w:rFonts w:asciiTheme="minorHAnsi" w:hAnsiTheme="minorHAnsi" w:cstheme="minorHAnsi"/>
          <w:iCs/>
          <w:szCs w:val="20"/>
        </w:rPr>
        <w:t xml:space="preserve">UNDP </w:t>
      </w:r>
      <w:r w:rsidR="008E50A4" w:rsidRPr="002926D7">
        <w:rPr>
          <w:rFonts w:asciiTheme="minorHAnsi" w:hAnsiTheme="minorHAnsi" w:cstheme="minorHAnsi"/>
          <w:iCs/>
          <w:szCs w:val="20"/>
        </w:rPr>
        <w:t xml:space="preserve">South-South </w:t>
      </w:r>
      <w:r w:rsidR="000E6AB0" w:rsidRPr="002926D7">
        <w:rPr>
          <w:rFonts w:asciiTheme="minorHAnsi" w:hAnsiTheme="minorHAnsi" w:cstheme="minorHAnsi"/>
          <w:iCs/>
          <w:szCs w:val="20"/>
        </w:rPr>
        <w:t>Exchange Platforms</w:t>
      </w:r>
      <w:r w:rsidR="00E20942" w:rsidRPr="002926D7">
        <w:rPr>
          <w:rFonts w:asciiTheme="minorHAnsi" w:hAnsiTheme="minorHAnsi" w:cstheme="minorHAnsi"/>
          <w:szCs w:val="20"/>
        </w:rPr>
        <w:t>,</w:t>
      </w:r>
      <w:r w:rsidRPr="002926D7">
        <w:rPr>
          <w:rFonts w:asciiTheme="minorHAnsi" w:hAnsiTheme="minorHAnsi" w:cstheme="minorHAnsi"/>
          <w:iCs/>
          <w:szCs w:val="20"/>
        </w:rPr>
        <w:t xml:space="preserve"> as well as through other</w:t>
      </w:r>
      <w:r w:rsidR="009C4496" w:rsidRPr="002926D7">
        <w:rPr>
          <w:rFonts w:asciiTheme="minorHAnsi" w:hAnsiTheme="minorHAnsi" w:cstheme="minorHAnsi"/>
          <w:iCs/>
          <w:szCs w:val="20"/>
        </w:rPr>
        <w:t xml:space="preserve"> ongoing South-South and global platforms, such as </w:t>
      </w:r>
      <w:r w:rsidR="008920C1" w:rsidRPr="002926D7">
        <w:rPr>
          <w:rFonts w:asciiTheme="minorHAnsi" w:hAnsiTheme="minorHAnsi" w:cstheme="minorHAnsi"/>
          <w:iCs/>
          <w:szCs w:val="20"/>
        </w:rPr>
        <w:t xml:space="preserve">the </w:t>
      </w:r>
      <w:r w:rsidR="009C4496" w:rsidRPr="002926D7">
        <w:rPr>
          <w:rFonts w:asciiTheme="minorHAnsi" w:hAnsiTheme="minorHAnsi" w:cstheme="minorHAnsi"/>
          <w:iCs/>
          <w:szCs w:val="20"/>
        </w:rPr>
        <w:t>Africa Solutions Platform, the UN South-South Galaxy knowledge sharing platform and PANORAMA</w:t>
      </w:r>
      <w:r w:rsidR="009C4496" w:rsidRPr="002926D7">
        <w:rPr>
          <w:rFonts w:asciiTheme="minorHAnsi" w:hAnsiTheme="minorHAnsi" w:cstheme="minorHAnsi"/>
          <w:iCs/>
          <w:szCs w:val="20"/>
          <w:vertAlign w:val="superscript"/>
        </w:rPr>
        <w:footnoteReference w:id="2"/>
      </w:r>
      <w:r w:rsidR="009C4496" w:rsidRPr="002926D7">
        <w:rPr>
          <w:rFonts w:asciiTheme="minorHAnsi" w:hAnsiTheme="minorHAnsi" w:cstheme="minorHAnsi"/>
          <w:iCs/>
          <w:szCs w:val="20"/>
        </w:rPr>
        <w:t>.</w:t>
      </w:r>
    </w:p>
    <w:p w14:paraId="45229F1B" w14:textId="77777777" w:rsidR="008E50A4" w:rsidRPr="002926D7" w:rsidRDefault="008E50A4" w:rsidP="002926D7">
      <w:pPr>
        <w:rPr>
          <w:rFonts w:asciiTheme="minorHAnsi" w:hAnsiTheme="minorHAnsi" w:cstheme="minorHAnsi"/>
          <w:iCs/>
          <w:szCs w:val="20"/>
        </w:rPr>
      </w:pPr>
    </w:p>
    <w:p w14:paraId="7A55EFF2" w14:textId="44F81522" w:rsidR="008E50A4" w:rsidRPr="002926D7" w:rsidRDefault="008E50A4" w:rsidP="002926D7">
      <w:pPr>
        <w:numPr>
          <w:ilvl w:val="0"/>
          <w:numId w:val="8"/>
        </w:numPr>
        <w:ind w:left="0" w:firstLine="0"/>
        <w:rPr>
          <w:rFonts w:asciiTheme="minorHAnsi" w:hAnsiTheme="minorHAnsi" w:cstheme="minorHAnsi"/>
          <w:szCs w:val="20"/>
        </w:rPr>
      </w:pPr>
      <w:r w:rsidRPr="002926D7">
        <w:rPr>
          <w:rFonts w:asciiTheme="minorHAnsi" w:hAnsiTheme="minorHAnsi" w:cstheme="minorHAnsi"/>
          <w:szCs w:val="20"/>
        </w:rPr>
        <w:t>The South-South Exchange initiative will continue to support knowledge transfer and exchange across countries and regions encouraging replication of good practices supported by the portfolio. These initiatives produce high impact and scaling up of the innovations and practices developed by SGP grantees, as well as other CSOs/CBOs at the regional level.</w:t>
      </w:r>
      <w:r w:rsidRPr="002926D7">
        <w:rPr>
          <w:rFonts w:asciiTheme="minorHAnsi" w:hAnsiTheme="minorHAnsi" w:cstheme="minorHAnsi"/>
          <w:b/>
          <w:bCs/>
          <w:szCs w:val="20"/>
          <w:u w:val="single"/>
        </w:rPr>
        <w:t xml:space="preserve"> </w:t>
      </w:r>
    </w:p>
    <w:p w14:paraId="5144B63B" w14:textId="77777777" w:rsidR="008E50A4" w:rsidRPr="002926D7" w:rsidRDefault="008E50A4" w:rsidP="002926D7">
      <w:pPr>
        <w:rPr>
          <w:rFonts w:asciiTheme="minorHAnsi" w:hAnsiTheme="minorHAnsi" w:cstheme="minorHAnsi"/>
          <w:szCs w:val="20"/>
        </w:rPr>
      </w:pPr>
    </w:p>
    <w:p w14:paraId="1A0B14C8" w14:textId="6B64F97B" w:rsidR="008E50A4" w:rsidRPr="002926D7" w:rsidRDefault="008E50A4" w:rsidP="002926D7">
      <w:pPr>
        <w:numPr>
          <w:ilvl w:val="0"/>
          <w:numId w:val="8"/>
        </w:numPr>
        <w:ind w:left="0" w:firstLine="0"/>
        <w:rPr>
          <w:rFonts w:asciiTheme="minorHAnsi" w:hAnsiTheme="minorHAnsi" w:cstheme="minorHAnsi"/>
          <w:szCs w:val="20"/>
        </w:rPr>
      </w:pPr>
      <w:r w:rsidRPr="002926D7">
        <w:rPr>
          <w:rFonts w:asciiTheme="minorHAnsi" w:hAnsiTheme="minorHAnsi" w:cstheme="minorHAnsi"/>
          <w:szCs w:val="20"/>
          <w:lang w:val="en-GB"/>
        </w:rPr>
        <w:t>The goal of the South-</w:t>
      </w:r>
      <w:r w:rsidR="008842AC" w:rsidRPr="002926D7">
        <w:rPr>
          <w:rFonts w:asciiTheme="minorHAnsi" w:hAnsiTheme="minorHAnsi" w:cstheme="minorHAnsi"/>
          <w:szCs w:val="20"/>
          <w:lang w:val="en-GB"/>
        </w:rPr>
        <w:t>S</w:t>
      </w:r>
      <w:r w:rsidRPr="002926D7">
        <w:rPr>
          <w:rFonts w:asciiTheme="minorHAnsi" w:hAnsiTheme="minorHAnsi" w:cstheme="minorHAnsi"/>
          <w:szCs w:val="20"/>
          <w:lang w:val="en-GB"/>
        </w:rPr>
        <w:t>outh</w:t>
      </w:r>
      <w:r w:rsidR="00B46AF6" w:rsidRPr="002926D7">
        <w:rPr>
          <w:rFonts w:asciiTheme="minorHAnsi" w:hAnsiTheme="minorHAnsi" w:cstheme="minorHAnsi"/>
          <w:szCs w:val="20"/>
          <w:lang w:val="en-GB"/>
        </w:rPr>
        <w:t xml:space="preserve"> </w:t>
      </w:r>
      <w:r w:rsidRPr="002926D7">
        <w:rPr>
          <w:rFonts w:asciiTheme="minorHAnsi" w:hAnsiTheme="minorHAnsi" w:cstheme="minorHAnsi"/>
          <w:szCs w:val="20"/>
          <w:lang w:val="en-GB"/>
        </w:rPr>
        <w:t xml:space="preserve">Exchange initiative is to </w:t>
      </w:r>
      <w:r w:rsidRPr="002926D7">
        <w:rPr>
          <w:rFonts w:asciiTheme="minorHAnsi" w:hAnsiTheme="minorHAnsi" w:cstheme="minorHAnsi"/>
          <w:szCs w:val="20"/>
        </w:rPr>
        <w:t xml:space="preserve">support communities in mobilizing and taking advantage of </w:t>
      </w:r>
      <w:r w:rsidRPr="002926D7">
        <w:rPr>
          <w:rFonts w:asciiTheme="minorHAnsi" w:hAnsiTheme="minorHAnsi" w:cstheme="minorHAnsi"/>
          <w:szCs w:val="20"/>
          <w:lang w:val="en-GB"/>
        </w:rPr>
        <w:t>development</w:t>
      </w:r>
      <w:r w:rsidRPr="002926D7">
        <w:rPr>
          <w:rFonts w:asciiTheme="minorHAnsi" w:hAnsiTheme="minorHAnsi" w:cstheme="minorHAnsi"/>
          <w:szCs w:val="20"/>
        </w:rPr>
        <w:t xml:space="preserve"> solutions and technical expertise available in the South. In this regard, l</w:t>
      </w:r>
      <w:r w:rsidRPr="002926D7">
        <w:rPr>
          <w:rFonts w:asciiTheme="minorHAnsi" w:hAnsiTheme="minorHAnsi" w:cstheme="minorHAnsi"/>
          <w:szCs w:val="20"/>
          <w:lang w:val="en-GB"/>
        </w:rPr>
        <w:t xml:space="preserve">earning opportunities and technology transfer from peer countries will be further explored during project implementation. This complements current SGP grant-making results, as the </w:t>
      </w:r>
      <w:r w:rsidR="000E6AB0" w:rsidRPr="002926D7">
        <w:rPr>
          <w:rFonts w:asciiTheme="minorHAnsi" w:hAnsiTheme="minorHAnsi" w:cstheme="minorHAnsi"/>
          <w:szCs w:val="20"/>
          <w:lang w:val="en-GB"/>
        </w:rPr>
        <w:t>S</w:t>
      </w:r>
      <w:r w:rsidRPr="002926D7">
        <w:rPr>
          <w:rFonts w:asciiTheme="minorHAnsi" w:hAnsiTheme="minorHAnsi" w:cstheme="minorHAnsi"/>
          <w:szCs w:val="20"/>
          <w:lang w:val="en-GB"/>
        </w:rPr>
        <w:t>outh-</w:t>
      </w:r>
      <w:r w:rsidR="000E6AB0" w:rsidRPr="002926D7">
        <w:rPr>
          <w:rFonts w:asciiTheme="minorHAnsi" w:hAnsiTheme="minorHAnsi" w:cstheme="minorHAnsi"/>
          <w:szCs w:val="20"/>
          <w:lang w:val="en-GB"/>
        </w:rPr>
        <w:t>S</w:t>
      </w:r>
      <w:r w:rsidRPr="002926D7">
        <w:rPr>
          <w:rFonts w:asciiTheme="minorHAnsi" w:hAnsiTheme="minorHAnsi" w:cstheme="minorHAnsi"/>
          <w:szCs w:val="20"/>
          <w:lang w:val="en-GB"/>
        </w:rPr>
        <w:t xml:space="preserve">outh initiative will support the </w:t>
      </w:r>
      <w:r w:rsidRPr="002926D7">
        <w:rPr>
          <w:rFonts w:asciiTheme="minorHAnsi" w:hAnsiTheme="minorHAnsi" w:cstheme="minorHAnsi"/>
          <w:szCs w:val="20"/>
        </w:rPr>
        <w:t xml:space="preserve">achievement of impactful results and scaling up of the innovations and practices developed by SGP grantees, as well as other CSOs at the regional level, as currently all grant making, and associated knowledge exchange happens at the national level. SGP will partner with relevant UN and other agencies as appropriate, including the UN Office for South-South </w:t>
      </w:r>
      <w:r w:rsidRPr="002926D7">
        <w:rPr>
          <w:rFonts w:asciiTheme="minorHAnsi" w:hAnsiTheme="minorHAnsi" w:cstheme="minorHAnsi"/>
          <w:szCs w:val="20"/>
        </w:rPr>
        <w:lastRenderedPageBreak/>
        <w:t>Cooperation, the UNDP South-South Exchange Platforms,</w:t>
      </w:r>
      <w:r w:rsidR="00B86928">
        <w:rPr>
          <w:rFonts w:asciiTheme="minorHAnsi" w:hAnsiTheme="minorHAnsi" w:cstheme="minorHAnsi"/>
          <w:szCs w:val="20"/>
        </w:rPr>
        <w:t xml:space="preserve"> the Equator Initiative,</w:t>
      </w:r>
      <w:r w:rsidRPr="002926D7">
        <w:rPr>
          <w:rFonts w:asciiTheme="minorHAnsi" w:hAnsiTheme="minorHAnsi" w:cstheme="minorHAnsi"/>
          <w:szCs w:val="20"/>
        </w:rPr>
        <w:t xml:space="preserve"> and other organizations, such that activities by partner organizations are complemented and a critical mass of south-south knowledge exchange is created during the project period.</w:t>
      </w:r>
    </w:p>
    <w:bookmarkEnd w:id="109"/>
    <w:bookmarkEnd w:id="110"/>
    <w:bookmarkEnd w:id="111"/>
    <w:bookmarkEnd w:id="112"/>
    <w:p w14:paraId="634ED57A" w14:textId="77777777" w:rsidR="007964B1" w:rsidRPr="002926D7" w:rsidRDefault="007964B1" w:rsidP="002926D7">
      <w:pPr>
        <w:rPr>
          <w:rFonts w:asciiTheme="minorHAnsi" w:hAnsiTheme="minorHAnsi" w:cstheme="minorHAnsi"/>
          <w:iCs/>
          <w:szCs w:val="20"/>
        </w:rPr>
      </w:pPr>
    </w:p>
    <w:p w14:paraId="3CAC4B70" w14:textId="0DEC2EDA" w:rsidR="00E349BA" w:rsidRPr="002926D7" w:rsidRDefault="00EB69AE" w:rsidP="002926D7">
      <w:pPr>
        <w:jc w:val="left"/>
        <w:rPr>
          <w:b/>
          <w:bCs/>
          <w:szCs w:val="20"/>
        </w:rPr>
      </w:pPr>
      <w:r w:rsidRPr="002926D7">
        <w:rPr>
          <w:b/>
          <w:bCs/>
          <w:szCs w:val="20"/>
          <w:u w:val="single"/>
        </w:rPr>
        <w:t xml:space="preserve">Gender </w:t>
      </w:r>
      <w:r w:rsidR="00341B73" w:rsidRPr="002926D7">
        <w:rPr>
          <w:b/>
          <w:bCs/>
          <w:szCs w:val="20"/>
          <w:u w:val="single"/>
        </w:rPr>
        <w:t>E</w:t>
      </w:r>
      <w:r w:rsidRPr="002926D7">
        <w:rPr>
          <w:b/>
          <w:bCs/>
          <w:szCs w:val="20"/>
          <w:u w:val="single"/>
        </w:rPr>
        <w:t>quality and Women’s Empowerment</w:t>
      </w:r>
      <w:r w:rsidRPr="002926D7">
        <w:rPr>
          <w:b/>
          <w:bCs/>
          <w:szCs w:val="20"/>
        </w:rPr>
        <w:t xml:space="preserve">:  </w:t>
      </w:r>
    </w:p>
    <w:p w14:paraId="6E33F7C3" w14:textId="31719D3A" w:rsidR="00965A12" w:rsidRPr="002926D7" w:rsidRDefault="00965A12" w:rsidP="002926D7">
      <w:pPr>
        <w:rPr>
          <w:rFonts w:asciiTheme="minorHAnsi" w:hAnsiTheme="minorHAnsi" w:cstheme="minorHAnsi"/>
          <w:szCs w:val="20"/>
        </w:rPr>
      </w:pPr>
      <w:bookmarkStart w:id="113" w:name="_Hlk71020004"/>
      <w:bookmarkStart w:id="114" w:name="_Hlk121848570"/>
      <w:bookmarkStart w:id="115" w:name="_Hlk47204275"/>
      <w:bookmarkStart w:id="116" w:name="_Hlk41905471"/>
      <w:bookmarkStart w:id="117" w:name="_Hlk131867013"/>
    </w:p>
    <w:bookmarkEnd w:id="113"/>
    <w:p w14:paraId="26D9E2E4" w14:textId="4D1E21D0" w:rsidR="00A736A9" w:rsidRPr="002926D7" w:rsidRDefault="00016231" w:rsidP="002926D7">
      <w:pPr>
        <w:numPr>
          <w:ilvl w:val="0"/>
          <w:numId w:val="8"/>
        </w:numPr>
        <w:ind w:left="0" w:firstLine="0"/>
        <w:rPr>
          <w:rFonts w:asciiTheme="minorHAnsi" w:hAnsiTheme="minorHAnsi" w:cstheme="minorHAnsi"/>
        </w:rPr>
      </w:pPr>
      <w:r w:rsidRPr="002926D7">
        <w:rPr>
          <w:rFonts w:asciiTheme="minorHAnsi" w:hAnsiTheme="minorHAnsi" w:cstheme="minorBidi"/>
        </w:rPr>
        <w:t xml:space="preserve">SGP recognizes that promoting women’s leadership and equal decision-making requires changes in multiple areas: women’s own sense of entitlement and confidence; expectations about women’s and men’s roles and relationships; and existing social and political structures. This includes enabling women to become leading figures within biodiversity conservation, climate change mitigation; empowering women to have both the confidence and skills to contribute to enhancing global environmental benefits and reducing the risk for men, women, and children from the impacts of environmental degradation. SGP </w:t>
      </w:r>
      <w:r w:rsidRPr="002926D7">
        <w:rPr>
          <w:rFonts w:eastAsia="Calibri" w:cs="Calibri"/>
          <w:color w:val="000000" w:themeColor="text1"/>
          <w:lang w:val="en-GB"/>
        </w:rPr>
        <w:t>OP8</w:t>
      </w:r>
      <w:r w:rsidRPr="002926D7">
        <w:rPr>
          <w:rFonts w:asciiTheme="minorHAnsi" w:hAnsiTheme="minorHAnsi" w:cstheme="minorBidi"/>
        </w:rPr>
        <w:t xml:space="preserve"> will build on SGP’s recognized experience in mainstreaming gender equality and women’s empowerment in every step of its programme cycle. In line with the UNDP Gender Equality Strategy 2022-2025, and the GEF Policy on Gender Equality (SD/PL/02, July 01, 2018), the programme activities will be conducted, designed, and implemented in an inclusive manner, so that women’s participation and voice are reflected in decision-making, regardless of their background, age, race, ethnicity or religion, and that consultations with women’s organizations, including indigenous women and local women’s groups are supported at all scales. To achieve this objective, SGP </w:t>
      </w:r>
      <w:r w:rsidRPr="002926D7">
        <w:rPr>
          <w:rFonts w:eastAsia="Calibri" w:cs="Calibri"/>
          <w:color w:val="000000" w:themeColor="text1"/>
          <w:lang w:val="en-GB"/>
        </w:rPr>
        <w:t>OP8</w:t>
      </w:r>
      <w:r w:rsidRPr="002926D7">
        <w:rPr>
          <w:rFonts w:asciiTheme="minorHAnsi" w:hAnsiTheme="minorHAnsi" w:cstheme="minorBidi"/>
        </w:rPr>
        <w:t xml:space="preserve"> will put gender equality and women’s empowerment at the center of its landscape-seascape approach</w:t>
      </w:r>
      <w:r w:rsidR="00A736A9" w:rsidRPr="002926D7">
        <w:rPr>
          <w:rFonts w:asciiTheme="minorHAnsi" w:hAnsiTheme="minorHAnsi" w:cstheme="minorBidi"/>
          <w:szCs w:val="20"/>
        </w:rPr>
        <w:t>.</w:t>
      </w:r>
    </w:p>
    <w:p w14:paraId="0FE208F1" w14:textId="57E2B03D" w:rsidR="00A736A9" w:rsidRPr="002926D7" w:rsidRDefault="00A736A9" w:rsidP="002926D7">
      <w:pPr>
        <w:pStyle w:val="ListParagraph"/>
        <w:numPr>
          <w:ilvl w:val="0"/>
          <w:numId w:val="24"/>
        </w:numPr>
        <w:spacing w:before="120"/>
        <w:ind w:left="720" w:right="187"/>
        <w:jc w:val="left"/>
        <w:rPr>
          <w:rFonts w:asciiTheme="minorHAnsi" w:hAnsiTheme="minorHAnsi" w:cstheme="minorBidi"/>
          <w:szCs w:val="20"/>
        </w:rPr>
      </w:pPr>
      <w:r w:rsidRPr="002926D7">
        <w:rPr>
          <w:rFonts w:asciiTheme="minorHAnsi" w:hAnsiTheme="minorHAnsi" w:cstheme="minorBidi"/>
          <w:b/>
          <w:bCs/>
          <w:szCs w:val="20"/>
        </w:rPr>
        <w:t xml:space="preserve">At </w:t>
      </w:r>
      <w:r w:rsidR="00016231" w:rsidRPr="002926D7">
        <w:rPr>
          <w:rFonts w:asciiTheme="minorHAnsi" w:hAnsiTheme="minorHAnsi" w:cstheme="minorBidi"/>
          <w:b/>
          <w:bCs/>
          <w:szCs w:val="20"/>
        </w:rPr>
        <w:t>the programme</w:t>
      </w:r>
      <w:r w:rsidRPr="002926D7">
        <w:rPr>
          <w:rFonts w:asciiTheme="minorHAnsi" w:hAnsiTheme="minorHAnsi" w:cstheme="minorBidi"/>
          <w:b/>
          <w:bCs/>
          <w:szCs w:val="20"/>
        </w:rPr>
        <w:t xml:space="preserve"> level</w:t>
      </w:r>
      <w:r w:rsidRPr="002926D7">
        <w:rPr>
          <w:rFonts w:asciiTheme="minorHAnsi" w:hAnsiTheme="minorHAnsi" w:cstheme="minorBidi"/>
          <w:szCs w:val="20"/>
        </w:rPr>
        <w:t xml:space="preserve">, </w:t>
      </w:r>
      <w:r w:rsidR="008427A7" w:rsidRPr="002926D7">
        <w:rPr>
          <w:rFonts w:asciiTheme="minorHAnsi" w:hAnsiTheme="minorHAnsi" w:cstheme="minorBidi"/>
          <w:szCs w:val="20"/>
        </w:rPr>
        <w:t>in line with continued efforts in previous operational phases, a gender action plan has been developed (see Annex 8) to provide guidance on achieving gender mainstreaming results across the programme. The gender action plan includes gender-sensitive indicators and sex-disaggregated targets. The gender action plan will help ensure that OP8 is gender responsive and focused on gender equality and women’s empowerment and are an integral part of programme interventions</w:t>
      </w:r>
      <w:r w:rsidRPr="002926D7">
        <w:rPr>
          <w:rFonts w:asciiTheme="minorHAnsi" w:hAnsiTheme="minorHAnsi" w:cstheme="minorBidi"/>
          <w:szCs w:val="20"/>
        </w:rPr>
        <w:t xml:space="preserve">. </w:t>
      </w:r>
    </w:p>
    <w:p w14:paraId="6D7DBD4C" w14:textId="0BF57A78" w:rsidR="00A736A9" w:rsidRPr="002926D7" w:rsidRDefault="00A736A9" w:rsidP="002926D7">
      <w:pPr>
        <w:pStyle w:val="ListParagraph"/>
        <w:numPr>
          <w:ilvl w:val="0"/>
          <w:numId w:val="24"/>
        </w:numPr>
        <w:spacing w:before="120"/>
        <w:ind w:left="720" w:right="187"/>
        <w:jc w:val="left"/>
        <w:rPr>
          <w:rFonts w:asciiTheme="minorHAnsi" w:hAnsiTheme="minorHAnsi" w:cstheme="minorBidi"/>
          <w:szCs w:val="20"/>
        </w:rPr>
      </w:pPr>
      <w:r w:rsidRPr="002926D7">
        <w:rPr>
          <w:rFonts w:asciiTheme="minorHAnsi" w:hAnsiTheme="minorHAnsi" w:cstheme="minorBidi"/>
          <w:b/>
          <w:bCs/>
          <w:szCs w:val="20"/>
        </w:rPr>
        <w:t xml:space="preserve">At </w:t>
      </w:r>
      <w:r w:rsidR="00016231" w:rsidRPr="002926D7">
        <w:rPr>
          <w:rFonts w:asciiTheme="minorHAnsi" w:hAnsiTheme="minorHAnsi" w:cstheme="minorBidi"/>
          <w:b/>
          <w:bCs/>
          <w:szCs w:val="20"/>
        </w:rPr>
        <w:t xml:space="preserve">the </w:t>
      </w:r>
      <w:r w:rsidRPr="002926D7">
        <w:rPr>
          <w:rFonts w:asciiTheme="minorHAnsi" w:hAnsiTheme="minorHAnsi" w:cstheme="minorBidi"/>
          <w:b/>
          <w:bCs/>
          <w:szCs w:val="20"/>
        </w:rPr>
        <w:t>country level</w:t>
      </w:r>
      <w:r w:rsidRPr="002926D7">
        <w:rPr>
          <w:rFonts w:asciiTheme="minorHAnsi" w:hAnsiTheme="minorHAnsi" w:cstheme="minorBidi"/>
          <w:szCs w:val="20"/>
        </w:rPr>
        <w:t>,</w:t>
      </w:r>
      <w:r w:rsidRPr="002926D7">
        <w:rPr>
          <w:rFonts w:asciiTheme="minorHAnsi" w:hAnsiTheme="minorHAnsi" w:cstheme="minorBidi"/>
          <w:b/>
          <w:bCs/>
          <w:szCs w:val="20"/>
        </w:rPr>
        <w:t xml:space="preserve"> </w:t>
      </w:r>
      <w:r w:rsidR="008427A7" w:rsidRPr="002926D7">
        <w:rPr>
          <w:rFonts w:asciiTheme="minorHAnsi" w:hAnsiTheme="minorHAnsi" w:cstheme="minorBidi"/>
          <w:szCs w:val="20"/>
        </w:rPr>
        <w:t xml:space="preserve">both SGP </w:t>
      </w:r>
      <w:r w:rsidR="008427A7" w:rsidRPr="002926D7">
        <w:rPr>
          <w:rFonts w:eastAsia="Calibri" w:cs="Calibri"/>
          <w:color w:val="000000" w:themeColor="text1"/>
          <w:szCs w:val="20"/>
        </w:rPr>
        <w:t>OP8</w:t>
      </w:r>
      <w:r w:rsidR="008427A7" w:rsidRPr="002926D7">
        <w:rPr>
          <w:rFonts w:asciiTheme="minorHAnsi" w:hAnsiTheme="minorHAnsi" w:cstheme="minorBidi"/>
          <w:szCs w:val="20"/>
        </w:rPr>
        <w:t xml:space="preserve"> Country Programme teams and National Steering Committees will ensure that each funded local initiative, prior to approval, has clear processes for ensuring equality in participation between women and men, as well as involvement of marginalized groups. They will ensure that necessary gender expertise and guidance is provided by a designated NSC gender focal point, and gender responsive mechanisms are followed in the implementation of landscape-seascape investment programmes and constituent grant-funded initiatives. They will monitor and evaluate the achievement of the gender mainstreaming targets outlined in the Gender Action Plan. In addition, emphasis will be provided to work at the </w:t>
      </w:r>
      <w:r w:rsidR="008427A7" w:rsidRPr="002926D7">
        <w:rPr>
          <w:rFonts w:asciiTheme="minorHAnsi" w:hAnsiTheme="minorHAnsi" w:cstheme="minorBidi"/>
          <w:b/>
          <w:bCs/>
          <w:szCs w:val="20"/>
        </w:rPr>
        <w:t>landscape-seascape level</w:t>
      </w:r>
      <w:r w:rsidR="008427A7" w:rsidRPr="002926D7">
        <w:rPr>
          <w:rFonts w:asciiTheme="minorHAnsi" w:hAnsiTheme="minorHAnsi" w:cstheme="minorBidi"/>
          <w:szCs w:val="20"/>
        </w:rPr>
        <w:t>. Herein, participation by women’s organizations, including indigenous women and local women’s groups will be encouraged in order to ensure equal participation of women in landscape investment strategies and benefits delivered by ensuing programmes</w:t>
      </w:r>
      <w:r w:rsidRPr="002926D7">
        <w:rPr>
          <w:rFonts w:asciiTheme="minorHAnsi" w:hAnsiTheme="minorHAnsi" w:cstheme="minorBidi"/>
          <w:szCs w:val="20"/>
        </w:rPr>
        <w:t>.</w:t>
      </w:r>
    </w:p>
    <w:p w14:paraId="07651F9F" w14:textId="5E68D5D8" w:rsidR="00C57360" w:rsidRPr="002926D7" w:rsidRDefault="00A736A9" w:rsidP="002926D7">
      <w:pPr>
        <w:pStyle w:val="ListParagraph"/>
        <w:numPr>
          <w:ilvl w:val="0"/>
          <w:numId w:val="24"/>
        </w:numPr>
        <w:spacing w:before="120"/>
        <w:ind w:left="720" w:right="187"/>
        <w:jc w:val="left"/>
        <w:rPr>
          <w:rFonts w:asciiTheme="minorHAnsi" w:hAnsiTheme="minorHAnsi" w:cstheme="minorBidi"/>
          <w:szCs w:val="20"/>
        </w:rPr>
      </w:pPr>
      <w:r w:rsidRPr="002926D7">
        <w:rPr>
          <w:rFonts w:asciiTheme="minorHAnsi" w:hAnsiTheme="minorHAnsi" w:cstheme="minorBidi"/>
          <w:b/>
          <w:bCs/>
          <w:szCs w:val="20"/>
        </w:rPr>
        <w:t>At</w:t>
      </w:r>
      <w:r w:rsidR="00016231" w:rsidRPr="002926D7">
        <w:rPr>
          <w:rFonts w:asciiTheme="minorHAnsi" w:hAnsiTheme="minorHAnsi" w:cstheme="minorBidi"/>
          <w:b/>
          <w:bCs/>
          <w:szCs w:val="20"/>
        </w:rPr>
        <w:t xml:space="preserve"> the</w:t>
      </w:r>
      <w:r w:rsidRPr="002926D7">
        <w:rPr>
          <w:rFonts w:asciiTheme="minorHAnsi" w:hAnsiTheme="minorHAnsi" w:cstheme="minorBidi"/>
          <w:b/>
          <w:bCs/>
          <w:szCs w:val="20"/>
        </w:rPr>
        <w:t xml:space="preserve"> project/grant level</w:t>
      </w:r>
      <w:r w:rsidRPr="002926D7">
        <w:rPr>
          <w:rFonts w:asciiTheme="minorHAnsi" w:hAnsiTheme="minorHAnsi" w:cstheme="minorBidi"/>
          <w:szCs w:val="20"/>
        </w:rPr>
        <w:t>, the Country Programme teams will ensure that all awarded grant projects include a gender analysis and an action plan for gender responsive implementation of the individual initiatives, aligned with the overall Gender Action Plan for the overall programme. Grantees will be required to provide monitoring and evaluation (M&amp;E) feedback in periodic reports. In terms of beneficiary selection, all the projects will use gender criteria to select beneficiaries. Criteria will include representation of women in project activities, and within this, prioritization of marginalized or particularly vulnerable women (for example, persons with disabilities, poor and very poor, female-headed households, Indigenous Peoples and ethnic minorities, elderly and youth, land poor, households that have lost assets, pregnant and lactating mothers, LGBTQ, etc.). Specific capacity building and targeted grant opportunities will be available for women’s groups and women led CSOs/CBOs, to further advance the gender mainstreaming objectives.</w:t>
      </w:r>
      <w:bookmarkEnd w:id="114"/>
      <w:bookmarkEnd w:id="115"/>
      <w:bookmarkEnd w:id="116"/>
      <w:bookmarkEnd w:id="117"/>
    </w:p>
    <w:p w14:paraId="5E8946BF" w14:textId="77777777" w:rsidR="000E6AB0" w:rsidRPr="002926D7" w:rsidRDefault="000E6AB0" w:rsidP="002926D7">
      <w:pPr>
        <w:rPr>
          <w:b/>
          <w:bCs/>
          <w:u w:val="single"/>
        </w:rPr>
      </w:pPr>
    </w:p>
    <w:p w14:paraId="1BC9C04A" w14:textId="6BB579A4" w:rsidR="008427A7" w:rsidRPr="002926D7" w:rsidRDefault="008427A7" w:rsidP="002926D7">
      <w:pPr>
        <w:numPr>
          <w:ilvl w:val="0"/>
          <w:numId w:val="8"/>
        </w:numPr>
        <w:ind w:left="0" w:firstLine="0"/>
        <w:rPr>
          <w:szCs w:val="20"/>
        </w:rPr>
      </w:pPr>
      <w:r w:rsidRPr="002926D7">
        <w:rPr>
          <w:szCs w:val="20"/>
        </w:rPr>
        <w:t xml:space="preserve">In OP8, SGP will conduct a comprehensive update of its successful 2018 Gender and Environment e-course. This revitalization is centered on two primary pillars: aligning with the ever-evolving Multilateral Environmental Agreements (MEAs) and harnessing the latest advancements in e-learning technology and practices. The updated </w:t>
      </w:r>
      <w:r w:rsidRPr="002926D7">
        <w:rPr>
          <w:szCs w:val="20"/>
        </w:rPr>
        <w:lastRenderedPageBreak/>
        <w:t>online course and webinar series will continuously address needs and build capacity of individuals, organizations and institutions, and specifically be designed to target (1) GEF country-level stakeholders, staff and agency project managers; (2) GEF Small Grants Programme country level stakeholders, including: staff, steering committee members and potential grantee partners; (3) constituencies of Multilateral Environmental Conventions (e.g. country focal points); and (4) other key global and local partners, working in environmental sectors, interested in improving their capacity to mainstream gender.</w:t>
      </w:r>
    </w:p>
    <w:p w14:paraId="49173E9C" w14:textId="77777777" w:rsidR="008427A7" w:rsidRPr="002926D7" w:rsidRDefault="008427A7" w:rsidP="002926D7">
      <w:pPr>
        <w:rPr>
          <w:szCs w:val="20"/>
        </w:rPr>
      </w:pPr>
    </w:p>
    <w:p w14:paraId="2259607C" w14:textId="3FBA061C" w:rsidR="00C57360" w:rsidRPr="002926D7" w:rsidRDefault="00C57360" w:rsidP="002926D7">
      <w:pPr>
        <w:rPr>
          <w:b/>
          <w:bCs/>
          <w:u w:val="single"/>
        </w:rPr>
      </w:pPr>
      <w:r w:rsidRPr="002926D7">
        <w:rPr>
          <w:b/>
          <w:bCs/>
          <w:u w:val="single"/>
        </w:rPr>
        <w:t xml:space="preserve">Knowledge </w:t>
      </w:r>
    </w:p>
    <w:p w14:paraId="61B04067" w14:textId="77777777" w:rsidR="000033A5" w:rsidRPr="002926D7" w:rsidRDefault="000033A5" w:rsidP="002926D7">
      <w:pPr>
        <w:rPr>
          <w:rFonts w:asciiTheme="minorHAnsi" w:hAnsiTheme="minorHAnsi" w:cstheme="minorHAnsi"/>
          <w:szCs w:val="20"/>
        </w:rPr>
      </w:pPr>
    </w:p>
    <w:p w14:paraId="6CD75FCA" w14:textId="2DE1D58E" w:rsidR="008E50A4" w:rsidRPr="002926D7" w:rsidRDefault="008E50A4" w:rsidP="002926D7">
      <w:pPr>
        <w:numPr>
          <w:ilvl w:val="0"/>
          <w:numId w:val="8"/>
        </w:numPr>
        <w:ind w:left="0" w:firstLine="0"/>
        <w:rPr>
          <w:rFonts w:asciiTheme="minorHAnsi" w:hAnsiTheme="minorHAnsi" w:cstheme="minorHAnsi"/>
          <w:szCs w:val="20"/>
        </w:rPr>
      </w:pPr>
      <w:bookmarkStart w:id="118" w:name="_Hlk151545669"/>
      <w:r w:rsidRPr="002926D7">
        <w:rPr>
          <w:szCs w:val="20"/>
        </w:rPr>
        <w:t>The knowledge management</w:t>
      </w:r>
      <w:r w:rsidR="000E6AB0" w:rsidRPr="002926D7">
        <w:rPr>
          <w:szCs w:val="20"/>
        </w:rPr>
        <w:t xml:space="preserve"> objectives</w:t>
      </w:r>
      <w:r w:rsidRPr="002926D7">
        <w:rPr>
          <w:szCs w:val="20"/>
        </w:rPr>
        <w:t xml:space="preserve"> in SGP are to: capture knowledge, leverage local expertise and give voice to civil society, identify new approaches and ways of learning, improve effectiveness, improve capacities of staff and grantees, promote and encourage innovation, address operational and programmatic challenges effectively, influence policy and scale up good practices</w:t>
      </w:r>
      <w:bookmarkEnd w:id="118"/>
      <w:r w:rsidRPr="002926D7">
        <w:rPr>
          <w:szCs w:val="20"/>
        </w:rPr>
        <w:t>.</w:t>
      </w:r>
    </w:p>
    <w:p w14:paraId="1BE19CBC" w14:textId="77777777" w:rsidR="008E50A4" w:rsidRPr="002926D7" w:rsidRDefault="008E50A4" w:rsidP="002926D7">
      <w:pPr>
        <w:rPr>
          <w:rFonts w:asciiTheme="minorHAnsi" w:hAnsiTheme="minorHAnsi" w:cstheme="minorHAnsi"/>
          <w:szCs w:val="20"/>
        </w:rPr>
      </w:pPr>
    </w:p>
    <w:p w14:paraId="2CC2A27D" w14:textId="763CA6C2" w:rsidR="008E50A4" w:rsidRPr="002926D7" w:rsidRDefault="008E50A4" w:rsidP="002926D7">
      <w:pPr>
        <w:numPr>
          <w:ilvl w:val="0"/>
          <w:numId w:val="8"/>
        </w:numPr>
        <w:ind w:left="0" w:firstLine="0"/>
        <w:rPr>
          <w:rFonts w:asciiTheme="minorHAnsi" w:hAnsiTheme="minorHAnsi" w:cstheme="minorHAnsi"/>
          <w:szCs w:val="20"/>
        </w:rPr>
      </w:pPr>
      <w:r w:rsidRPr="002926D7">
        <w:rPr>
          <w:szCs w:val="20"/>
        </w:rPr>
        <w:t xml:space="preserve">To implement the SGP knowledge management system, different actions at the three levels of global, national and project level are envisaged. At the global level, SGP provides guidance on how to capture and disseminate knowledge and conduct knowledge exchange at the local level so that it can be aggregated at the global level; shares technical publication and provides guidance of each focal and cross cutting areas of work; organizes regional workshops to exchange knowledge and provide training to its staff; and shares good practices emerging from the portfolio at global conferences and events. SGP also establishes partnerships with a variety of partners to upscale best practices in environmental conservation and works to capture and disseminate the lessons learned and best practices of its massive portfolio in case studies, fact sheets, publications, and new media. Key global level knowledge management practices include the knowledge management platforms </w:t>
      </w:r>
      <w:r w:rsidR="000E6AB0" w:rsidRPr="002926D7">
        <w:rPr>
          <w:szCs w:val="20"/>
        </w:rPr>
        <w:t>(i.e.,</w:t>
      </w:r>
      <w:r w:rsidRPr="002926D7">
        <w:rPr>
          <w:szCs w:val="20"/>
        </w:rPr>
        <w:t xml:space="preserve"> digital library of community innovations, communities connect platform</w:t>
      </w:r>
      <w:r w:rsidR="000E6AB0" w:rsidRPr="002926D7">
        <w:rPr>
          <w:szCs w:val="20"/>
        </w:rPr>
        <w:t>)</w:t>
      </w:r>
      <w:r w:rsidRPr="002926D7">
        <w:rPr>
          <w:szCs w:val="20"/>
        </w:rPr>
        <w:t xml:space="preserve">; bringing CSO voices to global forums; </w:t>
      </w:r>
      <w:r w:rsidR="000E6AB0" w:rsidRPr="002926D7">
        <w:rPr>
          <w:szCs w:val="20"/>
        </w:rPr>
        <w:t>p</w:t>
      </w:r>
      <w:r w:rsidRPr="002926D7">
        <w:rPr>
          <w:szCs w:val="20"/>
        </w:rPr>
        <w:t xml:space="preserve">ortfolio reviews and case studies; </w:t>
      </w:r>
      <w:r w:rsidR="000E6AB0" w:rsidRPr="002926D7">
        <w:rPr>
          <w:szCs w:val="20"/>
        </w:rPr>
        <w:t>b</w:t>
      </w:r>
      <w:r w:rsidRPr="002926D7">
        <w:rPr>
          <w:szCs w:val="20"/>
        </w:rPr>
        <w:t xml:space="preserve">est practices; </w:t>
      </w:r>
      <w:r w:rsidR="000E6AB0" w:rsidRPr="002926D7">
        <w:rPr>
          <w:szCs w:val="20"/>
        </w:rPr>
        <w:t>c</w:t>
      </w:r>
      <w:r w:rsidRPr="002926D7">
        <w:rPr>
          <w:szCs w:val="20"/>
        </w:rPr>
        <w:t xml:space="preserve">oaching and mentorship; </w:t>
      </w:r>
      <w:r w:rsidR="00B46AF6" w:rsidRPr="002926D7">
        <w:rPr>
          <w:szCs w:val="20"/>
        </w:rPr>
        <w:t>storytelling</w:t>
      </w:r>
      <w:r w:rsidRPr="002926D7">
        <w:rPr>
          <w:szCs w:val="20"/>
        </w:rPr>
        <w:t xml:space="preserve">, mapping technologies and expert locators; and communities of practice (CoPs). </w:t>
      </w:r>
    </w:p>
    <w:p w14:paraId="725F2D73" w14:textId="77777777" w:rsidR="008E50A4" w:rsidRPr="002926D7" w:rsidRDefault="008E50A4" w:rsidP="002926D7">
      <w:pPr>
        <w:rPr>
          <w:rFonts w:asciiTheme="minorHAnsi" w:hAnsiTheme="minorHAnsi" w:cstheme="minorHAnsi"/>
          <w:szCs w:val="20"/>
        </w:rPr>
      </w:pPr>
    </w:p>
    <w:p w14:paraId="31337373" w14:textId="1A298F2A" w:rsidR="008E50A4" w:rsidRPr="002926D7" w:rsidRDefault="008427A7" w:rsidP="002926D7">
      <w:pPr>
        <w:numPr>
          <w:ilvl w:val="0"/>
          <w:numId w:val="8"/>
        </w:numPr>
        <w:ind w:left="0" w:firstLine="0"/>
        <w:rPr>
          <w:rFonts w:asciiTheme="minorHAnsi" w:hAnsiTheme="minorHAnsi" w:cstheme="minorHAnsi"/>
          <w:szCs w:val="20"/>
        </w:rPr>
      </w:pPr>
      <w:r w:rsidRPr="002926D7">
        <w:t>At the national level, each country programme typically includes a National Steering Committee (NSC), a National Coordinator and sometimes a Programme Assistant working directly with the communities in (i) capturing their lessons; (ii) conducting knowledge exchanges; (iii) organizing training workshops; (iv) establishing and nurturing networks of NGO’s and CSOs/CBOs; (v) working with the government in achieving national environmental priorities; (vi) and helping to scale up and replicate best practices and lessons learned. Each country programme outlines a knowledge management plan as part of their Country Programme Strategy for each operational phase of the programme. In addition, country programme teams provide guidance and develop capacity of local communities and standardize the uptake of information, lessons learned and best practices. Based on these experiences, country programmes routinely produce knowledge materials in local languages, including project fact sheets, informational brochures and case studies, to disseminate at key national events and conferences. Some of the specific activities carried out at the national level include: knowledge fairs; stakeholder workshops; creating or strengthening networks; centers of excellence or demonstration sites; training and how to manuals; leveraging the NSC’s expertise</w:t>
      </w:r>
      <w:r w:rsidR="008E50A4" w:rsidRPr="002926D7">
        <w:rPr>
          <w:szCs w:val="20"/>
        </w:rPr>
        <w:t>.</w:t>
      </w:r>
      <w:r w:rsidR="007D24A9" w:rsidRPr="002926D7">
        <w:rPr>
          <w:szCs w:val="20"/>
        </w:rPr>
        <w:t xml:space="preserve"> </w:t>
      </w:r>
      <w:bookmarkStart w:id="119" w:name="_Hlk164512393"/>
      <w:r w:rsidR="007D24A9" w:rsidRPr="002926D7">
        <w:rPr>
          <w:szCs w:val="20"/>
        </w:rPr>
        <w:t xml:space="preserve">Programme level knowledge management also includes </w:t>
      </w:r>
      <w:r w:rsidR="007D24A9" w:rsidRPr="002926D7">
        <w:rPr>
          <w:rFonts w:asciiTheme="minorHAnsi" w:hAnsiTheme="minorHAnsi" w:cstheme="minorHAnsi"/>
          <w:szCs w:val="20"/>
        </w:rPr>
        <w:t xml:space="preserve">codification of </w:t>
      </w:r>
      <w:r w:rsidR="007D24A9" w:rsidRPr="002926D7">
        <w:rPr>
          <w:color w:val="212529"/>
        </w:rPr>
        <w:t>gender-</w:t>
      </w:r>
      <w:r w:rsidR="007D24A9" w:rsidRPr="002926D7">
        <w:rPr>
          <w:color w:val="212529"/>
          <w:spacing w:val="-2"/>
        </w:rPr>
        <w:t>related</w:t>
      </w:r>
      <w:r w:rsidR="007D24A9" w:rsidRPr="002926D7">
        <w:rPr>
          <w:color w:val="212529"/>
          <w:spacing w:val="-4"/>
        </w:rPr>
        <w:t xml:space="preserve"> </w:t>
      </w:r>
      <w:r w:rsidR="007D24A9" w:rsidRPr="002926D7">
        <w:rPr>
          <w:color w:val="212529"/>
          <w:spacing w:val="-2"/>
        </w:rPr>
        <w:t>results</w:t>
      </w:r>
      <w:r w:rsidR="007D24A9" w:rsidRPr="002926D7">
        <w:rPr>
          <w:color w:val="212529"/>
          <w:spacing w:val="-5"/>
        </w:rPr>
        <w:t xml:space="preserve"> </w:t>
      </w:r>
      <w:r w:rsidR="007D24A9" w:rsidRPr="002926D7">
        <w:rPr>
          <w:color w:val="212529"/>
          <w:spacing w:val="-2"/>
        </w:rPr>
        <w:t>and</w:t>
      </w:r>
      <w:r w:rsidR="007D24A9" w:rsidRPr="002926D7">
        <w:rPr>
          <w:color w:val="212529"/>
          <w:spacing w:val="-4"/>
        </w:rPr>
        <w:t xml:space="preserve"> </w:t>
      </w:r>
      <w:r w:rsidR="007D24A9" w:rsidRPr="002926D7">
        <w:rPr>
          <w:color w:val="212529"/>
          <w:spacing w:val="-2"/>
        </w:rPr>
        <w:t>lessons</w:t>
      </w:r>
      <w:r w:rsidR="007D24A9" w:rsidRPr="002926D7">
        <w:rPr>
          <w:color w:val="212529"/>
          <w:spacing w:val="-5"/>
        </w:rPr>
        <w:t xml:space="preserve"> </w:t>
      </w:r>
      <w:r w:rsidR="007D24A9" w:rsidRPr="002926D7">
        <w:rPr>
          <w:color w:val="212529"/>
          <w:spacing w:val="-2"/>
        </w:rPr>
        <w:t>as part of the activities</w:t>
      </w:r>
      <w:r w:rsidR="007D24A9" w:rsidRPr="002926D7">
        <w:rPr>
          <w:color w:val="212529"/>
          <w:spacing w:val="-4"/>
        </w:rPr>
        <w:t xml:space="preserve"> </w:t>
      </w:r>
      <w:r w:rsidR="007D24A9" w:rsidRPr="002926D7">
        <w:rPr>
          <w:color w:val="212529"/>
          <w:spacing w:val="-2"/>
        </w:rPr>
        <w:t>Output</w:t>
      </w:r>
      <w:r w:rsidR="007D24A9" w:rsidRPr="002926D7">
        <w:rPr>
          <w:color w:val="212529"/>
          <w:spacing w:val="-4"/>
        </w:rPr>
        <w:t xml:space="preserve"> </w:t>
      </w:r>
      <w:r w:rsidR="007D24A9" w:rsidRPr="002926D7">
        <w:rPr>
          <w:color w:val="212529"/>
          <w:spacing w:val="-2"/>
        </w:rPr>
        <w:t>4.1.1</w:t>
      </w:r>
      <w:bookmarkEnd w:id="119"/>
      <w:r w:rsidR="007D24A9" w:rsidRPr="002926D7">
        <w:rPr>
          <w:color w:val="212529"/>
          <w:spacing w:val="-2"/>
        </w:rPr>
        <w:t>.</w:t>
      </w:r>
    </w:p>
    <w:p w14:paraId="00920E15" w14:textId="77777777" w:rsidR="008E50A4" w:rsidRPr="002926D7" w:rsidRDefault="008E50A4" w:rsidP="002926D7">
      <w:pPr>
        <w:rPr>
          <w:rFonts w:asciiTheme="minorHAnsi" w:hAnsiTheme="minorHAnsi" w:cstheme="minorHAnsi"/>
          <w:szCs w:val="20"/>
        </w:rPr>
      </w:pPr>
    </w:p>
    <w:p w14:paraId="09FBC406" w14:textId="2514A1E2" w:rsidR="008E50A4" w:rsidRPr="002926D7" w:rsidRDefault="008E50A4" w:rsidP="002926D7">
      <w:pPr>
        <w:numPr>
          <w:ilvl w:val="0"/>
          <w:numId w:val="8"/>
        </w:numPr>
        <w:ind w:left="0" w:firstLine="0"/>
        <w:rPr>
          <w:rFonts w:asciiTheme="minorHAnsi" w:hAnsiTheme="minorHAnsi" w:cstheme="minorHAnsi"/>
          <w:szCs w:val="20"/>
        </w:rPr>
      </w:pPr>
      <w:r w:rsidRPr="002926D7">
        <w:rPr>
          <w:szCs w:val="20"/>
        </w:rPr>
        <w:t xml:space="preserve">At the project level, each </w:t>
      </w:r>
      <w:r w:rsidR="000E6AB0" w:rsidRPr="002926D7">
        <w:rPr>
          <w:szCs w:val="20"/>
        </w:rPr>
        <w:t xml:space="preserve">grant </w:t>
      </w:r>
      <w:r w:rsidRPr="002926D7">
        <w:rPr>
          <w:szCs w:val="20"/>
        </w:rPr>
        <w:t>project needs to include a knowledge management plan with a corresponding budget that allows the programme to capture their experience as well as to access the training needed to carry out the projects. Knowledge management activities at the project level could include peer to peer learning, training and facilitated exchange of knowledge.</w:t>
      </w:r>
    </w:p>
    <w:p w14:paraId="1A9BDEAB" w14:textId="77777777" w:rsidR="008E50A4" w:rsidRPr="002926D7" w:rsidRDefault="008E50A4" w:rsidP="002926D7">
      <w:pPr>
        <w:pStyle w:val="ListParagraph"/>
        <w:rPr>
          <w:szCs w:val="20"/>
        </w:rPr>
      </w:pPr>
    </w:p>
    <w:p w14:paraId="35B0B0F1" w14:textId="129BE437" w:rsidR="008E50A4" w:rsidRPr="002926D7" w:rsidRDefault="000E6AB0" w:rsidP="002926D7">
      <w:pPr>
        <w:numPr>
          <w:ilvl w:val="0"/>
          <w:numId w:val="8"/>
        </w:numPr>
        <w:ind w:left="0" w:firstLine="0"/>
        <w:rPr>
          <w:rFonts w:asciiTheme="minorHAnsi" w:hAnsiTheme="minorHAnsi" w:cstheme="minorHAnsi"/>
          <w:szCs w:val="20"/>
        </w:rPr>
      </w:pPr>
      <w:bookmarkStart w:id="120" w:name="_Hlk151545690"/>
      <w:r w:rsidRPr="002926D7">
        <w:rPr>
          <w:rFonts w:asciiTheme="minorHAnsi" w:hAnsiTheme="minorHAnsi" w:cstheme="minorHAnsi"/>
          <w:szCs w:val="20"/>
        </w:rPr>
        <w:t>Under OP8</w:t>
      </w:r>
      <w:r w:rsidR="008E50A4" w:rsidRPr="002926D7">
        <w:rPr>
          <w:rFonts w:asciiTheme="minorHAnsi" w:hAnsiTheme="minorHAnsi" w:cstheme="minorHAnsi"/>
          <w:szCs w:val="20"/>
        </w:rPr>
        <w:t xml:space="preserve">, specific knowledge management initiatives </w:t>
      </w:r>
      <w:r w:rsidRPr="002926D7">
        <w:rPr>
          <w:rFonts w:asciiTheme="minorHAnsi" w:hAnsiTheme="minorHAnsi" w:cstheme="minorHAnsi"/>
          <w:szCs w:val="20"/>
        </w:rPr>
        <w:t xml:space="preserve">are envisaged </w:t>
      </w:r>
      <w:r w:rsidR="008E50A4" w:rsidRPr="002926D7">
        <w:rPr>
          <w:rFonts w:asciiTheme="minorHAnsi" w:hAnsiTheme="minorHAnsi" w:cstheme="minorHAnsi"/>
          <w:szCs w:val="20"/>
        </w:rPr>
        <w:t xml:space="preserve">to strengthen project and country level activities with a focus </w:t>
      </w:r>
      <w:r w:rsidRPr="002926D7">
        <w:rPr>
          <w:rFonts w:asciiTheme="minorHAnsi" w:hAnsiTheme="minorHAnsi" w:cstheme="minorHAnsi"/>
          <w:szCs w:val="20"/>
        </w:rPr>
        <w:t>on</w:t>
      </w:r>
      <w:r w:rsidR="008E50A4" w:rsidRPr="002926D7">
        <w:rPr>
          <w:rFonts w:asciiTheme="minorHAnsi" w:hAnsiTheme="minorHAnsi" w:cstheme="minorHAnsi"/>
          <w:szCs w:val="20"/>
        </w:rPr>
        <w:t xml:space="preserve"> scal</w:t>
      </w:r>
      <w:r w:rsidRPr="002926D7">
        <w:rPr>
          <w:rFonts w:asciiTheme="minorHAnsi" w:hAnsiTheme="minorHAnsi" w:cstheme="minorHAnsi"/>
          <w:szCs w:val="20"/>
        </w:rPr>
        <w:t>ing</w:t>
      </w:r>
      <w:r w:rsidR="008E50A4" w:rsidRPr="002926D7">
        <w:rPr>
          <w:rFonts w:asciiTheme="minorHAnsi" w:hAnsiTheme="minorHAnsi" w:cstheme="minorHAnsi"/>
          <w:szCs w:val="20"/>
        </w:rPr>
        <w:t xml:space="preserve"> up, replicat</w:t>
      </w:r>
      <w:r w:rsidRPr="002926D7">
        <w:rPr>
          <w:rFonts w:asciiTheme="minorHAnsi" w:hAnsiTheme="minorHAnsi" w:cstheme="minorHAnsi"/>
          <w:szCs w:val="20"/>
        </w:rPr>
        <w:t>ing</w:t>
      </w:r>
      <w:r w:rsidR="008E50A4" w:rsidRPr="002926D7">
        <w:rPr>
          <w:rFonts w:asciiTheme="minorHAnsi" w:hAnsiTheme="minorHAnsi" w:cstheme="minorHAnsi"/>
          <w:szCs w:val="20"/>
        </w:rPr>
        <w:t xml:space="preserve"> and mainstream</w:t>
      </w:r>
      <w:r w:rsidRPr="002926D7">
        <w:rPr>
          <w:rFonts w:asciiTheme="minorHAnsi" w:hAnsiTheme="minorHAnsi" w:cstheme="minorHAnsi"/>
          <w:szCs w:val="20"/>
        </w:rPr>
        <w:t>ing</w:t>
      </w:r>
      <w:r w:rsidR="008E50A4" w:rsidRPr="002926D7">
        <w:rPr>
          <w:rFonts w:asciiTheme="minorHAnsi" w:hAnsiTheme="minorHAnsi" w:cstheme="minorHAnsi"/>
          <w:szCs w:val="20"/>
        </w:rPr>
        <w:t xml:space="preserve"> successes and disseminat</w:t>
      </w:r>
      <w:r w:rsidRPr="002926D7">
        <w:rPr>
          <w:rFonts w:asciiTheme="minorHAnsi" w:hAnsiTheme="minorHAnsi" w:cstheme="minorHAnsi"/>
          <w:szCs w:val="20"/>
        </w:rPr>
        <w:t>ing</w:t>
      </w:r>
      <w:r w:rsidR="008E50A4" w:rsidRPr="002926D7">
        <w:rPr>
          <w:rFonts w:asciiTheme="minorHAnsi" w:hAnsiTheme="minorHAnsi" w:cstheme="minorHAnsi"/>
          <w:szCs w:val="20"/>
        </w:rPr>
        <w:t xml:space="preserve"> the learnings.  At the global level, knowledge exchanges and innovation will be promoted through SGP’s knowledge platforms: The Digital Library of Community Innovations and the South-South Exchange Initiative.</w:t>
      </w:r>
      <w:r w:rsidR="008E6969" w:rsidRPr="002926D7">
        <w:rPr>
          <w:rFonts w:asciiTheme="minorHAnsi" w:hAnsiTheme="minorHAnsi" w:cstheme="minorHAnsi"/>
          <w:szCs w:val="20"/>
        </w:rPr>
        <w:t xml:space="preserve"> </w:t>
      </w:r>
      <w:r w:rsidR="008E50A4" w:rsidRPr="002926D7">
        <w:rPr>
          <w:rFonts w:asciiTheme="minorHAnsi" w:hAnsiTheme="minorHAnsi" w:cstheme="minorHAnsi"/>
          <w:szCs w:val="20"/>
        </w:rPr>
        <w:t xml:space="preserve">The digital library is an effort to document and curate the innovative solutions developed by indigenous peoples and local communities to environment and sustainable development challenges. The SGP will partner with relevant organizations to expand </w:t>
      </w:r>
      <w:r w:rsidR="008E50A4" w:rsidRPr="002926D7">
        <w:rPr>
          <w:rFonts w:asciiTheme="minorHAnsi" w:hAnsiTheme="minorHAnsi" w:cstheme="minorHAnsi"/>
          <w:szCs w:val="20"/>
        </w:rPr>
        <w:lastRenderedPageBreak/>
        <w:t>the reach and use of these practices</w:t>
      </w:r>
      <w:bookmarkEnd w:id="120"/>
      <w:r w:rsidR="008E50A4" w:rsidRPr="002926D7">
        <w:rPr>
          <w:rFonts w:asciiTheme="minorHAnsi" w:hAnsiTheme="minorHAnsi" w:cstheme="minorHAnsi"/>
          <w:szCs w:val="20"/>
        </w:rPr>
        <w:t>.</w:t>
      </w:r>
      <w:r w:rsidR="008E6969" w:rsidRPr="002926D7">
        <w:rPr>
          <w:rFonts w:asciiTheme="minorHAnsi" w:hAnsiTheme="minorHAnsi" w:cstheme="minorHAnsi"/>
          <w:szCs w:val="20"/>
        </w:rPr>
        <w:t xml:space="preserve"> Additional emphasis in OP8 will be placed on innovation related knowledge using the digital library platform.</w:t>
      </w:r>
    </w:p>
    <w:p w14:paraId="04076789" w14:textId="77777777" w:rsidR="00697594" w:rsidRPr="002926D7" w:rsidRDefault="00697594" w:rsidP="002926D7">
      <w:pPr>
        <w:rPr>
          <w:rFonts w:asciiTheme="minorHAnsi" w:hAnsiTheme="minorHAnsi" w:cstheme="minorHAnsi"/>
          <w:szCs w:val="20"/>
        </w:rPr>
      </w:pPr>
    </w:p>
    <w:p w14:paraId="78DBE616" w14:textId="49D4F960" w:rsidR="00452B0E" w:rsidRPr="002926D7" w:rsidRDefault="002067D4" w:rsidP="002926D7">
      <w:pPr>
        <w:jc w:val="left"/>
        <w:rPr>
          <w:rStyle w:val="Hyperlink"/>
          <w:b/>
          <w:bCs/>
          <w:i/>
          <w:color w:val="auto"/>
          <w:szCs w:val="20"/>
          <w:u w:val="none"/>
        </w:rPr>
      </w:pPr>
      <w:bookmarkStart w:id="121" w:name="_Hlk153986880"/>
      <w:r w:rsidRPr="002926D7">
        <w:rPr>
          <w:rFonts w:cs="Calibri"/>
          <w:b/>
          <w:bCs/>
          <w:szCs w:val="20"/>
          <w:u w:val="single"/>
        </w:rPr>
        <w:t xml:space="preserve">Innovativeness, </w:t>
      </w:r>
      <w:r w:rsidR="00E334FF" w:rsidRPr="002926D7">
        <w:rPr>
          <w:rFonts w:cs="Calibri"/>
          <w:b/>
          <w:bCs/>
          <w:szCs w:val="20"/>
          <w:u w:val="single"/>
        </w:rPr>
        <w:t>S</w:t>
      </w:r>
      <w:r w:rsidR="00075FD8" w:rsidRPr="002926D7">
        <w:rPr>
          <w:rFonts w:cs="Calibri"/>
          <w:b/>
          <w:bCs/>
          <w:szCs w:val="20"/>
          <w:u w:val="single"/>
        </w:rPr>
        <w:t xml:space="preserve">ustainability and </w:t>
      </w:r>
      <w:r w:rsidR="00E334FF" w:rsidRPr="002926D7">
        <w:rPr>
          <w:rFonts w:cs="Calibri"/>
          <w:b/>
          <w:bCs/>
          <w:szCs w:val="20"/>
          <w:u w:val="single"/>
        </w:rPr>
        <w:t>P</w:t>
      </w:r>
      <w:r w:rsidRPr="002926D7">
        <w:rPr>
          <w:rFonts w:cs="Calibri"/>
          <w:b/>
          <w:bCs/>
          <w:szCs w:val="20"/>
          <w:u w:val="single"/>
        </w:rPr>
        <w:t xml:space="preserve">otential for </w:t>
      </w:r>
      <w:r w:rsidR="00E334FF" w:rsidRPr="002926D7">
        <w:rPr>
          <w:rFonts w:cs="Calibri"/>
          <w:b/>
          <w:bCs/>
          <w:szCs w:val="20"/>
          <w:u w:val="single"/>
        </w:rPr>
        <w:t>S</w:t>
      </w:r>
      <w:r w:rsidR="00075FD8" w:rsidRPr="002926D7">
        <w:rPr>
          <w:rFonts w:cs="Calibri"/>
          <w:b/>
          <w:bCs/>
          <w:szCs w:val="20"/>
          <w:u w:val="single"/>
        </w:rPr>
        <w:t>caling Up</w:t>
      </w:r>
      <w:r w:rsidR="00591D26" w:rsidRPr="002926D7">
        <w:rPr>
          <w:rFonts w:cs="Calibri"/>
          <w:b/>
          <w:bCs/>
          <w:szCs w:val="20"/>
        </w:rPr>
        <w:t xml:space="preserve">: </w:t>
      </w:r>
    </w:p>
    <w:p w14:paraId="2C06867C" w14:textId="2E829D72" w:rsidR="00452B0E" w:rsidRPr="002926D7" w:rsidRDefault="00452B0E" w:rsidP="002926D7">
      <w:pPr>
        <w:rPr>
          <w:rStyle w:val="Hyperlink"/>
          <w:iCs/>
          <w:color w:val="auto"/>
          <w:szCs w:val="20"/>
          <w:u w:val="none"/>
        </w:rPr>
      </w:pPr>
    </w:p>
    <w:p w14:paraId="12159E06" w14:textId="70A4118F" w:rsidR="00472F8B" w:rsidRPr="002926D7" w:rsidRDefault="008E6969" w:rsidP="002926D7">
      <w:pPr>
        <w:numPr>
          <w:ilvl w:val="0"/>
          <w:numId w:val="8"/>
        </w:numPr>
        <w:ind w:left="0" w:firstLine="0"/>
        <w:rPr>
          <w:szCs w:val="20"/>
        </w:rPr>
      </w:pPr>
      <w:bookmarkStart w:id="122" w:name="_Hlk121848982"/>
      <w:bookmarkStart w:id="123" w:name="_Hlk101781272"/>
      <w:bookmarkStart w:id="124" w:name="_Hlk41905445"/>
      <w:bookmarkStart w:id="125" w:name="_Toc207800912"/>
      <w:r w:rsidRPr="002926D7">
        <w:rPr>
          <w:b/>
          <w:bCs/>
        </w:rPr>
        <w:t>Innovation</w:t>
      </w:r>
      <w:r w:rsidRPr="002926D7">
        <w:t>.</w:t>
      </w:r>
      <w:r w:rsidR="00A25532" w:rsidRPr="002926D7">
        <w:rPr>
          <w:szCs w:val="20"/>
        </w:rPr>
        <w:t xml:space="preserve"> </w:t>
      </w:r>
      <w:r w:rsidR="00472F8B" w:rsidRPr="002926D7">
        <w:rPr>
          <w:szCs w:val="20"/>
        </w:rPr>
        <w:t>Community innovations in SGP are manifested in the testing and ground-truthing of low-cost technologies and sustainable production methods, in new methodologies for the involvement of stakeholders, and in integrating traditional decision-making processes within the wider frameworks and actions relevant to meeting country commitments to international environmental agreements. Since SGP funding is modest and its interventions are designed to be initially small scale, the programme can readily support community-based experimentation. Once a novel idea has been tested on the ground and proven to be effective in meeting community needs, it can often take off more widely through grantee networks as well as networking with other CSOs, further resulting in more innovations and eventually attracting additional donor and or government support for wider application. This innovation process is supported through</w:t>
      </w:r>
      <w:r w:rsidR="00E20942" w:rsidRPr="002926D7">
        <w:rPr>
          <w:szCs w:val="20"/>
        </w:rPr>
        <w:t xml:space="preserve"> a</w:t>
      </w:r>
      <w:r w:rsidR="00472F8B" w:rsidRPr="002926D7">
        <w:rPr>
          <w:szCs w:val="20"/>
        </w:rPr>
        <w:t xml:space="preserve"> digital library of community innovations, building on the tens of thousands of SGP-supported projects, as well as a South-South Community Innovation Exchange Platform to share these innovations across countries. </w:t>
      </w:r>
    </w:p>
    <w:p w14:paraId="609503A7" w14:textId="77777777" w:rsidR="00472F8B" w:rsidRPr="002926D7" w:rsidRDefault="00472F8B" w:rsidP="002926D7">
      <w:pPr>
        <w:rPr>
          <w:szCs w:val="20"/>
        </w:rPr>
      </w:pPr>
    </w:p>
    <w:p w14:paraId="5E766522" w14:textId="4976D4D3" w:rsidR="00472F8B" w:rsidRPr="002926D7" w:rsidRDefault="008E6969" w:rsidP="002926D7">
      <w:pPr>
        <w:numPr>
          <w:ilvl w:val="0"/>
          <w:numId w:val="8"/>
        </w:numPr>
        <w:ind w:left="0" w:firstLine="0"/>
        <w:rPr>
          <w:szCs w:val="20"/>
        </w:rPr>
      </w:pPr>
      <w:r w:rsidRPr="002926D7">
        <w:t>To encourage innovation within the portfolio, and to fully explore the potential of the SGP to be an incubator, the SGP will scale-up tracking  innovation results in terms of the invention of product, service or process, leveraging local assets and resources, relevance to local unmet needs, potential of scaling up/ replication. Building on results from previous operational phases OP8 will further roll out the implementation of  the measurement called the SGP Innovation Meter. This measure covers different types of innovations, including disruptive and sustaining/ incremental innovations that SGP is involved in. It measures innovation both from the standpoint of the coverage of the portfolio and also the depth of innovation in the portfolio. In addition, SGP will continue with the design and implementation of Innovation Programs with interested and relevant SGP Country Programmes to emerging environmental issues for scaling up and/or pilot innovative approaches and tools on specific thematic issues.</w:t>
      </w:r>
    </w:p>
    <w:p w14:paraId="15ECB988" w14:textId="77777777" w:rsidR="00472F8B" w:rsidRPr="002926D7" w:rsidRDefault="00472F8B" w:rsidP="002926D7">
      <w:pPr>
        <w:rPr>
          <w:szCs w:val="20"/>
        </w:rPr>
      </w:pPr>
    </w:p>
    <w:p w14:paraId="5E8E23C2" w14:textId="30DDC8AD" w:rsidR="00472F8B" w:rsidRPr="002926D7" w:rsidRDefault="00472F8B" w:rsidP="002926D7">
      <w:pPr>
        <w:numPr>
          <w:ilvl w:val="0"/>
          <w:numId w:val="8"/>
        </w:numPr>
        <w:ind w:left="0" w:firstLine="0"/>
        <w:rPr>
          <w:szCs w:val="20"/>
        </w:rPr>
      </w:pPr>
      <w:r w:rsidRPr="002926D7">
        <w:rPr>
          <w:bCs/>
          <w:szCs w:val="20"/>
        </w:rPr>
        <w:t xml:space="preserve">Achieving </w:t>
      </w:r>
      <w:r w:rsidRPr="002926D7">
        <w:rPr>
          <w:b/>
          <w:szCs w:val="20"/>
        </w:rPr>
        <w:t>sustainability</w:t>
      </w:r>
      <w:r w:rsidRPr="002926D7">
        <w:rPr>
          <w:szCs w:val="20"/>
        </w:rPr>
        <w:t xml:space="preserve"> of project outcomes is central to SGP.  According to IEO Joint Evaluation in 2015, the SGP has secured a high success rate in sustaining project results. Project proponents are required to build measures into their project design that increase the likelihood of outcome sustainability, including through the development of an appropriate exit strategy. The screening of project proposals by the National Steering Committee</w:t>
      </w:r>
      <w:r w:rsidR="00E20942" w:rsidRPr="002926D7">
        <w:rPr>
          <w:szCs w:val="20"/>
        </w:rPr>
        <w:t>s</w:t>
      </w:r>
      <w:r w:rsidRPr="002926D7">
        <w:rPr>
          <w:szCs w:val="20"/>
        </w:rPr>
        <w:t xml:space="preserve"> (NSC) includes a systematic assessment of whether such measures are sound and based on realistic assumptions. </w:t>
      </w:r>
      <w:r w:rsidR="00E20942" w:rsidRPr="002926D7">
        <w:rPr>
          <w:szCs w:val="20"/>
        </w:rPr>
        <w:t>Grant level p</w:t>
      </w:r>
      <w:r w:rsidRPr="002926D7">
        <w:rPr>
          <w:szCs w:val="20"/>
        </w:rPr>
        <w:t xml:space="preserve">roject logical frameworks include outcome indicators that are monitored periodically. Project monitoring activities are designed to verify that initial assumptions hold, and that the required elements for outcome sustainability are in place. Most grants include a capacity development component and a sustainable livelihoods component to ensure that achievements will be sustained at the smallholder and resource-user level. Proactive adaptive management is applied throughout the life of the projects by the National Coordinator (NC) who works with SGP grantees to take corrective action whenever there are indications that project outcomes may be compromised or may not be sustained after the project ends. SGP does not generally support the creation of new organizations, but rather strengthens existing </w:t>
      </w:r>
      <w:r w:rsidR="00E20942" w:rsidRPr="002926D7">
        <w:rPr>
          <w:szCs w:val="20"/>
        </w:rPr>
        <w:t>CSOs/</w:t>
      </w:r>
      <w:r w:rsidRPr="002926D7">
        <w:rPr>
          <w:szCs w:val="20"/>
        </w:rPr>
        <w:t xml:space="preserve">CBOs. </w:t>
      </w:r>
    </w:p>
    <w:p w14:paraId="0A407448" w14:textId="77777777" w:rsidR="00472F8B" w:rsidRPr="002926D7" w:rsidRDefault="00472F8B" w:rsidP="002926D7">
      <w:pPr>
        <w:rPr>
          <w:szCs w:val="20"/>
        </w:rPr>
      </w:pPr>
    </w:p>
    <w:p w14:paraId="303DFA6E" w14:textId="7C65510C" w:rsidR="00472F8B" w:rsidRPr="002926D7" w:rsidRDefault="00472F8B" w:rsidP="002926D7">
      <w:pPr>
        <w:numPr>
          <w:ilvl w:val="0"/>
          <w:numId w:val="8"/>
        </w:numPr>
        <w:ind w:left="0" w:firstLine="0"/>
        <w:rPr>
          <w:szCs w:val="20"/>
        </w:rPr>
      </w:pPr>
      <w:r w:rsidRPr="002926D7">
        <w:rPr>
          <w:szCs w:val="20"/>
        </w:rPr>
        <w:t>Although most communities continue applying acquired skills in their day-to-day work, SGP ensures retention of new skills through various means: (i) inviting leaders or members of former grantee organizations to new training; (ii) using former SGP grantees as trainers for other communities and projects; (iii) continuing monitoring former grantees and troubleshooting as much as possible; and (iv) establishing mentoring and peer-to-peer support among communities.</w:t>
      </w:r>
      <w:r w:rsidR="00A25532" w:rsidRPr="002926D7">
        <w:rPr>
          <w:szCs w:val="20"/>
        </w:rPr>
        <w:t xml:space="preserve"> Other activities that enhance sustainability include </w:t>
      </w:r>
      <w:r w:rsidR="00A25532" w:rsidRPr="002926D7">
        <w:rPr>
          <w:rFonts w:ascii="Segoe UI" w:hAnsi="Segoe UI" w:cs="Segoe UI"/>
          <w:sz w:val="18"/>
          <w:szCs w:val="18"/>
        </w:rPr>
        <w:t>strengthened grantee networks; promoted peer-to-peer knowledge exchanges; organized training within project grants on specific technical issues; organized training for SGP grantees on different subjects to improve project implementation; connected grantees with government services; connected grantees with NGOs/INGOs; connected grantees with the academia or research centers; connected grantees with development agencies/practitioners; and connected grantees with private sector companies.</w:t>
      </w:r>
      <w:r w:rsidR="00A25532" w:rsidRPr="002926D7">
        <w:rPr>
          <w:szCs w:val="20"/>
        </w:rPr>
        <w:t xml:space="preserve"> </w:t>
      </w:r>
      <w:r w:rsidRPr="002926D7">
        <w:rPr>
          <w:szCs w:val="20"/>
        </w:rPr>
        <w:t xml:space="preserve"> Ultimately, the sustainability of SGP projects results from the strong ownership of the community or CSO</w:t>
      </w:r>
      <w:r w:rsidR="00E20942" w:rsidRPr="002926D7">
        <w:rPr>
          <w:szCs w:val="20"/>
        </w:rPr>
        <w:t>/CBO</w:t>
      </w:r>
      <w:r w:rsidRPr="002926D7">
        <w:rPr>
          <w:szCs w:val="20"/>
        </w:rPr>
        <w:t xml:space="preserve"> grantee-partners to the actions taken and resulting outcomes, the empowerment built in the process of implementation, and the fact that these projects are meeting their most important needs particularly for </w:t>
      </w:r>
      <w:r w:rsidRPr="002926D7">
        <w:rPr>
          <w:szCs w:val="20"/>
        </w:rPr>
        <w:lastRenderedPageBreak/>
        <w:t xml:space="preserve">sustainable livelihoods. SGP’s Grantmakers Plus initiatives is specifically geared towards sustainability and will promote an enabling environment to scale up the impacts of SGP Strategic Initiatives, nationally and globally, through networking and knowledge exchange. </w:t>
      </w:r>
    </w:p>
    <w:p w14:paraId="54BD2121" w14:textId="77777777" w:rsidR="00472F8B" w:rsidRPr="002926D7" w:rsidRDefault="00472F8B" w:rsidP="002926D7">
      <w:pPr>
        <w:pStyle w:val="ListParagraph"/>
        <w:rPr>
          <w:szCs w:val="20"/>
        </w:rPr>
      </w:pPr>
    </w:p>
    <w:p w14:paraId="7AFEB159" w14:textId="2A82DA23" w:rsidR="00472F8B" w:rsidRPr="002926D7" w:rsidRDefault="00472F8B" w:rsidP="002926D7">
      <w:pPr>
        <w:numPr>
          <w:ilvl w:val="0"/>
          <w:numId w:val="8"/>
        </w:numPr>
        <w:ind w:left="0" w:firstLine="0"/>
        <w:rPr>
          <w:szCs w:val="20"/>
        </w:rPr>
      </w:pPr>
      <w:r w:rsidRPr="002926D7">
        <w:rPr>
          <w:szCs w:val="20"/>
        </w:rPr>
        <w:t xml:space="preserve">With regards to </w:t>
      </w:r>
      <w:r w:rsidRPr="002926D7">
        <w:rPr>
          <w:b/>
          <w:szCs w:val="20"/>
        </w:rPr>
        <w:t>scaling up</w:t>
      </w:r>
      <w:r w:rsidRPr="002926D7">
        <w:rPr>
          <w:szCs w:val="20"/>
        </w:rPr>
        <w:t>, the majority of SGP innovations have scaling up potential. This is emblematic in the fact that among the 60 cases</w:t>
      </w:r>
      <w:r w:rsidRPr="002926D7">
        <w:rPr>
          <w:rStyle w:val="FootnoteReference"/>
          <w:sz w:val="20"/>
          <w:szCs w:val="20"/>
        </w:rPr>
        <w:footnoteReference w:id="3"/>
      </w:r>
      <w:r w:rsidRPr="002926D7">
        <w:rPr>
          <w:szCs w:val="20"/>
        </w:rPr>
        <w:t xml:space="preserve"> assessed for a study by the GEF IEO</w:t>
      </w:r>
      <w:r w:rsidRPr="002926D7">
        <w:rPr>
          <w:rStyle w:val="FootnoteReference"/>
          <w:sz w:val="20"/>
          <w:szCs w:val="20"/>
        </w:rPr>
        <w:footnoteReference w:id="4"/>
      </w:r>
      <w:r w:rsidRPr="002926D7">
        <w:rPr>
          <w:szCs w:val="20"/>
        </w:rPr>
        <w:t xml:space="preserve"> in 2019 for evaluating scaling up in GEF, 14 consisted of SGP projects.  This is because successful SGP projects are solutions that are relevant to a thousand-fold more communities under similar situations within the country of implementation, and across other countries. Community-based approaches are inherently more cost-effective in their utilization of existing resources and hitherto untapped resources thereby providing a good model for larger projects concerned with efficiency and sustainability. The highly consultative and participatory processes, including the direct access to funds, practiced in SGP projects, can provide valuable lessons for larger government and donor programs. Notable too is the global reach of SGP – </w:t>
      </w:r>
      <w:r w:rsidR="00E20942" w:rsidRPr="002926D7">
        <w:rPr>
          <w:szCs w:val="20"/>
        </w:rPr>
        <w:t xml:space="preserve">99 </w:t>
      </w:r>
      <w:r w:rsidRPr="002926D7">
        <w:rPr>
          <w:szCs w:val="20"/>
        </w:rPr>
        <w:t>participating countries</w:t>
      </w:r>
      <w:r w:rsidR="00E20942" w:rsidRPr="002926D7">
        <w:rPr>
          <w:szCs w:val="20"/>
        </w:rPr>
        <w:t xml:space="preserve"> in Part 1 of OP8</w:t>
      </w:r>
      <w:r w:rsidRPr="002926D7">
        <w:rPr>
          <w:szCs w:val="20"/>
        </w:rPr>
        <w:t xml:space="preserve"> – which combined with good sharing systems, can scale up, mainstream, and replicate successful community projects. Moreover, as pointed out by the GEF IEO study, UNDP-SGP “structure is particularly conducive for interactions” [frequent interactions to exchange knowledge and information] due to its unique structure, at the country level, SGP’s long term and local presence, commitment to building multi-stakeholder networks, are crucial factors for scaling up success.</w:t>
      </w:r>
    </w:p>
    <w:p w14:paraId="0C77A9C7" w14:textId="77777777" w:rsidR="00472F8B" w:rsidRPr="002926D7" w:rsidRDefault="00472F8B" w:rsidP="002926D7">
      <w:pPr>
        <w:rPr>
          <w:szCs w:val="20"/>
        </w:rPr>
      </w:pPr>
    </w:p>
    <w:p w14:paraId="769A2A99" w14:textId="77777777" w:rsidR="00472F8B" w:rsidRPr="002926D7" w:rsidRDefault="00472F8B" w:rsidP="002926D7">
      <w:pPr>
        <w:numPr>
          <w:ilvl w:val="0"/>
          <w:numId w:val="8"/>
        </w:numPr>
        <w:ind w:left="0" w:firstLine="0"/>
        <w:rPr>
          <w:szCs w:val="20"/>
        </w:rPr>
      </w:pPr>
      <w:r w:rsidRPr="002926D7">
        <w:rPr>
          <w:szCs w:val="20"/>
        </w:rPr>
        <w:t xml:space="preserve">Scaling up, as well as mainstreaming and replication, however, are processes that require a proactive approach and additional resources especially for communities and CSOs that have only recently completed their first projects. SGP’s main role in the scaling up process is to demonstrate or showcase the successful innovation to a wider set of stakeholders, as well as to establish networks/linkages for pooling of effort and resources by various actors.  At the portfolio level, SGP has utilized its NSCs, grantee-partner networks and allied CSO networks to have community innovations and successes recognized and adopted at the national level by policymakers. </w:t>
      </w:r>
    </w:p>
    <w:p w14:paraId="13612E5D" w14:textId="77777777" w:rsidR="00472F8B" w:rsidRPr="002926D7" w:rsidRDefault="00472F8B" w:rsidP="002926D7">
      <w:pPr>
        <w:pStyle w:val="ListParagraph"/>
        <w:rPr>
          <w:szCs w:val="20"/>
        </w:rPr>
      </w:pPr>
    </w:p>
    <w:p w14:paraId="26A213A1" w14:textId="027B27C4" w:rsidR="00472F8B" w:rsidRPr="002926D7" w:rsidRDefault="00E20942" w:rsidP="002926D7">
      <w:pPr>
        <w:numPr>
          <w:ilvl w:val="0"/>
          <w:numId w:val="8"/>
        </w:numPr>
        <w:ind w:left="0" w:firstLine="0"/>
        <w:rPr>
          <w:szCs w:val="20"/>
        </w:rPr>
      </w:pPr>
      <w:r w:rsidRPr="002926D7">
        <w:rPr>
          <w:szCs w:val="20"/>
        </w:rPr>
        <w:t xml:space="preserve">Under OP8, </w:t>
      </w:r>
      <w:r w:rsidR="00472F8B" w:rsidRPr="002926D7">
        <w:rPr>
          <w:szCs w:val="20"/>
        </w:rPr>
        <w:t xml:space="preserve">SGP will </w:t>
      </w:r>
      <w:r w:rsidRPr="002926D7">
        <w:rPr>
          <w:szCs w:val="20"/>
        </w:rPr>
        <w:t>further</w:t>
      </w:r>
      <w:r w:rsidR="00472F8B" w:rsidRPr="002926D7">
        <w:rPr>
          <w:szCs w:val="20"/>
        </w:rPr>
        <w:t xml:space="preserve"> encourage strong partnerships with the private sector to commercialize successful projects with the aim to shift renewable energy projects from pilot innovations to the mainstream. This will be achieved through, but not limited to, the CSO-Government-Private Sector dialogue platforms. The Grant Maker Plus funds that support such CSO-government dialogues was recognized by the IEO study as enabling SGP country programs to provide a platform for stakeholders to reflect on issues such as how implementation at the higher scale could be adapted to improve outcomes</w:t>
      </w:r>
      <w:bookmarkEnd w:id="121"/>
      <w:r w:rsidR="00472F8B" w:rsidRPr="002926D7">
        <w:rPr>
          <w:szCs w:val="20"/>
        </w:rPr>
        <w:t>.</w:t>
      </w:r>
    </w:p>
    <w:p w14:paraId="3D71E61F" w14:textId="3F97CD65" w:rsidR="00732D40" w:rsidRPr="002926D7" w:rsidRDefault="00732D40" w:rsidP="002926D7"/>
    <w:p w14:paraId="02E3BC31" w14:textId="77777777" w:rsidR="00F92B69" w:rsidRPr="002926D7" w:rsidRDefault="00032588" w:rsidP="002926D7">
      <w:pPr>
        <w:jc w:val="left"/>
        <w:rPr>
          <w:b/>
        </w:rPr>
      </w:pPr>
      <w:r w:rsidRPr="002926D7">
        <w:rPr>
          <w:b/>
          <w:bCs/>
          <w:u w:val="single"/>
        </w:rPr>
        <w:t>Digital Solutions</w:t>
      </w:r>
      <w:r w:rsidRPr="002926D7">
        <w:rPr>
          <w:bCs/>
          <w:i/>
          <w:iCs/>
          <w:szCs w:val="20"/>
          <w:vertAlign w:val="superscript"/>
        </w:rPr>
        <w:footnoteReference w:id="5"/>
      </w:r>
      <w:r w:rsidRPr="002926D7">
        <w:rPr>
          <w:b/>
        </w:rPr>
        <w:t xml:space="preserve">: </w:t>
      </w:r>
    </w:p>
    <w:p w14:paraId="14AA9B55" w14:textId="77777777" w:rsidR="00F92B69" w:rsidRPr="002926D7" w:rsidRDefault="00F92B69" w:rsidP="002926D7">
      <w:pPr>
        <w:jc w:val="left"/>
        <w:rPr>
          <w:b/>
        </w:rPr>
      </w:pPr>
    </w:p>
    <w:p w14:paraId="73C556AF" w14:textId="49D012C2" w:rsidR="00F92B69" w:rsidRPr="002926D7" w:rsidRDefault="00E52A08" w:rsidP="002926D7">
      <w:pPr>
        <w:numPr>
          <w:ilvl w:val="0"/>
          <w:numId w:val="8"/>
        </w:numPr>
        <w:ind w:left="0" w:firstLine="0"/>
        <w:rPr>
          <w:szCs w:val="20"/>
        </w:rPr>
      </w:pPr>
      <w:bookmarkStart w:id="126" w:name="_Hlk153712748"/>
      <w:r w:rsidRPr="002926D7">
        <w:t>Digital technology and solutions, when developed and applied in a customizable way, can enhance the quality and efficiency of data collection, empower local communities to better engaged in conservation efforts, livelihood improvement and creation sustainable solutions that reduce environmental impact. SGP redoubled efforts in testing these innovative digital technologies in GEF-7 in the fields of territorial mapping of ICCAs, marine conservation, sustainable agriculture, biodiversity conservation, carbon emission monitoring and advocacy for behaviour change.  In OP8-Part 1, SGP will continue to support community-led digital technology and innovation projects in the areas described below</w:t>
      </w:r>
      <w:bookmarkEnd w:id="126"/>
      <w:r w:rsidR="00F92B69" w:rsidRPr="002926D7">
        <w:rPr>
          <w:szCs w:val="20"/>
        </w:rPr>
        <w:t>.</w:t>
      </w:r>
    </w:p>
    <w:p w14:paraId="0ADBE437" w14:textId="77777777" w:rsidR="00F92B69" w:rsidRPr="002926D7" w:rsidRDefault="00F92B69" w:rsidP="002926D7">
      <w:pPr>
        <w:rPr>
          <w:szCs w:val="20"/>
        </w:rPr>
      </w:pPr>
    </w:p>
    <w:p w14:paraId="3DCAE030" w14:textId="635B12C0" w:rsidR="00F92B69" w:rsidRPr="002926D7" w:rsidRDefault="00F92B69" w:rsidP="002926D7">
      <w:pPr>
        <w:numPr>
          <w:ilvl w:val="0"/>
          <w:numId w:val="8"/>
        </w:numPr>
        <w:ind w:left="0" w:firstLine="0"/>
        <w:rPr>
          <w:szCs w:val="20"/>
        </w:rPr>
      </w:pPr>
      <w:r w:rsidRPr="002926D7">
        <w:rPr>
          <w:rFonts w:eastAsia="Calibri" w:cs="Calibri"/>
          <w:b/>
          <w:bCs/>
          <w:szCs w:val="20"/>
        </w:rPr>
        <w:t>Biodiversity and ecosystem</w:t>
      </w:r>
      <w:r w:rsidRPr="002926D7">
        <w:rPr>
          <w:rFonts w:eastAsia="Calibri" w:cs="Calibri"/>
          <w:szCs w:val="20"/>
        </w:rPr>
        <w:t xml:space="preserve">:  Digital technologies can help communities monitor and protect the species and ecosystem. Satellites, drones, and sensors can collect data on land and under water. </w:t>
      </w:r>
      <w:r w:rsidR="00472F8B" w:rsidRPr="002926D7">
        <w:rPr>
          <w:rFonts w:eastAsia="Calibri" w:cs="Calibri"/>
          <w:szCs w:val="20"/>
        </w:rPr>
        <w:t>Artificial Intelligence (</w:t>
      </w:r>
      <w:r w:rsidRPr="002926D7">
        <w:rPr>
          <w:rFonts w:eastAsia="Calibri" w:cs="Calibri"/>
          <w:szCs w:val="20"/>
        </w:rPr>
        <w:t>AI</w:t>
      </w:r>
      <w:r w:rsidR="00472F8B" w:rsidRPr="002926D7">
        <w:rPr>
          <w:rFonts w:eastAsia="Calibri" w:cs="Calibri"/>
          <w:szCs w:val="20"/>
        </w:rPr>
        <w:t>)</w:t>
      </w:r>
      <w:r w:rsidRPr="002926D7">
        <w:rPr>
          <w:rFonts w:eastAsia="Calibri" w:cs="Calibri"/>
          <w:szCs w:val="20"/>
        </w:rPr>
        <w:t xml:space="preserve"> and machine learning algorithms can help communit</w:t>
      </w:r>
      <w:r w:rsidR="00472F8B" w:rsidRPr="002926D7">
        <w:rPr>
          <w:rFonts w:eastAsia="Calibri" w:cs="Calibri"/>
          <w:szCs w:val="20"/>
        </w:rPr>
        <w:t>ies</w:t>
      </w:r>
      <w:r w:rsidRPr="002926D7">
        <w:rPr>
          <w:rFonts w:eastAsia="Calibri" w:cs="Calibri"/>
          <w:szCs w:val="20"/>
        </w:rPr>
        <w:t xml:space="preserve"> analyze and interpret that data. For example, underwater drones equipped with GPS are more efficient than using scuba divers or releasing a cable tethered camera from a boat to map and monitor the sea grasses. A cloud platform to store, process, and visualize camera trapping data </w:t>
      </w:r>
      <w:r w:rsidRPr="002926D7">
        <w:rPr>
          <w:rFonts w:eastAsia="Calibri" w:cs="Calibri"/>
          <w:szCs w:val="20"/>
        </w:rPr>
        <w:lastRenderedPageBreak/>
        <w:t>collected from Internet-connected cameras with AI photo processing can speed up species and individual animal identification so that increase the efficiency of data collection, management, and analysis.</w:t>
      </w:r>
    </w:p>
    <w:p w14:paraId="2B076ECD" w14:textId="77777777" w:rsidR="00F92B69" w:rsidRPr="002926D7" w:rsidRDefault="00F92B69" w:rsidP="002926D7">
      <w:pPr>
        <w:pStyle w:val="ListParagraph"/>
        <w:rPr>
          <w:rFonts w:eastAsia="Calibri" w:cs="Calibri"/>
          <w:b/>
          <w:bCs/>
          <w:szCs w:val="20"/>
        </w:rPr>
      </w:pPr>
    </w:p>
    <w:p w14:paraId="5A0A09CD" w14:textId="184E3286" w:rsidR="00F92B69" w:rsidRPr="002926D7" w:rsidRDefault="00F92B69" w:rsidP="002926D7">
      <w:pPr>
        <w:numPr>
          <w:ilvl w:val="0"/>
          <w:numId w:val="8"/>
        </w:numPr>
        <w:ind w:left="0" w:firstLine="0"/>
        <w:rPr>
          <w:szCs w:val="20"/>
        </w:rPr>
      </w:pPr>
      <w:r w:rsidRPr="002926D7">
        <w:rPr>
          <w:rFonts w:eastAsia="Calibri" w:cs="Calibri"/>
          <w:b/>
          <w:bCs/>
          <w:szCs w:val="20"/>
        </w:rPr>
        <w:t>Renewable Energy</w:t>
      </w:r>
      <w:r w:rsidRPr="002926D7">
        <w:rPr>
          <w:rFonts w:eastAsia="Calibri" w:cs="Calibri"/>
          <w:szCs w:val="20"/>
        </w:rPr>
        <w:t xml:space="preserve">: </w:t>
      </w:r>
      <w:r w:rsidR="00E52A08" w:rsidRPr="002926D7">
        <w:rPr>
          <w:rFonts w:eastAsia="Calibri" w:cs="Calibri"/>
          <w:szCs w:val="20"/>
        </w:rPr>
        <w:t>Mobile applications can enhance the efficiency of local level renewable energy solutions, as well as</w:t>
      </w:r>
      <w:r w:rsidR="00A25532" w:rsidRPr="002926D7">
        <w:rPr>
          <w:rFonts w:eastAsia="Calibri" w:cs="Calibri"/>
          <w:szCs w:val="20"/>
        </w:rPr>
        <w:t xml:space="preserve"> provide real-time monitoring</w:t>
      </w:r>
      <w:r w:rsidRPr="002926D7">
        <w:rPr>
          <w:rFonts w:eastAsia="Calibri" w:cs="Calibri"/>
          <w:szCs w:val="20"/>
        </w:rPr>
        <w:t xml:space="preserve">. </w:t>
      </w:r>
    </w:p>
    <w:p w14:paraId="4E26D6B6" w14:textId="77777777" w:rsidR="00F92B69" w:rsidRPr="002926D7" w:rsidRDefault="00F92B69" w:rsidP="002926D7">
      <w:pPr>
        <w:pStyle w:val="ListParagraph"/>
        <w:rPr>
          <w:rFonts w:eastAsia="Calibri" w:cs="Calibri"/>
          <w:b/>
          <w:bCs/>
          <w:szCs w:val="20"/>
        </w:rPr>
      </w:pPr>
    </w:p>
    <w:p w14:paraId="38B65D70" w14:textId="06FC558A" w:rsidR="00F92B69" w:rsidRPr="002926D7" w:rsidRDefault="00F92B69" w:rsidP="002926D7">
      <w:pPr>
        <w:numPr>
          <w:ilvl w:val="0"/>
          <w:numId w:val="8"/>
        </w:numPr>
        <w:ind w:left="0" w:firstLine="0"/>
        <w:rPr>
          <w:szCs w:val="20"/>
        </w:rPr>
      </w:pPr>
      <w:r w:rsidRPr="002926D7">
        <w:rPr>
          <w:rFonts w:eastAsia="Calibri" w:cs="Calibri"/>
          <w:b/>
          <w:bCs/>
          <w:szCs w:val="20"/>
        </w:rPr>
        <w:t>Sustainable Agriculture</w:t>
      </w:r>
      <w:r w:rsidRPr="002926D7">
        <w:rPr>
          <w:rFonts w:eastAsia="Calibri" w:cs="Calibri"/>
          <w:szCs w:val="20"/>
        </w:rPr>
        <w:t xml:space="preserve">: </w:t>
      </w:r>
      <w:r w:rsidR="00083534" w:rsidRPr="002926D7">
        <w:rPr>
          <w:rFonts w:eastAsia="Calibri" w:cs="Calibri"/>
          <w:szCs w:val="20"/>
        </w:rPr>
        <w:t>Digital technologies can help farmers optimize their crop yields while reducing their environmental impact. Drones, sensors, and machine learning can all be used to monitor soil health, manage water, fertilizer, and pesticide usage, and promote sustainable farming practices. Fintech and various e-commerce platforms can also enhance direct access to market</w:t>
      </w:r>
      <w:r w:rsidRPr="002926D7">
        <w:rPr>
          <w:rFonts w:eastAsia="Calibri" w:cs="Calibri"/>
          <w:szCs w:val="20"/>
        </w:rPr>
        <w:t>.</w:t>
      </w:r>
    </w:p>
    <w:p w14:paraId="472B5725" w14:textId="77777777" w:rsidR="00F92B69" w:rsidRPr="002926D7" w:rsidRDefault="00F92B69" w:rsidP="002926D7">
      <w:pPr>
        <w:pStyle w:val="ListParagraph"/>
        <w:rPr>
          <w:rFonts w:eastAsia="Calibri" w:cs="Calibri"/>
          <w:b/>
          <w:bCs/>
          <w:szCs w:val="20"/>
        </w:rPr>
      </w:pPr>
    </w:p>
    <w:p w14:paraId="15357C92" w14:textId="1504180C" w:rsidR="00F92B69" w:rsidRPr="002926D7" w:rsidRDefault="00AA2363" w:rsidP="002926D7">
      <w:pPr>
        <w:numPr>
          <w:ilvl w:val="0"/>
          <w:numId w:val="8"/>
        </w:numPr>
        <w:ind w:left="0" w:firstLine="0"/>
        <w:rPr>
          <w:szCs w:val="20"/>
        </w:rPr>
      </w:pPr>
      <w:r w:rsidRPr="002926D7">
        <w:rPr>
          <w:rFonts w:eastAsia="Calibri" w:cs="Calibri"/>
          <w:b/>
          <w:bCs/>
        </w:rPr>
        <w:t>Circular Economy/waste management</w:t>
      </w:r>
      <w:r w:rsidRPr="002926D7">
        <w:rPr>
          <w:rFonts w:eastAsia="Calibri" w:cs="Calibri"/>
        </w:rPr>
        <w:t>: Digital technologies can help city/community/individual transition from a linear "take-make-dispose" model to a circular economy that promotes reuse and recycling by enabling better resource tracking and management, access to information. For instance, digital platforms and apps can promote sharing and reuse of goods and services, facilitating community-based recycling and upcycling initiatives, and fostering awareness about sustainable consumption practices, contributing to a more circular and resource-efficient economy. Recycling Apps and smart water classification systems can promote the efficiency of reuse and recycle of products</w:t>
      </w:r>
      <w:r w:rsidR="00F92B69" w:rsidRPr="002926D7">
        <w:rPr>
          <w:rFonts w:eastAsia="Calibri" w:cs="Calibri"/>
          <w:szCs w:val="20"/>
        </w:rPr>
        <w:t xml:space="preserve">. </w:t>
      </w:r>
    </w:p>
    <w:p w14:paraId="3FF8AE01" w14:textId="77777777" w:rsidR="00F92B69" w:rsidRPr="002926D7" w:rsidRDefault="00F92B69" w:rsidP="002926D7">
      <w:pPr>
        <w:pStyle w:val="ListParagraph"/>
        <w:rPr>
          <w:rFonts w:eastAsia="Calibri" w:cs="Calibri"/>
          <w:b/>
          <w:bCs/>
          <w:szCs w:val="20"/>
        </w:rPr>
      </w:pPr>
    </w:p>
    <w:p w14:paraId="545D38B1" w14:textId="0AC61F5B" w:rsidR="00F92B69" w:rsidRPr="002926D7" w:rsidRDefault="00F92B69" w:rsidP="002926D7">
      <w:pPr>
        <w:numPr>
          <w:ilvl w:val="0"/>
          <w:numId w:val="8"/>
        </w:numPr>
        <w:ind w:left="0" w:firstLine="0"/>
        <w:rPr>
          <w:szCs w:val="20"/>
        </w:rPr>
      </w:pPr>
      <w:r w:rsidRPr="002926D7">
        <w:rPr>
          <w:rFonts w:eastAsia="Calibri" w:cs="Calibri"/>
          <w:b/>
          <w:bCs/>
          <w:szCs w:val="20"/>
        </w:rPr>
        <w:t>Climate Action</w:t>
      </w:r>
      <w:r w:rsidRPr="002926D7">
        <w:rPr>
          <w:rFonts w:eastAsia="Calibri" w:cs="Calibri"/>
          <w:szCs w:val="20"/>
        </w:rPr>
        <w:t xml:space="preserve">: </w:t>
      </w:r>
      <w:r w:rsidR="00AA2363" w:rsidRPr="002926D7">
        <w:rPr>
          <w:rFonts w:eastAsia="Calibri" w:cs="Calibri"/>
        </w:rPr>
        <w:t>Digital technologies can help us take collective action to address climate change. Social media, carbon emission calculator Apps, online petitions, and other digital platforms can help us raise awareness and advocate for policy change and behaviour change</w:t>
      </w:r>
      <w:r w:rsidRPr="002926D7">
        <w:rPr>
          <w:rFonts w:eastAsia="Calibri" w:cs="Calibri"/>
          <w:szCs w:val="20"/>
        </w:rPr>
        <w:t>.</w:t>
      </w:r>
    </w:p>
    <w:p w14:paraId="1754B4EC" w14:textId="77777777" w:rsidR="00F92B69" w:rsidRPr="002926D7" w:rsidRDefault="00F92B69" w:rsidP="002926D7">
      <w:pPr>
        <w:pStyle w:val="ListParagraph"/>
        <w:rPr>
          <w:rFonts w:eastAsia="Calibri" w:cs="Calibri"/>
          <w:b/>
          <w:bCs/>
          <w:szCs w:val="20"/>
        </w:rPr>
      </w:pPr>
    </w:p>
    <w:p w14:paraId="450AB89C" w14:textId="4987884A" w:rsidR="00F92B69" w:rsidRPr="002926D7" w:rsidRDefault="00F92B69" w:rsidP="002926D7">
      <w:pPr>
        <w:numPr>
          <w:ilvl w:val="0"/>
          <w:numId w:val="8"/>
        </w:numPr>
        <w:ind w:left="0" w:firstLine="0"/>
        <w:rPr>
          <w:szCs w:val="20"/>
        </w:rPr>
      </w:pPr>
      <w:r w:rsidRPr="002926D7">
        <w:rPr>
          <w:rFonts w:eastAsia="Calibri" w:cs="Calibri"/>
          <w:b/>
          <w:bCs/>
          <w:szCs w:val="20"/>
        </w:rPr>
        <w:t>Project remote monitoring and project outreaching</w:t>
      </w:r>
      <w:r w:rsidRPr="002926D7">
        <w:rPr>
          <w:rFonts w:eastAsia="Calibri" w:cs="Calibri"/>
          <w:szCs w:val="20"/>
        </w:rPr>
        <w:t xml:space="preserve">: </w:t>
      </w:r>
      <w:r w:rsidR="00AA2363" w:rsidRPr="002926D7">
        <w:rPr>
          <w:rFonts w:eastAsia="Calibri" w:cs="Calibri"/>
        </w:rPr>
        <w:t>During the COVID19, SGP grantees partnered with livestream platform to use on-site camera to livestream the project activities such as mangrove reforestation and share the livestream link with donor and public. This practice can also be used in remote project sites where monitoring travel is difficult</w:t>
      </w:r>
      <w:r w:rsidRPr="002926D7">
        <w:rPr>
          <w:rFonts w:eastAsia="Calibri" w:cs="Calibri"/>
          <w:szCs w:val="20"/>
        </w:rPr>
        <w:t>.</w:t>
      </w:r>
    </w:p>
    <w:p w14:paraId="722CF14C" w14:textId="0C8BDD5D" w:rsidR="00032588" w:rsidRPr="002926D7" w:rsidRDefault="00032588" w:rsidP="002926D7"/>
    <w:bookmarkEnd w:id="122"/>
    <w:bookmarkEnd w:id="123"/>
    <w:p w14:paraId="54F108DB" w14:textId="77777777" w:rsidR="00754928" w:rsidRPr="002926D7" w:rsidRDefault="00754928" w:rsidP="002926D7">
      <w:pPr>
        <w:rPr>
          <w:sz w:val="18"/>
          <w:szCs w:val="22"/>
        </w:rPr>
      </w:pPr>
    </w:p>
    <w:p w14:paraId="78E07724" w14:textId="5647A24D" w:rsidR="00032588" w:rsidRPr="002926D7" w:rsidRDefault="00032588" w:rsidP="002926D7">
      <w:pPr>
        <w:jc w:val="left"/>
        <w:rPr>
          <w:sz w:val="18"/>
          <w:szCs w:val="22"/>
        </w:rPr>
      </w:pPr>
      <w:r w:rsidRPr="002926D7">
        <w:rPr>
          <w:sz w:val="18"/>
          <w:szCs w:val="22"/>
        </w:rPr>
        <w:br w:type="page"/>
      </w:r>
    </w:p>
    <w:p w14:paraId="1517488C" w14:textId="52B7C02E" w:rsidR="00032588" w:rsidRPr="002926D7" w:rsidRDefault="008842AC" w:rsidP="002926D7">
      <w:pPr>
        <w:pStyle w:val="Heading1"/>
        <w:spacing w:before="0" w:after="0"/>
        <w:rPr>
          <w:rFonts w:ascii="Calibri" w:hAnsi="Calibri"/>
          <w:szCs w:val="28"/>
        </w:rPr>
      </w:pPr>
      <w:bookmarkStart w:id="127" w:name="_Toc151386980"/>
      <w:r w:rsidRPr="002926D7">
        <w:rPr>
          <w:rFonts w:ascii="Calibri" w:hAnsi="Calibri"/>
          <w:szCs w:val="28"/>
        </w:rPr>
        <w:lastRenderedPageBreak/>
        <w:t xml:space="preserve">Programme </w:t>
      </w:r>
      <w:r w:rsidR="00032588" w:rsidRPr="002926D7">
        <w:rPr>
          <w:rFonts w:ascii="Calibri" w:hAnsi="Calibri"/>
          <w:szCs w:val="28"/>
        </w:rPr>
        <w:t>Management</w:t>
      </w:r>
      <w:bookmarkEnd w:id="127"/>
    </w:p>
    <w:p w14:paraId="0F57AFCC" w14:textId="77777777" w:rsidR="00032588" w:rsidRPr="002926D7" w:rsidRDefault="00032588" w:rsidP="002926D7">
      <w:pPr>
        <w:rPr>
          <w:b/>
          <w:i/>
          <w:szCs w:val="20"/>
        </w:rPr>
      </w:pPr>
    </w:p>
    <w:p w14:paraId="2145A961" w14:textId="749A4EAD" w:rsidR="00032588" w:rsidRPr="002926D7" w:rsidRDefault="00D05054" w:rsidP="002926D7">
      <w:pPr>
        <w:rPr>
          <w:bCs/>
          <w:iCs/>
        </w:rPr>
      </w:pPr>
      <w:r w:rsidRPr="002926D7">
        <w:rPr>
          <w:b/>
          <w:i/>
        </w:rPr>
        <w:t>Cost Efficiency and Effectiveness</w:t>
      </w:r>
    </w:p>
    <w:p w14:paraId="461EE2AB" w14:textId="77777777" w:rsidR="00D05054" w:rsidRPr="002926D7" w:rsidRDefault="00D05054" w:rsidP="002926D7"/>
    <w:p w14:paraId="087FA89C" w14:textId="5B79BAF3" w:rsidR="00032588" w:rsidRPr="002926D7" w:rsidRDefault="00E1470E" w:rsidP="002926D7">
      <w:pPr>
        <w:numPr>
          <w:ilvl w:val="0"/>
          <w:numId w:val="8"/>
        </w:numPr>
        <w:ind w:left="0" w:firstLine="0"/>
        <w:rPr>
          <w:sz w:val="18"/>
          <w:szCs w:val="22"/>
        </w:rPr>
      </w:pPr>
      <w:r w:rsidRPr="002926D7">
        <w:rPr>
          <w:szCs w:val="20"/>
        </w:rPr>
        <w:t xml:space="preserve">Community-based approaches are inherently more cost-effective in their utilization of existing resources and hitherto untapped resources thereby providing a good model for larger projects concerned with efficiency and sustainability. The highly consultative and participatory processes, including the direct access to funds, practiced in SGP projects, can provide valuable lessons for larger government and donor programs. Notable too is the global reach of SGP – </w:t>
      </w:r>
      <w:r w:rsidR="00F92B69" w:rsidRPr="002926D7">
        <w:rPr>
          <w:szCs w:val="20"/>
        </w:rPr>
        <w:t>99</w:t>
      </w:r>
      <w:r w:rsidRPr="002926D7">
        <w:rPr>
          <w:szCs w:val="20"/>
        </w:rPr>
        <w:t xml:space="preserve"> participating countries</w:t>
      </w:r>
      <w:r w:rsidR="00F92B69" w:rsidRPr="002926D7">
        <w:rPr>
          <w:szCs w:val="20"/>
        </w:rPr>
        <w:t xml:space="preserve"> in OP8</w:t>
      </w:r>
      <w:r w:rsidR="008842AC" w:rsidRPr="002926D7">
        <w:rPr>
          <w:szCs w:val="20"/>
        </w:rPr>
        <w:t xml:space="preserve">-Part 1, </w:t>
      </w:r>
      <w:r w:rsidRPr="002926D7">
        <w:rPr>
          <w:szCs w:val="20"/>
        </w:rPr>
        <w:t>which combined with good sharing systems, can scale up, mainstream, and replicate successful community projects. Moreover, as pointed out by the GEF IEO study,</w:t>
      </w:r>
      <w:r w:rsidR="00AA2363" w:rsidRPr="002926D7">
        <w:rPr>
          <w:szCs w:val="20"/>
        </w:rPr>
        <w:t xml:space="preserve"> the</w:t>
      </w:r>
      <w:r w:rsidRPr="002926D7">
        <w:rPr>
          <w:szCs w:val="20"/>
        </w:rPr>
        <w:t xml:space="preserve"> UNDP-SGP “structure is particularly conducive for interactions” [frequent interactions to exchange knowledge and information] due to its unique structure, at the country level, SGP’s long term and local presence, commitment to building multi-stakeholder networks, are crucial factors for scaling up success</w:t>
      </w:r>
      <w:r w:rsidR="00D05054" w:rsidRPr="002926D7">
        <w:rPr>
          <w:szCs w:val="20"/>
        </w:rPr>
        <w:t>.</w:t>
      </w:r>
    </w:p>
    <w:p w14:paraId="1B69CBD3" w14:textId="77777777" w:rsidR="00D05054" w:rsidRPr="002926D7" w:rsidRDefault="00D05054" w:rsidP="002926D7">
      <w:pPr>
        <w:rPr>
          <w:sz w:val="18"/>
          <w:szCs w:val="22"/>
        </w:rPr>
      </w:pPr>
    </w:p>
    <w:p w14:paraId="5202665D" w14:textId="0CF599E0" w:rsidR="00D05054" w:rsidRPr="002926D7" w:rsidRDefault="00D05054" w:rsidP="002926D7">
      <w:pPr>
        <w:numPr>
          <w:ilvl w:val="0"/>
          <w:numId w:val="8"/>
        </w:numPr>
        <w:ind w:left="0" w:firstLine="0"/>
        <w:rPr>
          <w:sz w:val="18"/>
          <w:szCs w:val="22"/>
        </w:rPr>
      </w:pPr>
      <w:r w:rsidRPr="002926D7">
        <w:rPr>
          <w:rFonts w:cs="Arial"/>
          <w:szCs w:val="20"/>
        </w:rPr>
        <w:t>Activities outlined in the M&amp;E plan will be undertaken as necessary and appropriate to ensure cost-effectiveness at each level.</w:t>
      </w:r>
    </w:p>
    <w:p w14:paraId="01FA8E0C" w14:textId="0E1CAE45" w:rsidR="00D05054" w:rsidRPr="002926D7" w:rsidRDefault="00D05054" w:rsidP="002926D7">
      <w:pPr>
        <w:rPr>
          <w:sz w:val="18"/>
          <w:szCs w:val="22"/>
        </w:rPr>
      </w:pPr>
    </w:p>
    <w:p w14:paraId="6058FB0E" w14:textId="0164959C" w:rsidR="00D05054" w:rsidRPr="002926D7" w:rsidRDefault="008842AC" w:rsidP="002926D7">
      <w:pPr>
        <w:spacing w:after="60" w:line="276" w:lineRule="auto"/>
        <w:contextualSpacing/>
        <w:rPr>
          <w:b/>
          <w:i/>
        </w:rPr>
      </w:pPr>
      <w:r w:rsidRPr="002926D7">
        <w:rPr>
          <w:b/>
          <w:i/>
        </w:rPr>
        <w:t xml:space="preserve">Programme </w:t>
      </w:r>
      <w:r w:rsidR="00D05054" w:rsidRPr="002926D7">
        <w:rPr>
          <w:b/>
          <w:i/>
        </w:rPr>
        <w:t>Management</w:t>
      </w:r>
    </w:p>
    <w:p w14:paraId="73584AC0" w14:textId="77777777" w:rsidR="00D05054" w:rsidRPr="002926D7" w:rsidRDefault="00D05054" w:rsidP="002926D7">
      <w:pPr>
        <w:rPr>
          <w:sz w:val="18"/>
          <w:szCs w:val="22"/>
        </w:rPr>
      </w:pPr>
    </w:p>
    <w:p w14:paraId="2C40FCF8" w14:textId="612BACCB" w:rsidR="00D05054" w:rsidRPr="002926D7" w:rsidRDefault="00D05054" w:rsidP="002926D7">
      <w:pPr>
        <w:numPr>
          <w:ilvl w:val="0"/>
          <w:numId w:val="8"/>
        </w:numPr>
        <w:ind w:left="0" w:firstLine="0"/>
        <w:rPr>
          <w:rFonts w:cs="Arial"/>
          <w:szCs w:val="20"/>
        </w:rPr>
      </w:pPr>
      <w:r w:rsidRPr="002926D7">
        <w:rPr>
          <w:rFonts w:cs="Calibri"/>
          <w:bCs/>
          <w:szCs w:val="20"/>
        </w:rPr>
        <w:t>The SGP Central Programme Management Team (CPMT) at UNDP</w:t>
      </w:r>
      <w:r w:rsidRPr="002926D7">
        <w:rPr>
          <w:rFonts w:cs="Calibri"/>
          <w:szCs w:val="20"/>
        </w:rPr>
        <w:t xml:space="preserve"> manages the SGP Global Programme and has overall responsibility for supervising the SGP Country Programme and for the technical and substantive quality of SGP country portfolios. CPMT develops global strategy, guidelines and standards in the development of SGP projects with the objective of ensuring quality, while also facilitating the design of proposals. CPMT supervises SGP National Coordinators and facilitates the start-up of new Country Programmes</w:t>
      </w:r>
      <w:r w:rsidRPr="002926D7">
        <w:rPr>
          <w:rFonts w:cs="Arial"/>
          <w:szCs w:val="20"/>
        </w:rPr>
        <w:t>.</w:t>
      </w:r>
    </w:p>
    <w:p w14:paraId="24742F42" w14:textId="77777777" w:rsidR="00032588" w:rsidRPr="002926D7" w:rsidRDefault="00032588" w:rsidP="002926D7">
      <w:pPr>
        <w:rPr>
          <w:sz w:val="16"/>
          <w:szCs w:val="20"/>
        </w:rPr>
      </w:pPr>
    </w:p>
    <w:p w14:paraId="11612F71" w14:textId="77777777" w:rsidR="00032588" w:rsidRPr="002926D7" w:rsidRDefault="00032588" w:rsidP="002926D7">
      <w:pPr>
        <w:rPr>
          <w:sz w:val="18"/>
          <w:szCs w:val="22"/>
        </w:rPr>
      </w:pPr>
    </w:p>
    <w:p w14:paraId="466283CB" w14:textId="0D13431C" w:rsidR="00754928" w:rsidRPr="002926D7" w:rsidRDefault="00754928" w:rsidP="002926D7">
      <w:pPr>
        <w:sectPr w:rsidR="00754928" w:rsidRPr="002926D7" w:rsidSect="00294901">
          <w:footerReference w:type="default" r:id="rId21"/>
          <w:pgSz w:w="12240" w:h="15840" w:code="1"/>
          <w:pgMar w:top="1440" w:right="1440" w:bottom="1440" w:left="1440" w:header="720" w:footer="432" w:gutter="0"/>
          <w:cols w:space="708"/>
          <w:docGrid w:linePitch="360"/>
        </w:sectPr>
      </w:pPr>
    </w:p>
    <w:p w14:paraId="4C66E161" w14:textId="2DDD8407" w:rsidR="0053408E" w:rsidRPr="002926D7" w:rsidRDefault="00C2779C" w:rsidP="002926D7">
      <w:pPr>
        <w:pStyle w:val="Heading1"/>
        <w:spacing w:before="0" w:after="60"/>
        <w:rPr>
          <w:rFonts w:ascii="Calibri" w:hAnsi="Calibri"/>
          <w:szCs w:val="28"/>
        </w:rPr>
      </w:pPr>
      <w:bookmarkStart w:id="129" w:name="_Toc151386981"/>
      <w:bookmarkStart w:id="130" w:name="_Hlk86745014"/>
      <w:bookmarkEnd w:id="124"/>
      <w:r w:rsidRPr="002926D7">
        <w:rPr>
          <w:rFonts w:ascii="Calibri" w:hAnsi="Calibri"/>
          <w:szCs w:val="28"/>
        </w:rPr>
        <w:lastRenderedPageBreak/>
        <w:t xml:space="preserve">Programme </w:t>
      </w:r>
      <w:r w:rsidR="0053408E" w:rsidRPr="002926D7">
        <w:rPr>
          <w:rFonts w:ascii="Calibri" w:hAnsi="Calibri"/>
          <w:szCs w:val="28"/>
        </w:rPr>
        <w:t>Results Framework</w:t>
      </w:r>
      <w:bookmarkEnd w:id="129"/>
    </w:p>
    <w:tbl>
      <w:tblPr>
        <w:tblW w:w="14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5"/>
        <w:gridCol w:w="2668"/>
        <w:gridCol w:w="1292"/>
        <w:gridCol w:w="1707"/>
        <w:gridCol w:w="1799"/>
        <w:gridCol w:w="1718"/>
        <w:gridCol w:w="1531"/>
        <w:gridCol w:w="2155"/>
      </w:tblGrid>
      <w:tr w:rsidR="008E6B98" w:rsidRPr="002926D7" w14:paraId="6DB54C0C" w14:textId="77777777" w:rsidTr="00EB5854">
        <w:trPr>
          <w:trHeight w:val="305"/>
        </w:trPr>
        <w:tc>
          <w:tcPr>
            <w:tcW w:w="14395" w:type="dxa"/>
            <w:gridSpan w:val="8"/>
          </w:tcPr>
          <w:p w14:paraId="4D0FAEE4" w14:textId="2003652E" w:rsidR="008E6B98" w:rsidRPr="002926D7" w:rsidDel="009F142B" w:rsidRDefault="008E6B98" w:rsidP="002926D7">
            <w:pPr>
              <w:spacing w:after="60"/>
              <w:jc w:val="left"/>
              <w:rPr>
                <w:rFonts w:asciiTheme="minorHAnsi" w:hAnsiTheme="minorHAnsi" w:cstheme="minorHAnsi"/>
                <w:b/>
                <w:sz w:val="18"/>
                <w:szCs w:val="18"/>
              </w:rPr>
            </w:pPr>
            <w:bookmarkStart w:id="131" w:name="_Hlk153958208"/>
            <w:r w:rsidRPr="002926D7">
              <w:rPr>
                <w:rFonts w:asciiTheme="minorHAnsi" w:hAnsiTheme="minorHAnsi" w:cstheme="minorHAnsi"/>
                <w:b/>
                <w:sz w:val="18"/>
                <w:szCs w:val="18"/>
              </w:rPr>
              <w:t xml:space="preserve">Contribution to the Sustainable Development Goal (s): </w:t>
            </w:r>
            <w:r w:rsidR="00DF5178" w:rsidRPr="002926D7">
              <w:rPr>
                <w:rFonts w:asciiTheme="minorHAnsi" w:hAnsiTheme="minorHAnsi" w:cstheme="minorHAnsi"/>
                <w:bCs/>
                <w:sz w:val="18"/>
                <w:szCs w:val="18"/>
              </w:rPr>
              <w:t xml:space="preserve">SDG 1, SDG 5, SDG 12, SDG 13, </w:t>
            </w:r>
            <w:r w:rsidR="00DF5178" w:rsidRPr="002926D7">
              <w:rPr>
                <w:rFonts w:cs="Calibri"/>
                <w:bCs/>
                <w:sz w:val="18"/>
                <w:szCs w:val="18"/>
              </w:rPr>
              <w:t>SDG 14, SDG 15,</w:t>
            </w:r>
            <w:r w:rsidR="00AA2363" w:rsidRPr="002926D7">
              <w:rPr>
                <w:rFonts w:cs="Calibri"/>
                <w:bCs/>
                <w:sz w:val="18"/>
                <w:szCs w:val="18"/>
              </w:rPr>
              <w:t xml:space="preserve"> SDG 16</w:t>
            </w:r>
            <w:r w:rsidR="00DF5178" w:rsidRPr="002926D7">
              <w:rPr>
                <w:rFonts w:cs="Calibri"/>
                <w:bCs/>
                <w:sz w:val="18"/>
                <w:szCs w:val="18"/>
              </w:rPr>
              <w:t xml:space="preserve"> and SDG 17</w:t>
            </w:r>
          </w:p>
        </w:tc>
      </w:tr>
      <w:tr w:rsidR="008E6B98" w:rsidRPr="002926D7" w14:paraId="51D4D2EB" w14:textId="77777777" w:rsidTr="00EB5854">
        <w:trPr>
          <w:trHeight w:val="287"/>
        </w:trPr>
        <w:tc>
          <w:tcPr>
            <w:tcW w:w="14395" w:type="dxa"/>
            <w:gridSpan w:val="8"/>
          </w:tcPr>
          <w:p w14:paraId="5F3365CA" w14:textId="58AD700D" w:rsidR="008E6B98" w:rsidRPr="002926D7" w:rsidDel="009F142B" w:rsidRDefault="008E6B98" w:rsidP="002926D7">
            <w:pPr>
              <w:spacing w:after="60"/>
              <w:jc w:val="left"/>
              <w:rPr>
                <w:rFonts w:asciiTheme="minorHAnsi" w:hAnsiTheme="minorHAnsi" w:cstheme="minorHAnsi"/>
                <w:b/>
                <w:bCs/>
                <w:sz w:val="18"/>
                <w:szCs w:val="18"/>
              </w:rPr>
            </w:pPr>
            <w:r w:rsidRPr="002926D7">
              <w:rPr>
                <w:rFonts w:asciiTheme="minorHAnsi" w:hAnsiTheme="minorHAnsi" w:cstheme="minorHAnsi"/>
                <w:b/>
                <w:bCs/>
                <w:sz w:val="18"/>
                <w:szCs w:val="18"/>
              </w:rPr>
              <w:t xml:space="preserve">Intended Outcome as stated in the UNSDCF/Country [or Regional] Programme Results and Resource Framework: </w:t>
            </w:r>
            <w:r w:rsidR="00C2779C" w:rsidRPr="002926D7">
              <w:rPr>
                <w:rFonts w:asciiTheme="minorHAnsi" w:hAnsiTheme="minorHAnsi" w:cstheme="minorHAnsi"/>
                <w:bCs/>
                <w:i/>
                <w:sz w:val="18"/>
                <w:szCs w:val="18"/>
              </w:rPr>
              <w:t>multiple</w:t>
            </w:r>
          </w:p>
        </w:tc>
      </w:tr>
      <w:tr w:rsidR="008E6B98" w:rsidRPr="002926D7" w14:paraId="2D1402B1" w14:textId="77777777" w:rsidTr="00EB5854">
        <w:trPr>
          <w:trHeight w:val="287"/>
        </w:trPr>
        <w:tc>
          <w:tcPr>
            <w:tcW w:w="14395" w:type="dxa"/>
            <w:gridSpan w:val="8"/>
          </w:tcPr>
          <w:p w14:paraId="6CAC67B9" w14:textId="6B86EAB9" w:rsidR="008E6B98" w:rsidRPr="002926D7" w:rsidRDefault="008E6B98" w:rsidP="002926D7">
            <w:pPr>
              <w:spacing w:after="60"/>
              <w:jc w:val="left"/>
              <w:rPr>
                <w:rFonts w:asciiTheme="minorHAnsi" w:hAnsiTheme="minorHAnsi" w:cstheme="minorHAnsi"/>
                <w:b/>
                <w:bCs/>
                <w:sz w:val="18"/>
                <w:szCs w:val="18"/>
              </w:rPr>
            </w:pPr>
            <w:r w:rsidRPr="002926D7">
              <w:rPr>
                <w:rFonts w:asciiTheme="minorHAnsi" w:hAnsiTheme="minorHAnsi" w:cstheme="minorHAnsi"/>
                <w:b/>
                <w:bCs/>
                <w:sz w:val="18"/>
                <w:szCs w:val="18"/>
              </w:rPr>
              <w:t>Applicable Output(s) from the UNDP Strategic Plan:</w:t>
            </w:r>
            <w:r w:rsidRPr="002926D7">
              <w:rPr>
                <w:rFonts w:asciiTheme="minorHAnsi" w:hAnsiTheme="minorHAnsi" w:cstheme="minorHAnsi"/>
                <w:bCs/>
                <w:i/>
                <w:sz w:val="18"/>
                <w:szCs w:val="18"/>
              </w:rPr>
              <w:t xml:space="preserve"> </w:t>
            </w:r>
            <w:r w:rsidRPr="002926D7">
              <w:rPr>
                <w:rFonts w:asciiTheme="minorHAnsi" w:hAnsiTheme="minorHAnsi" w:cstheme="minorHAnsi"/>
                <w:bCs/>
                <w:iCs/>
                <w:sz w:val="18"/>
                <w:szCs w:val="18"/>
              </w:rPr>
              <w:t>4.1, 4.2</w:t>
            </w:r>
            <w:r w:rsidR="00E611FE" w:rsidRPr="002926D7">
              <w:rPr>
                <w:rFonts w:asciiTheme="minorHAnsi" w:hAnsiTheme="minorHAnsi" w:cstheme="minorHAnsi"/>
                <w:bCs/>
                <w:i/>
                <w:sz w:val="18"/>
                <w:szCs w:val="18"/>
              </w:rPr>
              <w:t xml:space="preserve"> </w:t>
            </w:r>
          </w:p>
        </w:tc>
      </w:tr>
      <w:tr w:rsidR="008E6B98" w:rsidRPr="002926D7" w14:paraId="791A6562" w14:textId="77777777" w:rsidTr="00EB5854">
        <w:trPr>
          <w:trHeight w:val="359"/>
        </w:trPr>
        <w:tc>
          <w:tcPr>
            <w:tcW w:w="14395" w:type="dxa"/>
            <w:gridSpan w:val="8"/>
          </w:tcPr>
          <w:p w14:paraId="73B81C16" w14:textId="2375CC9A" w:rsidR="008E6B98" w:rsidRPr="002926D7" w:rsidRDefault="008E6B98" w:rsidP="002926D7">
            <w:pPr>
              <w:spacing w:after="60"/>
              <w:jc w:val="left"/>
              <w:rPr>
                <w:rFonts w:asciiTheme="minorHAnsi" w:hAnsiTheme="minorHAnsi" w:cstheme="minorHAnsi"/>
                <w:b/>
                <w:bCs/>
                <w:sz w:val="18"/>
                <w:szCs w:val="18"/>
              </w:rPr>
            </w:pPr>
            <w:r w:rsidRPr="002926D7">
              <w:rPr>
                <w:rFonts w:asciiTheme="minorHAnsi" w:hAnsiTheme="minorHAnsi" w:cstheme="minorHAnsi"/>
                <w:b/>
                <w:bCs/>
                <w:sz w:val="18"/>
                <w:szCs w:val="18"/>
              </w:rPr>
              <w:t>Project title and Quantum Project Number:</w:t>
            </w:r>
            <w:r w:rsidR="00A60007" w:rsidRPr="002926D7">
              <w:rPr>
                <w:rFonts w:asciiTheme="minorHAnsi" w:hAnsiTheme="minorHAnsi" w:cstheme="minorHAnsi"/>
                <w:b/>
                <w:bCs/>
                <w:sz w:val="18"/>
                <w:szCs w:val="18"/>
              </w:rPr>
              <w:t xml:space="preserve"> </w:t>
            </w:r>
            <w:r w:rsidR="00E611FE" w:rsidRPr="002926D7">
              <w:rPr>
                <w:rFonts w:asciiTheme="minorHAnsi" w:hAnsiTheme="minorHAnsi" w:cstheme="minorHAnsi"/>
                <w:bCs/>
                <w:sz w:val="18"/>
                <w:szCs w:val="18"/>
              </w:rPr>
              <w:t>Eighth Operational Phase of the GEF Small Grants Programme (Part 1) – SGP OP8 (Quantum Project Number 9520)</w:t>
            </w:r>
          </w:p>
        </w:tc>
      </w:tr>
      <w:tr w:rsidR="00083534" w:rsidRPr="002926D7" w14:paraId="6A7242F7" w14:textId="77777777" w:rsidTr="00025B2D">
        <w:trPr>
          <w:trHeight w:val="544"/>
          <w:tblHeader/>
        </w:trPr>
        <w:tc>
          <w:tcPr>
            <w:tcW w:w="4193" w:type="dxa"/>
            <w:gridSpan w:val="2"/>
            <w:tcBorders>
              <w:top w:val="single" w:sz="4" w:space="0" w:color="auto"/>
              <w:left w:val="single" w:sz="4" w:space="0" w:color="auto"/>
              <w:bottom w:val="single" w:sz="4" w:space="0" w:color="auto"/>
              <w:right w:val="single" w:sz="4" w:space="0" w:color="auto"/>
            </w:tcBorders>
            <w:hideMark/>
          </w:tcPr>
          <w:p w14:paraId="7D42F020" w14:textId="77777777" w:rsidR="00AA2363" w:rsidRPr="002926D7" w:rsidRDefault="00AA2363" w:rsidP="002926D7">
            <w:pPr>
              <w:jc w:val="left"/>
              <w:rPr>
                <w:rFonts w:cstheme="minorHAnsi"/>
                <w:b/>
                <w:bCs/>
                <w:sz w:val="18"/>
                <w:szCs w:val="18"/>
              </w:rPr>
            </w:pPr>
            <w:r w:rsidRPr="002926D7">
              <w:rPr>
                <w:rFonts w:cstheme="minorHAnsi"/>
                <w:b/>
                <w:bCs/>
                <w:sz w:val="18"/>
                <w:szCs w:val="18"/>
              </w:rPr>
              <w:t>Objective and Outcome Indicators</w:t>
            </w:r>
            <w:r w:rsidRPr="002926D7">
              <w:rPr>
                <w:rFonts w:cstheme="minorHAnsi"/>
                <w:b/>
                <w:bCs/>
                <w:sz w:val="18"/>
                <w:szCs w:val="18"/>
                <w:vertAlign w:val="superscript"/>
              </w:rPr>
              <w:footnoteReference w:id="6"/>
            </w:r>
          </w:p>
        </w:tc>
        <w:tc>
          <w:tcPr>
            <w:tcW w:w="1292" w:type="dxa"/>
            <w:tcBorders>
              <w:top w:val="single" w:sz="4" w:space="0" w:color="auto"/>
              <w:left w:val="single" w:sz="4" w:space="0" w:color="auto"/>
              <w:bottom w:val="single" w:sz="4" w:space="0" w:color="auto"/>
              <w:right w:val="single" w:sz="4" w:space="0" w:color="auto"/>
            </w:tcBorders>
          </w:tcPr>
          <w:p w14:paraId="0C02F443" w14:textId="77777777" w:rsidR="00AA2363" w:rsidRPr="002926D7" w:rsidRDefault="00AA2363" w:rsidP="002926D7">
            <w:pPr>
              <w:jc w:val="left"/>
              <w:rPr>
                <w:rFonts w:cstheme="minorHAnsi"/>
                <w:b/>
                <w:bCs/>
                <w:sz w:val="18"/>
                <w:szCs w:val="18"/>
              </w:rPr>
            </w:pPr>
            <w:r w:rsidRPr="002926D7">
              <w:rPr>
                <w:rFonts w:cstheme="minorHAnsi"/>
                <w:b/>
                <w:bCs/>
                <w:sz w:val="18"/>
                <w:szCs w:val="18"/>
              </w:rPr>
              <w:t>Data Source</w:t>
            </w:r>
          </w:p>
          <w:p w14:paraId="686172E6" w14:textId="77777777" w:rsidR="00AA2363" w:rsidRPr="002926D7" w:rsidRDefault="00AA2363" w:rsidP="002926D7">
            <w:pPr>
              <w:jc w:val="left"/>
              <w:rPr>
                <w:rFonts w:cstheme="minorHAnsi"/>
                <w:b/>
                <w:bCs/>
                <w:sz w:val="18"/>
                <w:szCs w:val="18"/>
              </w:rPr>
            </w:pPr>
          </w:p>
        </w:tc>
        <w:tc>
          <w:tcPr>
            <w:tcW w:w="1707" w:type="dxa"/>
            <w:tcBorders>
              <w:top w:val="single" w:sz="4" w:space="0" w:color="auto"/>
              <w:left w:val="single" w:sz="4" w:space="0" w:color="auto"/>
              <w:bottom w:val="single" w:sz="4" w:space="0" w:color="auto"/>
              <w:right w:val="single" w:sz="4" w:space="0" w:color="auto"/>
            </w:tcBorders>
            <w:hideMark/>
          </w:tcPr>
          <w:p w14:paraId="7D81C31C" w14:textId="77777777" w:rsidR="00AA2363" w:rsidRPr="002926D7" w:rsidRDefault="00AA2363" w:rsidP="002926D7">
            <w:pPr>
              <w:jc w:val="left"/>
              <w:rPr>
                <w:rFonts w:cstheme="minorHAnsi"/>
                <w:b/>
                <w:bCs/>
                <w:sz w:val="18"/>
                <w:szCs w:val="18"/>
              </w:rPr>
            </w:pPr>
            <w:r w:rsidRPr="002926D7">
              <w:rPr>
                <w:rFonts w:cstheme="minorHAnsi"/>
                <w:b/>
                <w:bCs/>
                <w:sz w:val="18"/>
                <w:szCs w:val="18"/>
              </w:rPr>
              <w:t>Baseline</w:t>
            </w:r>
            <w:r w:rsidRPr="002926D7">
              <w:rPr>
                <w:rFonts w:cstheme="minorHAnsi"/>
                <w:b/>
                <w:bCs/>
                <w:sz w:val="18"/>
                <w:szCs w:val="18"/>
                <w:vertAlign w:val="superscript"/>
              </w:rPr>
              <w:footnoteReference w:id="7"/>
            </w:r>
            <w:r w:rsidRPr="002926D7">
              <w:rPr>
                <w:rFonts w:cstheme="minorHAnsi"/>
                <w:b/>
                <w:bCs/>
                <w:sz w:val="18"/>
                <w:szCs w:val="18"/>
              </w:rPr>
              <w:t xml:space="preserve"> </w:t>
            </w:r>
          </w:p>
        </w:tc>
        <w:tc>
          <w:tcPr>
            <w:tcW w:w="1799" w:type="dxa"/>
            <w:tcBorders>
              <w:top w:val="single" w:sz="4" w:space="0" w:color="auto"/>
              <w:left w:val="single" w:sz="4" w:space="0" w:color="auto"/>
              <w:bottom w:val="single" w:sz="4" w:space="0" w:color="auto"/>
              <w:right w:val="single" w:sz="4" w:space="0" w:color="auto"/>
            </w:tcBorders>
            <w:hideMark/>
          </w:tcPr>
          <w:p w14:paraId="7626F60A" w14:textId="77777777" w:rsidR="00AA2363" w:rsidRPr="002926D7" w:rsidRDefault="00AA2363" w:rsidP="002926D7">
            <w:pPr>
              <w:jc w:val="left"/>
              <w:rPr>
                <w:b/>
                <w:bCs/>
                <w:sz w:val="18"/>
                <w:szCs w:val="18"/>
              </w:rPr>
            </w:pPr>
            <w:r w:rsidRPr="002926D7">
              <w:rPr>
                <w:b/>
                <w:bCs/>
                <w:sz w:val="18"/>
                <w:szCs w:val="18"/>
              </w:rPr>
              <w:t>Mid-term Target</w:t>
            </w:r>
            <w:r w:rsidRPr="002926D7">
              <w:rPr>
                <w:b/>
                <w:bCs/>
                <w:sz w:val="18"/>
                <w:szCs w:val="18"/>
                <w:vertAlign w:val="superscript"/>
              </w:rPr>
              <w:footnoteReference w:id="8"/>
            </w:r>
          </w:p>
        </w:tc>
        <w:tc>
          <w:tcPr>
            <w:tcW w:w="1718" w:type="dxa"/>
            <w:tcBorders>
              <w:top w:val="single" w:sz="4" w:space="0" w:color="auto"/>
              <w:left w:val="single" w:sz="4" w:space="0" w:color="auto"/>
              <w:bottom w:val="single" w:sz="4" w:space="0" w:color="auto"/>
              <w:right w:val="single" w:sz="4" w:space="0" w:color="auto"/>
            </w:tcBorders>
            <w:hideMark/>
          </w:tcPr>
          <w:p w14:paraId="4FB9DAFD" w14:textId="77777777" w:rsidR="00AA2363" w:rsidRPr="002926D7" w:rsidRDefault="00AA2363" w:rsidP="002926D7">
            <w:pPr>
              <w:jc w:val="left"/>
              <w:rPr>
                <w:rFonts w:cstheme="minorHAnsi"/>
                <w:b/>
                <w:bCs/>
                <w:sz w:val="18"/>
                <w:szCs w:val="18"/>
              </w:rPr>
            </w:pPr>
            <w:r w:rsidRPr="002926D7">
              <w:rPr>
                <w:rFonts w:cstheme="minorHAnsi"/>
                <w:b/>
                <w:bCs/>
                <w:sz w:val="18"/>
                <w:szCs w:val="18"/>
              </w:rPr>
              <w:t>End of Project Target</w:t>
            </w:r>
          </w:p>
        </w:tc>
        <w:tc>
          <w:tcPr>
            <w:tcW w:w="1531" w:type="dxa"/>
            <w:tcBorders>
              <w:top w:val="single" w:sz="4" w:space="0" w:color="auto"/>
              <w:left w:val="single" w:sz="4" w:space="0" w:color="auto"/>
              <w:bottom w:val="single" w:sz="4" w:space="0" w:color="auto"/>
              <w:right w:val="single" w:sz="4" w:space="0" w:color="auto"/>
            </w:tcBorders>
            <w:hideMark/>
          </w:tcPr>
          <w:p w14:paraId="2812F168" w14:textId="77777777" w:rsidR="00AA2363" w:rsidRPr="002926D7" w:rsidRDefault="00AA2363" w:rsidP="002926D7">
            <w:pPr>
              <w:jc w:val="left"/>
              <w:rPr>
                <w:rFonts w:cstheme="minorHAnsi"/>
                <w:b/>
                <w:bCs/>
                <w:sz w:val="18"/>
                <w:szCs w:val="18"/>
              </w:rPr>
            </w:pPr>
            <w:r w:rsidRPr="002926D7">
              <w:rPr>
                <w:rFonts w:cstheme="minorHAnsi"/>
                <w:b/>
                <w:bCs/>
                <w:sz w:val="18"/>
                <w:szCs w:val="18"/>
              </w:rPr>
              <w:t>Data Collection Methods</w:t>
            </w:r>
            <w:r w:rsidRPr="002926D7">
              <w:rPr>
                <w:rFonts w:cstheme="minorHAnsi"/>
                <w:b/>
                <w:bCs/>
                <w:sz w:val="18"/>
                <w:szCs w:val="18"/>
                <w:vertAlign w:val="superscript"/>
              </w:rPr>
              <w:footnoteReference w:id="9"/>
            </w:r>
          </w:p>
        </w:tc>
        <w:tc>
          <w:tcPr>
            <w:tcW w:w="2155" w:type="dxa"/>
            <w:tcBorders>
              <w:top w:val="single" w:sz="4" w:space="0" w:color="auto"/>
              <w:left w:val="single" w:sz="4" w:space="0" w:color="auto"/>
              <w:bottom w:val="single" w:sz="4" w:space="0" w:color="auto"/>
              <w:right w:val="single" w:sz="4" w:space="0" w:color="auto"/>
            </w:tcBorders>
            <w:hideMark/>
          </w:tcPr>
          <w:p w14:paraId="79C3DFEB" w14:textId="77777777" w:rsidR="00AA2363" w:rsidRPr="002926D7" w:rsidRDefault="00AA2363" w:rsidP="002926D7">
            <w:pPr>
              <w:jc w:val="left"/>
              <w:rPr>
                <w:rFonts w:cstheme="minorHAnsi"/>
                <w:b/>
                <w:bCs/>
                <w:sz w:val="18"/>
                <w:szCs w:val="18"/>
              </w:rPr>
            </w:pPr>
            <w:r w:rsidRPr="002926D7">
              <w:rPr>
                <w:rFonts w:cstheme="minorHAnsi"/>
                <w:b/>
                <w:bCs/>
                <w:sz w:val="18"/>
                <w:szCs w:val="18"/>
              </w:rPr>
              <w:t>Risks/Assumptions</w:t>
            </w:r>
          </w:p>
        </w:tc>
      </w:tr>
      <w:tr w:rsidR="00025B2D" w:rsidRPr="002926D7" w14:paraId="22683FFD" w14:textId="77777777" w:rsidTr="00025B2D">
        <w:trPr>
          <w:trHeight w:val="665"/>
        </w:trPr>
        <w:tc>
          <w:tcPr>
            <w:tcW w:w="1525" w:type="dxa"/>
            <w:vMerge w:val="restart"/>
            <w:tcBorders>
              <w:top w:val="single" w:sz="4" w:space="0" w:color="auto"/>
              <w:left w:val="single" w:sz="4" w:space="0" w:color="auto"/>
              <w:right w:val="single" w:sz="4" w:space="0" w:color="auto"/>
            </w:tcBorders>
          </w:tcPr>
          <w:p w14:paraId="3C7FDCAA" w14:textId="77777777" w:rsidR="00025B2D" w:rsidRPr="002926D7" w:rsidRDefault="00025B2D" w:rsidP="002926D7">
            <w:pPr>
              <w:jc w:val="left"/>
              <w:rPr>
                <w:rFonts w:cstheme="minorHAnsi"/>
                <w:b/>
                <w:bCs/>
                <w:sz w:val="18"/>
                <w:szCs w:val="18"/>
              </w:rPr>
            </w:pPr>
            <w:r w:rsidRPr="002926D7">
              <w:rPr>
                <w:rFonts w:cstheme="minorHAnsi"/>
                <w:b/>
                <w:bCs/>
                <w:sz w:val="18"/>
                <w:szCs w:val="18"/>
              </w:rPr>
              <w:t xml:space="preserve">Project Objective: </w:t>
            </w:r>
          </w:p>
          <w:p w14:paraId="104144EC" w14:textId="77777777" w:rsidR="00025B2D" w:rsidRPr="002926D7" w:rsidRDefault="00025B2D" w:rsidP="002926D7">
            <w:pPr>
              <w:jc w:val="left"/>
              <w:rPr>
                <w:rFonts w:cstheme="minorHAnsi"/>
                <w:b/>
                <w:bCs/>
                <w:i/>
                <w:sz w:val="18"/>
                <w:szCs w:val="18"/>
              </w:rPr>
            </w:pPr>
          </w:p>
          <w:p w14:paraId="32FDB913" w14:textId="77777777" w:rsidR="00025B2D" w:rsidRPr="002926D7" w:rsidRDefault="00025B2D" w:rsidP="002926D7">
            <w:pPr>
              <w:jc w:val="left"/>
              <w:rPr>
                <w:rFonts w:cstheme="minorHAnsi"/>
                <w:b/>
                <w:bCs/>
                <w:sz w:val="18"/>
                <w:szCs w:val="18"/>
              </w:rPr>
            </w:pPr>
          </w:p>
        </w:tc>
        <w:tc>
          <w:tcPr>
            <w:tcW w:w="12870" w:type="dxa"/>
            <w:gridSpan w:val="7"/>
            <w:tcBorders>
              <w:top w:val="single" w:sz="4" w:space="0" w:color="auto"/>
              <w:left w:val="single" w:sz="4" w:space="0" w:color="auto"/>
              <w:bottom w:val="single" w:sz="4" w:space="0" w:color="auto"/>
              <w:right w:val="single" w:sz="4" w:space="0" w:color="auto"/>
            </w:tcBorders>
            <w:hideMark/>
          </w:tcPr>
          <w:p w14:paraId="4AB1CF3D" w14:textId="77777777" w:rsidR="00025B2D" w:rsidRPr="002926D7" w:rsidRDefault="00025B2D" w:rsidP="002926D7">
            <w:pPr>
              <w:jc w:val="left"/>
              <w:rPr>
                <w:rFonts w:eastAsia="Calibri" w:cstheme="minorHAnsi"/>
                <w:b/>
                <w:bCs/>
                <w:noProof/>
                <w:color w:val="000000" w:themeColor="text1"/>
                <w:sz w:val="18"/>
                <w:szCs w:val="18"/>
              </w:rPr>
            </w:pPr>
            <w:r w:rsidRPr="002926D7">
              <w:rPr>
                <w:rFonts w:eastAsia="Calibri" w:cstheme="minorHAnsi"/>
                <w:b/>
                <w:bCs/>
                <w:noProof/>
                <w:color w:val="000000" w:themeColor="text1"/>
                <w:sz w:val="18"/>
                <w:szCs w:val="18"/>
              </w:rPr>
              <w:t>Local CSOs and CBOs in landscapes-seascapes around the world access grant financing and technical assistance, including capacity development and knowledge sharing to maintain and enhance their socio-ecological resilience, well-being and socio-economic conditions for Global Environmental Benefits.</w:t>
            </w:r>
          </w:p>
        </w:tc>
      </w:tr>
      <w:tr w:rsidR="00025B2D" w:rsidRPr="002926D7" w14:paraId="0F4A746E" w14:textId="77777777" w:rsidTr="00025B2D">
        <w:trPr>
          <w:trHeight w:val="665"/>
        </w:trPr>
        <w:tc>
          <w:tcPr>
            <w:tcW w:w="1525" w:type="dxa"/>
            <w:vMerge/>
            <w:tcBorders>
              <w:left w:val="single" w:sz="4" w:space="0" w:color="auto"/>
              <w:right w:val="single" w:sz="4" w:space="0" w:color="auto"/>
            </w:tcBorders>
            <w:vAlign w:val="center"/>
            <w:hideMark/>
          </w:tcPr>
          <w:p w14:paraId="146B84CF" w14:textId="77777777" w:rsidR="00025B2D" w:rsidRPr="002926D7" w:rsidRDefault="00025B2D" w:rsidP="002926D7">
            <w:pPr>
              <w:jc w:val="left"/>
              <w:rPr>
                <w:rFonts w:cstheme="minorHAnsi"/>
                <w:b/>
                <w:bCs/>
                <w:sz w:val="18"/>
                <w:szCs w:val="18"/>
              </w:rPr>
            </w:pPr>
          </w:p>
        </w:tc>
        <w:tc>
          <w:tcPr>
            <w:tcW w:w="2668" w:type="dxa"/>
            <w:tcBorders>
              <w:top w:val="single" w:sz="4" w:space="0" w:color="auto"/>
              <w:left w:val="single" w:sz="4" w:space="0" w:color="auto"/>
              <w:bottom w:val="single" w:sz="4" w:space="0" w:color="auto"/>
              <w:right w:val="single" w:sz="4" w:space="0" w:color="auto"/>
            </w:tcBorders>
            <w:hideMark/>
          </w:tcPr>
          <w:p w14:paraId="7BD2C001" w14:textId="51EDFF9A" w:rsidR="00025B2D" w:rsidRPr="002926D7" w:rsidRDefault="00025B2D" w:rsidP="002926D7">
            <w:pPr>
              <w:jc w:val="left"/>
              <w:rPr>
                <w:rFonts w:cstheme="minorHAnsi"/>
                <w:bCs/>
                <w:i/>
                <w:sz w:val="18"/>
                <w:szCs w:val="18"/>
              </w:rPr>
            </w:pPr>
            <w:r w:rsidRPr="002926D7">
              <w:rPr>
                <w:rFonts w:cstheme="minorHAnsi"/>
                <w:b/>
                <w:bCs/>
                <w:sz w:val="18"/>
                <w:szCs w:val="18"/>
              </w:rPr>
              <w:t>Mandatory GEF Core Indicator 1: People benefitting from GEF-financed investments disaggregated by sex</w:t>
            </w:r>
            <w:r w:rsidRPr="002926D7">
              <w:rPr>
                <w:rFonts w:cstheme="minorHAnsi"/>
                <w:bCs/>
                <w:sz w:val="18"/>
                <w:szCs w:val="18"/>
              </w:rPr>
              <w:t xml:space="preserve"> (count)</w:t>
            </w:r>
            <w:r w:rsidRPr="002926D7">
              <w:rPr>
                <w:rFonts w:cstheme="minorHAnsi"/>
                <w:sz w:val="18"/>
                <w:szCs w:val="18"/>
                <w:vertAlign w:val="superscript"/>
              </w:rPr>
              <w:footnoteReference w:id="10"/>
            </w:r>
            <w:r w:rsidRPr="002926D7">
              <w:rPr>
                <w:rFonts w:cstheme="minorHAnsi"/>
                <w:bCs/>
                <w:sz w:val="18"/>
                <w:szCs w:val="18"/>
              </w:rPr>
              <w:t xml:space="preserve"> (GEF core indicator 11)</w:t>
            </w:r>
          </w:p>
        </w:tc>
        <w:tc>
          <w:tcPr>
            <w:tcW w:w="1292" w:type="dxa"/>
            <w:tcBorders>
              <w:top w:val="single" w:sz="4" w:space="0" w:color="auto"/>
              <w:left w:val="single" w:sz="4" w:space="0" w:color="auto"/>
              <w:bottom w:val="single" w:sz="4" w:space="0" w:color="auto"/>
              <w:right w:val="single" w:sz="4" w:space="0" w:color="auto"/>
            </w:tcBorders>
            <w:hideMark/>
          </w:tcPr>
          <w:p w14:paraId="5F1CD927" w14:textId="77777777" w:rsidR="00025B2D" w:rsidRPr="002926D7" w:rsidRDefault="00025B2D" w:rsidP="002926D7">
            <w:pPr>
              <w:jc w:val="left"/>
              <w:rPr>
                <w:rFonts w:cstheme="minorHAnsi"/>
                <w:bCs/>
                <w:iCs/>
                <w:sz w:val="18"/>
                <w:szCs w:val="18"/>
              </w:rPr>
            </w:pPr>
            <w:r w:rsidRPr="002926D7">
              <w:rPr>
                <w:rFonts w:cstheme="minorHAnsi"/>
                <w:bCs/>
                <w:iCs/>
                <w:sz w:val="18"/>
                <w:szCs w:val="18"/>
              </w:rPr>
              <w:t>Annual monitoring report (AMR)</w:t>
            </w:r>
          </w:p>
        </w:tc>
        <w:tc>
          <w:tcPr>
            <w:tcW w:w="1707" w:type="dxa"/>
            <w:tcBorders>
              <w:top w:val="single" w:sz="4" w:space="0" w:color="auto"/>
              <w:left w:val="single" w:sz="4" w:space="0" w:color="auto"/>
              <w:bottom w:val="single" w:sz="4" w:space="0" w:color="auto"/>
              <w:right w:val="single" w:sz="4" w:space="0" w:color="auto"/>
            </w:tcBorders>
            <w:hideMark/>
          </w:tcPr>
          <w:p w14:paraId="70C3917F" w14:textId="77777777" w:rsidR="00025B2D" w:rsidRPr="002926D7" w:rsidRDefault="00025B2D" w:rsidP="002926D7">
            <w:pPr>
              <w:jc w:val="left"/>
              <w:rPr>
                <w:rFonts w:cstheme="minorHAnsi"/>
                <w:bCs/>
                <w:iCs/>
                <w:sz w:val="18"/>
                <w:szCs w:val="18"/>
              </w:rPr>
            </w:pPr>
            <w:r w:rsidRPr="002926D7">
              <w:rPr>
                <w:rFonts w:cstheme="minorHAnsi"/>
                <w:bCs/>
                <w:iCs/>
                <w:sz w:val="18"/>
                <w:szCs w:val="18"/>
              </w:rPr>
              <w:t>812,854 (449,588 female; 363,266 male)</w:t>
            </w:r>
          </w:p>
          <w:p w14:paraId="19B1974C" w14:textId="77777777" w:rsidR="00025B2D" w:rsidRPr="002926D7" w:rsidRDefault="00025B2D" w:rsidP="002926D7">
            <w:pPr>
              <w:jc w:val="left"/>
              <w:rPr>
                <w:rFonts w:cstheme="minorHAnsi"/>
                <w:bCs/>
                <w:iCs/>
                <w:sz w:val="18"/>
                <w:szCs w:val="18"/>
              </w:rPr>
            </w:pPr>
            <w:r w:rsidRPr="002926D7">
              <w:rPr>
                <w:rFonts w:cstheme="minorHAnsi"/>
                <w:bCs/>
                <w:iCs/>
                <w:sz w:val="18"/>
                <w:szCs w:val="18"/>
              </w:rPr>
              <w:t>Source: 2023 AMR</w:t>
            </w:r>
          </w:p>
        </w:tc>
        <w:tc>
          <w:tcPr>
            <w:tcW w:w="1799" w:type="dxa"/>
            <w:tcBorders>
              <w:top w:val="single" w:sz="4" w:space="0" w:color="auto"/>
              <w:left w:val="single" w:sz="4" w:space="0" w:color="auto"/>
              <w:bottom w:val="single" w:sz="4" w:space="0" w:color="auto"/>
              <w:right w:val="single" w:sz="4" w:space="0" w:color="auto"/>
            </w:tcBorders>
            <w:hideMark/>
          </w:tcPr>
          <w:p w14:paraId="4D05F049" w14:textId="77777777" w:rsidR="00025B2D" w:rsidRPr="002926D7" w:rsidRDefault="00025B2D" w:rsidP="002926D7">
            <w:pPr>
              <w:jc w:val="left"/>
              <w:rPr>
                <w:rFonts w:cstheme="minorHAnsi"/>
                <w:bCs/>
                <w:iCs/>
                <w:sz w:val="18"/>
                <w:szCs w:val="18"/>
              </w:rPr>
            </w:pPr>
            <w:r w:rsidRPr="002926D7">
              <w:rPr>
                <w:rFonts w:cstheme="minorHAnsi"/>
                <w:bCs/>
                <w:iCs/>
                <w:sz w:val="18"/>
                <w:szCs w:val="18"/>
              </w:rPr>
              <w:t>150,000 (of whom 70,000 are female)</w:t>
            </w:r>
          </w:p>
        </w:tc>
        <w:tc>
          <w:tcPr>
            <w:tcW w:w="1718" w:type="dxa"/>
            <w:tcBorders>
              <w:top w:val="single" w:sz="4" w:space="0" w:color="auto"/>
              <w:left w:val="single" w:sz="4" w:space="0" w:color="auto"/>
              <w:bottom w:val="single" w:sz="4" w:space="0" w:color="auto"/>
              <w:right w:val="single" w:sz="4" w:space="0" w:color="auto"/>
            </w:tcBorders>
            <w:hideMark/>
          </w:tcPr>
          <w:p w14:paraId="77E00AC4" w14:textId="77777777" w:rsidR="00025B2D" w:rsidRPr="002926D7" w:rsidRDefault="00025B2D" w:rsidP="002926D7">
            <w:pPr>
              <w:jc w:val="left"/>
              <w:rPr>
                <w:rFonts w:cstheme="minorHAnsi"/>
                <w:bCs/>
                <w:iCs/>
                <w:sz w:val="18"/>
                <w:szCs w:val="18"/>
              </w:rPr>
            </w:pPr>
            <w:r w:rsidRPr="002926D7">
              <w:rPr>
                <w:rFonts w:cstheme="minorHAnsi"/>
                <w:bCs/>
                <w:iCs/>
                <w:sz w:val="18"/>
                <w:szCs w:val="18"/>
              </w:rPr>
              <w:t>500,000 (of whom 250,000 are female)</w:t>
            </w:r>
          </w:p>
        </w:tc>
        <w:tc>
          <w:tcPr>
            <w:tcW w:w="1531" w:type="dxa"/>
            <w:tcBorders>
              <w:top w:val="single" w:sz="4" w:space="0" w:color="auto"/>
              <w:left w:val="single" w:sz="4" w:space="0" w:color="auto"/>
              <w:bottom w:val="single" w:sz="4" w:space="0" w:color="auto"/>
              <w:right w:val="single" w:sz="4" w:space="0" w:color="auto"/>
            </w:tcBorders>
            <w:hideMark/>
          </w:tcPr>
          <w:p w14:paraId="6909F0C5" w14:textId="77777777" w:rsidR="00025B2D" w:rsidRPr="002926D7" w:rsidRDefault="00025B2D" w:rsidP="002926D7">
            <w:pPr>
              <w:jc w:val="left"/>
              <w:rPr>
                <w:rFonts w:cs="Calibri"/>
                <w:sz w:val="18"/>
                <w:szCs w:val="18"/>
              </w:rPr>
            </w:pPr>
            <w:r w:rsidRPr="002926D7">
              <w:rPr>
                <w:rFonts w:cs="Calibri"/>
                <w:sz w:val="18"/>
                <w:szCs w:val="18"/>
              </w:rPr>
              <w:t>Grantee monitoring reports; Impact reviews; SGP database</w:t>
            </w:r>
          </w:p>
          <w:p w14:paraId="3D66A13D" w14:textId="77777777" w:rsidR="00025B2D" w:rsidRPr="002926D7" w:rsidRDefault="00025B2D" w:rsidP="002926D7">
            <w:pPr>
              <w:jc w:val="left"/>
              <w:rPr>
                <w:rFonts w:cstheme="minorHAnsi"/>
                <w:bCs/>
                <w:iCs/>
                <w:sz w:val="18"/>
                <w:szCs w:val="18"/>
              </w:rPr>
            </w:pPr>
          </w:p>
        </w:tc>
        <w:tc>
          <w:tcPr>
            <w:tcW w:w="2155" w:type="dxa"/>
            <w:tcBorders>
              <w:top w:val="single" w:sz="4" w:space="0" w:color="auto"/>
              <w:left w:val="single" w:sz="4" w:space="0" w:color="auto"/>
              <w:bottom w:val="single" w:sz="4" w:space="0" w:color="auto"/>
              <w:right w:val="single" w:sz="4" w:space="0" w:color="auto"/>
            </w:tcBorders>
            <w:hideMark/>
          </w:tcPr>
          <w:p w14:paraId="4F495F82" w14:textId="2375B456" w:rsidR="00025B2D" w:rsidRPr="002926D7" w:rsidRDefault="00025B2D" w:rsidP="002926D7">
            <w:pPr>
              <w:pStyle w:val="Default"/>
              <w:rPr>
                <w:rFonts w:asciiTheme="minorHAnsi" w:hAnsiTheme="minorHAnsi" w:cstheme="minorHAnsi"/>
                <w:sz w:val="18"/>
                <w:szCs w:val="18"/>
              </w:rPr>
            </w:pPr>
            <w:r w:rsidRPr="002926D7">
              <w:rPr>
                <w:rFonts w:asciiTheme="minorHAnsi" w:hAnsiTheme="minorHAnsi" w:cstheme="minorHAnsi"/>
                <w:sz w:val="18"/>
                <w:szCs w:val="18"/>
              </w:rPr>
              <w:t xml:space="preserve">Projects are designed in a gender-responsive manner. </w:t>
            </w:r>
          </w:p>
          <w:p w14:paraId="4CE1D8E4" w14:textId="77777777" w:rsidR="00025B2D" w:rsidRPr="002926D7" w:rsidRDefault="00025B2D" w:rsidP="002926D7">
            <w:pPr>
              <w:pStyle w:val="Default"/>
              <w:rPr>
                <w:rFonts w:asciiTheme="minorHAnsi" w:hAnsiTheme="minorHAnsi" w:cstheme="minorHAnsi"/>
                <w:sz w:val="18"/>
                <w:szCs w:val="18"/>
              </w:rPr>
            </w:pPr>
            <w:r w:rsidRPr="002926D7">
              <w:rPr>
                <w:rFonts w:asciiTheme="minorHAnsi" w:hAnsiTheme="minorHAnsi" w:cstheme="minorHAnsi"/>
                <w:sz w:val="18"/>
                <w:szCs w:val="18"/>
              </w:rPr>
              <w:t>Monitoring and evaluation processes are designed to systematically disaggregate data by gender.</w:t>
            </w:r>
          </w:p>
        </w:tc>
      </w:tr>
      <w:tr w:rsidR="00025B2D" w:rsidRPr="002926D7" w14:paraId="39B70021" w14:textId="77777777" w:rsidTr="00025B2D">
        <w:trPr>
          <w:trHeight w:val="1160"/>
        </w:trPr>
        <w:tc>
          <w:tcPr>
            <w:tcW w:w="1525" w:type="dxa"/>
            <w:vMerge/>
            <w:tcBorders>
              <w:left w:val="single" w:sz="4" w:space="0" w:color="auto"/>
              <w:right w:val="single" w:sz="4" w:space="0" w:color="auto"/>
            </w:tcBorders>
            <w:vAlign w:val="center"/>
            <w:hideMark/>
          </w:tcPr>
          <w:p w14:paraId="36614C05" w14:textId="77777777" w:rsidR="00025B2D" w:rsidRPr="002926D7" w:rsidRDefault="00025B2D" w:rsidP="002926D7">
            <w:pPr>
              <w:jc w:val="left"/>
              <w:rPr>
                <w:rFonts w:cstheme="minorHAnsi"/>
                <w:b/>
                <w:bCs/>
                <w:sz w:val="18"/>
                <w:szCs w:val="18"/>
              </w:rPr>
            </w:pPr>
          </w:p>
        </w:tc>
        <w:tc>
          <w:tcPr>
            <w:tcW w:w="2668" w:type="dxa"/>
            <w:tcBorders>
              <w:top w:val="single" w:sz="4" w:space="0" w:color="auto"/>
              <w:left w:val="single" w:sz="4" w:space="0" w:color="auto"/>
              <w:bottom w:val="single" w:sz="4" w:space="0" w:color="auto"/>
              <w:right w:val="single" w:sz="4" w:space="0" w:color="auto"/>
            </w:tcBorders>
            <w:hideMark/>
          </w:tcPr>
          <w:p w14:paraId="4DAE2E29" w14:textId="238CC9EF" w:rsidR="00025B2D" w:rsidRPr="002926D7" w:rsidRDefault="00025B2D" w:rsidP="002926D7">
            <w:pPr>
              <w:jc w:val="left"/>
              <w:rPr>
                <w:rFonts w:cstheme="minorHAnsi"/>
                <w:bCs/>
                <w:sz w:val="18"/>
                <w:szCs w:val="18"/>
              </w:rPr>
            </w:pPr>
            <w:r w:rsidRPr="002926D7">
              <w:rPr>
                <w:rFonts w:cstheme="minorHAnsi"/>
                <w:b/>
                <w:bCs/>
                <w:sz w:val="18"/>
                <w:szCs w:val="18"/>
              </w:rPr>
              <w:t>Mandatory GEF Core Indicator 2: Marine protected areas created or under improved management</w:t>
            </w:r>
            <w:r w:rsidRPr="002926D7">
              <w:rPr>
                <w:rFonts w:cstheme="minorHAnsi"/>
                <w:bCs/>
                <w:sz w:val="18"/>
                <w:szCs w:val="18"/>
              </w:rPr>
              <w:t xml:space="preserve"> (hectare) (GEF core indicator 2)</w:t>
            </w:r>
          </w:p>
        </w:tc>
        <w:tc>
          <w:tcPr>
            <w:tcW w:w="1292" w:type="dxa"/>
            <w:tcBorders>
              <w:top w:val="single" w:sz="4" w:space="0" w:color="auto"/>
              <w:left w:val="single" w:sz="4" w:space="0" w:color="auto"/>
              <w:bottom w:val="single" w:sz="4" w:space="0" w:color="auto"/>
              <w:right w:val="single" w:sz="4" w:space="0" w:color="auto"/>
            </w:tcBorders>
            <w:hideMark/>
          </w:tcPr>
          <w:p w14:paraId="2E2DCCA3" w14:textId="77777777" w:rsidR="00025B2D" w:rsidRPr="002926D7" w:rsidRDefault="00025B2D" w:rsidP="002926D7">
            <w:pPr>
              <w:jc w:val="left"/>
              <w:rPr>
                <w:rFonts w:cstheme="minorHAnsi"/>
                <w:bCs/>
                <w:iCs/>
                <w:sz w:val="18"/>
                <w:szCs w:val="18"/>
              </w:rPr>
            </w:pPr>
            <w:r w:rsidRPr="002926D7">
              <w:rPr>
                <w:rFonts w:cstheme="minorHAnsi"/>
                <w:bCs/>
                <w:iCs/>
                <w:sz w:val="18"/>
                <w:szCs w:val="18"/>
              </w:rPr>
              <w:t>AMR</w:t>
            </w:r>
          </w:p>
        </w:tc>
        <w:tc>
          <w:tcPr>
            <w:tcW w:w="1707" w:type="dxa"/>
            <w:tcBorders>
              <w:top w:val="single" w:sz="4" w:space="0" w:color="auto"/>
              <w:left w:val="single" w:sz="4" w:space="0" w:color="auto"/>
              <w:bottom w:val="single" w:sz="4" w:space="0" w:color="auto"/>
              <w:right w:val="single" w:sz="4" w:space="0" w:color="auto"/>
            </w:tcBorders>
            <w:hideMark/>
          </w:tcPr>
          <w:p w14:paraId="2E1058B7" w14:textId="77777777" w:rsidR="00025B2D" w:rsidRPr="002926D7" w:rsidRDefault="00025B2D" w:rsidP="002926D7">
            <w:pPr>
              <w:jc w:val="left"/>
              <w:rPr>
                <w:rFonts w:cstheme="minorHAnsi"/>
                <w:bCs/>
                <w:iCs/>
                <w:sz w:val="18"/>
                <w:szCs w:val="18"/>
              </w:rPr>
            </w:pPr>
            <w:r w:rsidRPr="002926D7">
              <w:rPr>
                <w:rFonts w:cstheme="minorHAnsi"/>
                <w:bCs/>
                <w:iCs/>
                <w:sz w:val="18"/>
                <w:szCs w:val="18"/>
              </w:rPr>
              <w:t>176,955</w:t>
            </w:r>
          </w:p>
          <w:p w14:paraId="4428339B" w14:textId="77777777" w:rsidR="00025B2D" w:rsidRPr="002926D7" w:rsidRDefault="00025B2D" w:rsidP="002926D7">
            <w:pPr>
              <w:jc w:val="left"/>
              <w:rPr>
                <w:rFonts w:cstheme="minorHAnsi"/>
                <w:bCs/>
                <w:iCs/>
                <w:sz w:val="18"/>
                <w:szCs w:val="18"/>
              </w:rPr>
            </w:pPr>
            <w:r w:rsidRPr="002926D7">
              <w:rPr>
                <w:rFonts w:cstheme="minorHAnsi"/>
                <w:bCs/>
                <w:iCs/>
                <w:sz w:val="18"/>
                <w:szCs w:val="18"/>
              </w:rPr>
              <w:t>Source: 2023 AMR</w:t>
            </w:r>
          </w:p>
        </w:tc>
        <w:tc>
          <w:tcPr>
            <w:tcW w:w="1799" w:type="dxa"/>
            <w:tcBorders>
              <w:top w:val="single" w:sz="4" w:space="0" w:color="auto"/>
              <w:left w:val="single" w:sz="4" w:space="0" w:color="auto"/>
              <w:bottom w:val="single" w:sz="4" w:space="0" w:color="auto"/>
              <w:right w:val="single" w:sz="4" w:space="0" w:color="auto"/>
            </w:tcBorders>
            <w:hideMark/>
          </w:tcPr>
          <w:p w14:paraId="555093F4" w14:textId="77777777" w:rsidR="00025B2D" w:rsidRPr="002926D7" w:rsidRDefault="00025B2D" w:rsidP="002926D7">
            <w:pPr>
              <w:jc w:val="left"/>
              <w:rPr>
                <w:rFonts w:cstheme="minorHAnsi"/>
                <w:bCs/>
                <w:iCs/>
                <w:sz w:val="18"/>
                <w:szCs w:val="18"/>
              </w:rPr>
            </w:pPr>
            <w:r w:rsidRPr="002926D7">
              <w:rPr>
                <w:rFonts w:cstheme="minorHAnsi"/>
                <w:bCs/>
                <w:iCs/>
                <w:sz w:val="18"/>
                <w:szCs w:val="18"/>
              </w:rPr>
              <w:t>30,000 ha</w:t>
            </w:r>
          </w:p>
        </w:tc>
        <w:tc>
          <w:tcPr>
            <w:tcW w:w="1718" w:type="dxa"/>
            <w:tcBorders>
              <w:top w:val="single" w:sz="4" w:space="0" w:color="auto"/>
              <w:left w:val="single" w:sz="4" w:space="0" w:color="auto"/>
              <w:bottom w:val="single" w:sz="4" w:space="0" w:color="auto"/>
              <w:right w:val="single" w:sz="4" w:space="0" w:color="auto"/>
            </w:tcBorders>
            <w:hideMark/>
          </w:tcPr>
          <w:p w14:paraId="0F48DEE5" w14:textId="77777777" w:rsidR="00025B2D" w:rsidRPr="002926D7" w:rsidRDefault="00025B2D" w:rsidP="002926D7">
            <w:pPr>
              <w:jc w:val="left"/>
              <w:rPr>
                <w:rFonts w:cstheme="minorHAnsi"/>
                <w:bCs/>
                <w:iCs/>
                <w:sz w:val="18"/>
                <w:szCs w:val="18"/>
              </w:rPr>
            </w:pPr>
            <w:r w:rsidRPr="002926D7">
              <w:rPr>
                <w:rFonts w:cstheme="minorHAnsi"/>
                <w:bCs/>
                <w:iCs/>
                <w:sz w:val="18"/>
                <w:szCs w:val="18"/>
              </w:rPr>
              <w:t>90,000 ha</w:t>
            </w:r>
          </w:p>
        </w:tc>
        <w:tc>
          <w:tcPr>
            <w:tcW w:w="1531" w:type="dxa"/>
            <w:tcBorders>
              <w:top w:val="single" w:sz="4" w:space="0" w:color="auto"/>
              <w:left w:val="single" w:sz="4" w:space="0" w:color="auto"/>
              <w:bottom w:val="single" w:sz="4" w:space="0" w:color="auto"/>
              <w:right w:val="single" w:sz="4" w:space="0" w:color="auto"/>
            </w:tcBorders>
            <w:hideMark/>
          </w:tcPr>
          <w:p w14:paraId="799BB634" w14:textId="77777777" w:rsidR="00025B2D" w:rsidRPr="002926D7" w:rsidRDefault="00025B2D" w:rsidP="002926D7">
            <w:pPr>
              <w:jc w:val="left"/>
              <w:rPr>
                <w:rFonts w:cs="Calibri"/>
                <w:sz w:val="18"/>
                <w:szCs w:val="18"/>
              </w:rPr>
            </w:pPr>
            <w:r w:rsidRPr="002926D7">
              <w:rPr>
                <w:rFonts w:cs="Calibri"/>
                <w:sz w:val="18"/>
                <w:szCs w:val="18"/>
              </w:rPr>
              <w:t>Grantee monitoring reports; Impact reviews; SGP database</w:t>
            </w:r>
          </w:p>
          <w:p w14:paraId="65A9DFE0" w14:textId="77777777" w:rsidR="00025B2D" w:rsidRPr="002926D7" w:rsidRDefault="00025B2D" w:rsidP="002926D7">
            <w:pPr>
              <w:jc w:val="left"/>
              <w:rPr>
                <w:rFonts w:cstheme="minorHAnsi"/>
                <w:bCs/>
                <w:iCs/>
                <w:sz w:val="18"/>
                <w:szCs w:val="18"/>
              </w:rPr>
            </w:pPr>
          </w:p>
        </w:tc>
        <w:tc>
          <w:tcPr>
            <w:tcW w:w="2155" w:type="dxa"/>
            <w:tcBorders>
              <w:top w:val="single" w:sz="4" w:space="0" w:color="auto"/>
              <w:left w:val="single" w:sz="4" w:space="0" w:color="auto"/>
              <w:bottom w:val="single" w:sz="4" w:space="0" w:color="auto"/>
              <w:right w:val="single" w:sz="4" w:space="0" w:color="auto"/>
            </w:tcBorders>
            <w:hideMark/>
          </w:tcPr>
          <w:p w14:paraId="40FE7F4C" w14:textId="77777777" w:rsidR="00025B2D" w:rsidRPr="002926D7" w:rsidRDefault="00025B2D" w:rsidP="002926D7">
            <w:pPr>
              <w:jc w:val="left"/>
              <w:rPr>
                <w:rFonts w:cstheme="minorHAnsi"/>
                <w:sz w:val="18"/>
                <w:szCs w:val="18"/>
              </w:rPr>
            </w:pPr>
            <w:r w:rsidRPr="002926D7">
              <w:rPr>
                <w:rFonts w:cstheme="minorHAnsi"/>
                <w:sz w:val="18"/>
                <w:szCs w:val="18"/>
              </w:rPr>
              <w:t>Adequate financial and technical resources are available to establish and manage MPAs effectively.</w:t>
            </w:r>
          </w:p>
          <w:p w14:paraId="7E66682A" w14:textId="77777777" w:rsidR="00025B2D" w:rsidRPr="002926D7" w:rsidRDefault="00025B2D" w:rsidP="002926D7">
            <w:pPr>
              <w:jc w:val="left"/>
              <w:rPr>
                <w:rFonts w:cstheme="minorHAnsi"/>
                <w:bCs/>
                <w:iCs/>
                <w:sz w:val="18"/>
                <w:szCs w:val="18"/>
              </w:rPr>
            </w:pPr>
            <w:r w:rsidRPr="002926D7">
              <w:rPr>
                <w:rFonts w:cstheme="minorHAnsi"/>
                <w:sz w:val="18"/>
                <w:szCs w:val="18"/>
              </w:rPr>
              <w:t>Ongoing public awareness and education regarding the importance of MPAs and the role of communities in their conservation.</w:t>
            </w:r>
          </w:p>
        </w:tc>
      </w:tr>
      <w:tr w:rsidR="00025B2D" w:rsidRPr="002926D7" w14:paraId="59785B09" w14:textId="77777777" w:rsidTr="00025B2D">
        <w:trPr>
          <w:trHeight w:val="305"/>
        </w:trPr>
        <w:tc>
          <w:tcPr>
            <w:tcW w:w="1525" w:type="dxa"/>
            <w:vMerge/>
            <w:tcBorders>
              <w:left w:val="single" w:sz="4" w:space="0" w:color="auto"/>
              <w:right w:val="single" w:sz="4" w:space="0" w:color="auto"/>
            </w:tcBorders>
            <w:vAlign w:val="center"/>
            <w:hideMark/>
          </w:tcPr>
          <w:p w14:paraId="3C8CC8FB" w14:textId="77777777" w:rsidR="00025B2D" w:rsidRPr="002926D7" w:rsidRDefault="00025B2D" w:rsidP="002926D7">
            <w:pPr>
              <w:jc w:val="left"/>
              <w:rPr>
                <w:rFonts w:cstheme="minorHAnsi"/>
                <w:b/>
                <w:bCs/>
                <w:sz w:val="18"/>
                <w:szCs w:val="18"/>
              </w:rPr>
            </w:pPr>
          </w:p>
        </w:tc>
        <w:tc>
          <w:tcPr>
            <w:tcW w:w="2668" w:type="dxa"/>
            <w:tcBorders>
              <w:top w:val="single" w:sz="4" w:space="0" w:color="auto"/>
              <w:left w:val="single" w:sz="4" w:space="0" w:color="auto"/>
              <w:bottom w:val="single" w:sz="4" w:space="0" w:color="auto"/>
              <w:right w:val="single" w:sz="4" w:space="0" w:color="auto"/>
            </w:tcBorders>
            <w:hideMark/>
          </w:tcPr>
          <w:p w14:paraId="00071A9B" w14:textId="5639A801" w:rsidR="00025B2D" w:rsidRPr="002926D7" w:rsidRDefault="00025B2D" w:rsidP="002926D7">
            <w:pPr>
              <w:jc w:val="left"/>
              <w:rPr>
                <w:rFonts w:cstheme="minorHAnsi"/>
                <w:bCs/>
                <w:sz w:val="18"/>
                <w:szCs w:val="18"/>
              </w:rPr>
            </w:pPr>
            <w:r w:rsidRPr="002926D7">
              <w:rPr>
                <w:rFonts w:cstheme="minorHAnsi"/>
                <w:b/>
                <w:bCs/>
                <w:sz w:val="18"/>
                <w:szCs w:val="18"/>
              </w:rPr>
              <w:t>Mandatory GEF Core Indicator 3: Area of land and ecosystems under restoration</w:t>
            </w:r>
            <w:r w:rsidRPr="002926D7">
              <w:rPr>
                <w:rFonts w:cstheme="minorHAnsi"/>
                <w:b/>
                <w:sz w:val="18"/>
                <w:szCs w:val="18"/>
              </w:rPr>
              <w:t xml:space="preserve"> </w:t>
            </w:r>
            <w:r w:rsidRPr="002926D7">
              <w:rPr>
                <w:rFonts w:cstheme="minorHAnsi"/>
                <w:bCs/>
                <w:sz w:val="18"/>
                <w:szCs w:val="18"/>
              </w:rPr>
              <w:t>(hectare) (GEF core indicator 3.1)</w:t>
            </w:r>
          </w:p>
        </w:tc>
        <w:tc>
          <w:tcPr>
            <w:tcW w:w="1292" w:type="dxa"/>
            <w:tcBorders>
              <w:top w:val="single" w:sz="4" w:space="0" w:color="auto"/>
              <w:left w:val="single" w:sz="4" w:space="0" w:color="auto"/>
              <w:bottom w:val="single" w:sz="4" w:space="0" w:color="auto"/>
              <w:right w:val="single" w:sz="4" w:space="0" w:color="auto"/>
            </w:tcBorders>
            <w:hideMark/>
          </w:tcPr>
          <w:p w14:paraId="2B94627C" w14:textId="77777777" w:rsidR="00025B2D" w:rsidRPr="002926D7" w:rsidRDefault="00025B2D" w:rsidP="002926D7">
            <w:pPr>
              <w:jc w:val="left"/>
              <w:rPr>
                <w:rFonts w:cstheme="minorHAnsi"/>
                <w:bCs/>
                <w:iCs/>
                <w:sz w:val="18"/>
                <w:szCs w:val="18"/>
              </w:rPr>
            </w:pPr>
            <w:r w:rsidRPr="002926D7">
              <w:rPr>
                <w:rFonts w:cstheme="minorHAnsi"/>
                <w:bCs/>
                <w:iCs/>
                <w:sz w:val="18"/>
                <w:szCs w:val="18"/>
              </w:rPr>
              <w:t>AMR</w:t>
            </w:r>
          </w:p>
        </w:tc>
        <w:tc>
          <w:tcPr>
            <w:tcW w:w="1707" w:type="dxa"/>
            <w:tcBorders>
              <w:top w:val="single" w:sz="4" w:space="0" w:color="auto"/>
              <w:left w:val="single" w:sz="4" w:space="0" w:color="auto"/>
              <w:bottom w:val="single" w:sz="4" w:space="0" w:color="auto"/>
              <w:right w:val="single" w:sz="4" w:space="0" w:color="auto"/>
            </w:tcBorders>
            <w:hideMark/>
          </w:tcPr>
          <w:p w14:paraId="7692EF09" w14:textId="77777777" w:rsidR="00025B2D" w:rsidRPr="002926D7" w:rsidRDefault="00025B2D" w:rsidP="002926D7">
            <w:pPr>
              <w:jc w:val="left"/>
              <w:rPr>
                <w:rFonts w:cstheme="minorHAnsi"/>
                <w:bCs/>
                <w:iCs/>
                <w:sz w:val="18"/>
                <w:szCs w:val="18"/>
              </w:rPr>
            </w:pPr>
            <w:r w:rsidRPr="002926D7">
              <w:rPr>
                <w:rFonts w:cstheme="minorHAnsi"/>
                <w:bCs/>
                <w:iCs/>
                <w:sz w:val="18"/>
                <w:szCs w:val="18"/>
              </w:rPr>
              <w:t>31,757</w:t>
            </w:r>
          </w:p>
          <w:p w14:paraId="7DE91863" w14:textId="77777777" w:rsidR="00025B2D" w:rsidRPr="002926D7" w:rsidRDefault="00025B2D" w:rsidP="002926D7">
            <w:pPr>
              <w:jc w:val="left"/>
              <w:rPr>
                <w:rFonts w:cstheme="minorHAnsi"/>
                <w:bCs/>
                <w:iCs/>
                <w:sz w:val="18"/>
                <w:szCs w:val="18"/>
              </w:rPr>
            </w:pPr>
            <w:r w:rsidRPr="002926D7">
              <w:rPr>
                <w:rFonts w:cstheme="minorHAnsi"/>
                <w:bCs/>
                <w:iCs/>
                <w:sz w:val="18"/>
                <w:szCs w:val="18"/>
              </w:rPr>
              <w:t>Source: 2023 AMR</w:t>
            </w:r>
          </w:p>
        </w:tc>
        <w:tc>
          <w:tcPr>
            <w:tcW w:w="1799" w:type="dxa"/>
            <w:tcBorders>
              <w:top w:val="single" w:sz="4" w:space="0" w:color="auto"/>
              <w:left w:val="single" w:sz="4" w:space="0" w:color="auto"/>
              <w:bottom w:val="single" w:sz="4" w:space="0" w:color="auto"/>
              <w:right w:val="single" w:sz="4" w:space="0" w:color="auto"/>
            </w:tcBorders>
            <w:hideMark/>
          </w:tcPr>
          <w:p w14:paraId="7259925C" w14:textId="77777777" w:rsidR="00025B2D" w:rsidRPr="002926D7" w:rsidRDefault="00025B2D" w:rsidP="002926D7">
            <w:pPr>
              <w:jc w:val="left"/>
              <w:rPr>
                <w:rFonts w:cstheme="minorHAnsi"/>
                <w:bCs/>
                <w:iCs/>
                <w:sz w:val="18"/>
                <w:szCs w:val="18"/>
              </w:rPr>
            </w:pPr>
            <w:r w:rsidRPr="002926D7">
              <w:rPr>
                <w:rFonts w:cstheme="minorHAnsi"/>
                <w:bCs/>
                <w:iCs/>
                <w:sz w:val="18"/>
                <w:szCs w:val="18"/>
              </w:rPr>
              <w:t>70,000 ha</w:t>
            </w:r>
          </w:p>
        </w:tc>
        <w:tc>
          <w:tcPr>
            <w:tcW w:w="1718" w:type="dxa"/>
            <w:tcBorders>
              <w:top w:val="single" w:sz="4" w:space="0" w:color="auto"/>
              <w:left w:val="single" w:sz="4" w:space="0" w:color="auto"/>
              <w:bottom w:val="single" w:sz="4" w:space="0" w:color="auto"/>
              <w:right w:val="single" w:sz="4" w:space="0" w:color="auto"/>
            </w:tcBorders>
            <w:hideMark/>
          </w:tcPr>
          <w:p w14:paraId="7150D21F" w14:textId="77777777" w:rsidR="00025B2D" w:rsidRPr="002926D7" w:rsidRDefault="00025B2D" w:rsidP="002926D7">
            <w:pPr>
              <w:jc w:val="left"/>
              <w:rPr>
                <w:rFonts w:cstheme="minorHAnsi"/>
                <w:bCs/>
                <w:iCs/>
                <w:sz w:val="18"/>
                <w:szCs w:val="18"/>
              </w:rPr>
            </w:pPr>
            <w:r w:rsidRPr="002926D7">
              <w:rPr>
                <w:rFonts w:cstheme="minorHAnsi"/>
                <w:bCs/>
                <w:iCs/>
                <w:sz w:val="18"/>
                <w:szCs w:val="18"/>
              </w:rPr>
              <w:t>225,000 ha</w:t>
            </w:r>
          </w:p>
        </w:tc>
        <w:tc>
          <w:tcPr>
            <w:tcW w:w="1531" w:type="dxa"/>
            <w:tcBorders>
              <w:top w:val="single" w:sz="4" w:space="0" w:color="auto"/>
              <w:left w:val="single" w:sz="4" w:space="0" w:color="auto"/>
              <w:bottom w:val="single" w:sz="4" w:space="0" w:color="auto"/>
              <w:right w:val="single" w:sz="4" w:space="0" w:color="auto"/>
            </w:tcBorders>
            <w:hideMark/>
          </w:tcPr>
          <w:p w14:paraId="4499F575" w14:textId="77777777" w:rsidR="00025B2D" w:rsidRPr="002926D7" w:rsidRDefault="00025B2D" w:rsidP="002926D7">
            <w:pPr>
              <w:jc w:val="left"/>
              <w:rPr>
                <w:rFonts w:cs="Calibri"/>
                <w:sz w:val="18"/>
                <w:szCs w:val="18"/>
              </w:rPr>
            </w:pPr>
            <w:r w:rsidRPr="002926D7">
              <w:rPr>
                <w:rFonts w:cs="Calibri"/>
                <w:sz w:val="18"/>
                <w:szCs w:val="18"/>
              </w:rPr>
              <w:t xml:space="preserve">Grantee monitoring reports; Impact </w:t>
            </w:r>
            <w:r w:rsidRPr="002926D7">
              <w:rPr>
                <w:rFonts w:cs="Calibri"/>
                <w:sz w:val="18"/>
                <w:szCs w:val="18"/>
              </w:rPr>
              <w:lastRenderedPageBreak/>
              <w:t>reviews; SGP database</w:t>
            </w:r>
          </w:p>
          <w:p w14:paraId="616A6FA1" w14:textId="77777777" w:rsidR="00025B2D" w:rsidRPr="002926D7" w:rsidRDefault="00025B2D" w:rsidP="002926D7">
            <w:pPr>
              <w:jc w:val="left"/>
              <w:rPr>
                <w:rFonts w:cstheme="minorHAnsi"/>
                <w:bCs/>
                <w:iCs/>
                <w:sz w:val="18"/>
                <w:szCs w:val="18"/>
              </w:rPr>
            </w:pPr>
          </w:p>
        </w:tc>
        <w:tc>
          <w:tcPr>
            <w:tcW w:w="2155" w:type="dxa"/>
            <w:tcBorders>
              <w:top w:val="single" w:sz="4" w:space="0" w:color="auto"/>
              <w:left w:val="single" w:sz="4" w:space="0" w:color="auto"/>
              <w:bottom w:val="single" w:sz="4" w:space="0" w:color="auto"/>
              <w:right w:val="single" w:sz="4" w:space="0" w:color="auto"/>
            </w:tcBorders>
            <w:hideMark/>
          </w:tcPr>
          <w:p w14:paraId="4B49636E" w14:textId="77777777" w:rsidR="00025B2D" w:rsidRPr="002926D7" w:rsidRDefault="00025B2D" w:rsidP="002926D7">
            <w:pPr>
              <w:jc w:val="left"/>
              <w:rPr>
                <w:rFonts w:cstheme="minorHAnsi"/>
                <w:bCs/>
                <w:iCs/>
                <w:sz w:val="18"/>
                <w:szCs w:val="18"/>
              </w:rPr>
            </w:pPr>
            <w:r w:rsidRPr="002926D7">
              <w:rPr>
                <w:rFonts w:cstheme="minorHAnsi"/>
                <w:sz w:val="18"/>
                <w:szCs w:val="18"/>
              </w:rPr>
              <w:lastRenderedPageBreak/>
              <w:t>Restoration plans are adaptable to changing environmental and socio-economic conditions</w:t>
            </w:r>
          </w:p>
        </w:tc>
      </w:tr>
      <w:tr w:rsidR="00025B2D" w:rsidRPr="002926D7" w14:paraId="3E7E20D8" w14:textId="77777777" w:rsidTr="00025B2D">
        <w:trPr>
          <w:trHeight w:val="350"/>
        </w:trPr>
        <w:tc>
          <w:tcPr>
            <w:tcW w:w="1525" w:type="dxa"/>
            <w:vMerge/>
            <w:tcBorders>
              <w:left w:val="single" w:sz="4" w:space="0" w:color="auto"/>
              <w:right w:val="single" w:sz="4" w:space="0" w:color="auto"/>
            </w:tcBorders>
          </w:tcPr>
          <w:p w14:paraId="79494D92" w14:textId="77777777" w:rsidR="00025B2D" w:rsidRPr="002926D7" w:rsidRDefault="00025B2D" w:rsidP="002926D7">
            <w:pPr>
              <w:jc w:val="left"/>
              <w:rPr>
                <w:rFonts w:cstheme="minorHAnsi"/>
                <w:b/>
                <w:bCs/>
                <w:sz w:val="18"/>
                <w:szCs w:val="18"/>
              </w:rPr>
            </w:pPr>
          </w:p>
        </w:tc>
        <w:tc>
          <w:tcPr>
            <w:tcW w:w="2668" w:type="dxa"/>
            <w:tcBorders>
              <w:top w:val="single" w:sz="4" w:space="0" w:color="auto"/>
              <w:left w:val="single" w:sz="4" w:space="0" w:color="auto"/>
              <w:bottom w:val="single" w:sz="4" w:space="0" w:color="auto"/>
              <w:right w:val="single" w:sz="4" w:space="0" w:color="auto"/>
            </w:tcBorders>
            <w:hideMark/>
          </w:tcPr>
          <w:p w14:paraId="0C31CA0F" w14:textId="57461568" w:rsidR="00025B2D" w:rsidRPr="002926D7" w:rsidRDefault="00025B2D" w:rsidP="002926D7">
            <w:pPr>
              <w:jc w:val="left"/>
              <w:rPr>
                <w:rFonts w:cstheme="minorHAnsi"/>
                <w:bCs/>
                <w:sz w:val="18"/>
                <w:szCs w:val="18"/>
              </w:rPr>
            </w:pPr>
            <w:r w:rsidRPr="002926D7">
              <w:rPr>
                <w:rFonts w:cstheme="minorHAnsi"/>
                <w:b/>
                <w:bCs/>
                <w:sz w:val="18"/>
                <w:szCs w:val="18"/>
              </w:rPr>
              <w:t>Mandatory GEF Core Indicator 4: Area of landscapes under improved practices</w:t>
            </w:r>
            <w:r w:rsidRPr="002926D7">
              <w:rPr>
                <w:rFonts w:cstheme="minorHAnsi"/>
                <w:b/>
                <w:sz w:val="18"/>
                <w:szCs w:val="18"/>
              </w:rPr>
              <w:t xml:space="preserve"> </w:t>
            </w:r>
            <w:r w:rsidRPr="002926D7">
              <w:rPr>
                <w:rFonts w:cstheme="minorHAnsi"/>
                <w:bCs/>
                <w:sz w:val="18"/>
                <w:szCs w:val="18"/>
              </w:rPr>
              <w:t>(excluding protected areas; hectare) (GEF core indicator 4.1 and 4.3)</w:t>
            </w:r>
          </w:p>
        </w:tc>
        <w:tc>
          <w:tcPr>
            <w:tcW w:w="1292" w:type="dxa"/>
            <w:tcBorders>
              <w:top w:val="single" w:sz="4" w:space="0" w:color="auto"/>
              <w:left w:val="single" w:sz="4" w:space="0" w:color="auto"/>
              <w:bottom w:val="single" w:sz="4" w:space="0" w:color="auto"/>
              <w:right w:val="single" w:sz="4" w:space="0" w:color="auto"/>
            </w:tcBorders>
            <w:hideMark/>
          </w:tcPr>
          <w:p w14:paraId="6D216A34" w14:textId="77777777" w:rsidR="00025B2D" w:rsidRPr="002926D7" w:rsidRDefault="00025B2D" w:rsidP="002926D7">
            <w:pPr>
              <w:jc w:val="left"/>
              <w:rPr>
                <w:rFonts w:cstheme="minorHAnsi"/>
                <w:bCs/>
                <w:iCs/>
                <w:sz w:val="18"/>
                <w:szCs w:val="18"/>
              </w:rPr>
            </w:pPr>
            <w:r w:rsidRPr="002926D7">
              <w:rPr>
                <w:rFonts w:cstheme="minorHAnsi"/>
                <w:bCs/>
                <w:iCs/>
                <w:sz w:val="18"/>
                <w:szCs w:val="18"/>
              </w:rPr>
              <w:t>AMR</w:t>
            </w:r>
          </w:p>
        </w:tc>
        <w:tc>
          <w:tcPr>
            <w:tcW w:w="1707" w:type="dxa"/>
            <w:tcBorders>
              <w:top w:val="single" w:sz="4" w:space="0" w:color="auto"/>
              <w:left w:val="single" w:sz="4" w:space="0" w:color="auto"/>
              <w:bottom w:val="single" w:sz="4" w:space="0" w:color="auto"/>
              <w:right w:val="single" w:sz="4" w:space="0" w:color="auto"/>
            </w:tcBorders>
            <w:hideMark/>
          </w:tcPr>
          <w:p w14:paraId="35F4350B" w14:textId="77777777" w:rsidR="00025B2D" w:rsidRPr="002926D7" w:rsidRDefault="00025B2D" w:rsidP="002926D7">
            <w:pPr>
              <w:jc w:val="left"/>
              <w:rPr>
                <w:rFonts w:cstheme="minorHAnsi"/>
                <w:bCs/>
                <w:iCs/>
                <w:sz w:val="18"/>
                <w:szCs w:val="18"/>
              </w:rPr>
            </w:pPr>
            <w:r w:rsidRPr="002926D7">
              <w:rPr>
                <w:rFonts w:cstheme="minorHAnsi"/>
                <w:bCs/>
                <w:iCs/>
                <w:sz w:val="18"/>
                <w:szCs w:val="18"/>
              </w:rPr>
              <w:t>2,121,391 (4.1)</w:t>
            </w:r>
          </w:p>
          <w:p w14:paraId="74A3AD0D" w14:textId="77777777" w:rsidR="00025B2D" w:rsidRPr="002926D7" w:rsidRDefault="00025B2D" w:rsidP="002926D7">
            <w:pPr>
              <w:jc w:val="left"/>
              <w:rPr>
                <w:rFonts w:cstheme="minorHAnsi"/>
                <w:bCs/>
                <w:iCs/>
                <w:sz w:val="18"/>
                <w:szCs w:val="18"/>
              </w:rPr>
            </w:pPr>
            <w:r w:rsidRPr="002926D7">
              <w:rPr>
                <w:rFonts w:cstheme="minorHAnsi"/>
                <w:bCs/>
                <w:iCs/>
                <w:sz w:val="18"/>
                <w:szCs w:val="18"/>
              </w:rPr>
              <w:t>617,865 (4.3)</w:t>
            </w:r>
          </w:p>
          <w:p w14:paraId="4632C58E" w14:textId="77777777" w:rsidR="00025B2D" w:rsidRPr="002926D7" w:rsidRDefault="00025B2D" w:rsidP="002926D7">
            <w:pPr>
              <w:jc w:val="left"/>
              <w:rPr>
                <w:rFonts w:cstheme="minorHAnsi"/>
                <w:bCs/>
                <w:iCs/>
                <w:sz w:val="18"/>
                <w:szCs w:val="18"/>
              </w:rPr>
            </w:pPr>
            <w:r w:rsidRPr="002926D7">
              <w:rPr>
                <w:rFonts w:cstheme="minorHAnsi"/>
                <w:bCs/>
                <w:iCs/>
                <w:sz w:val="18"/>
                <w:szCs w:val="18"/>
              </w:rPr>
              <w:t>Source: 2023 AMR</w:t>
            </w:r>
          </w:p>
        </w:tc>
        <w:tc>
          <w:tcPr>
            <w:tcW w:w="1799" w:type="dxa"/>
            <w:tcBorders>
              <w:top w:val="single" w:sz="4" w:space="0" w:color="auto"/>
              <w:left w:val="single" w:sz="4" w:space="0" w:color="auto"/>
              <w:bottom w:val="single" w:sz="4" w:space="0" w:color="auto"/>
              <w:right w:val="single" w:sz="4" w:space="0" w:color="auto"/>
            </w:tcBorders>
            <w:hideMark/>
          </w:tcPr>
          <w:p w14:paraId="24D1BFEA" w14:textId="77777777" w:rsidR="00025B2D" w:rsidRPr="002926D7" w:rsidRDefault="00025B2D" w:rsidP="002926D7">
            <w:pPr>
              <w:jc w:val="left"/>
              <w:rPr>
                <w:rFonts w:cstheme="minorHAnsi"/>
                <w:bCs/>
                <w:iCs/>
                <w:sz w:val="18"/>
                <w:szCs w:val="18"/>
              </w:rPr>
            </w:pPr>
            <w:r w:rsidRPr="002926D7">
              <w:rPr>
                <w:rFonts w:cstheme="minorHAnsi"/>
                <w:bCs/>
                <w:iCs/>
                <w:sz w:val="18"/>
                <w:szCs w:val="18"/>
              </w:rPr>
              <w:t>1,100,000 ha</w:t>
            </w:r>
          </w:p>
        </w:tc>
        <w:tc>
          <w:tcPr>
            <w:tcW w:w="1718" w:type="dxa"/>
            <w:tcBorders>
              <w:top w:val="single" w:sz="4" w:space="0" w:color="auto"/>
              <w:left w:val="single" w:sz="4" w:space="0" w:color="auto"/>
              <w:bottom w:val="single" w:sz="4" w:space="0" w:color="auto"/>
              <w:right w:val="single" w:sz="4" w:space="0" w:color="auto"/>
            </w:tcBorders>
            <w:hideMark/>
          </w:tcPr>
          <w:p w14:paraId="1DBC39FE" w14:textId="77777777" w:rsidR="00025B2D" w:rsidRPr="002926D7" w:rsidRDefault="00025B2D" w:rsidP="002926D7">
            <w:pPr>
              <w:jc w:val="left"/>
              <w:rPr>
                <w:rFonts w:cstheme="minorHAnsi"/>
                <w:bCs/>
                <w:iCs/>
                <w:sz w:val="18"/>
                <w:szCs w:val="18"/>
              </w:rPr>
            </w:pPr>
            <w:r w:rsidRPr="002926D7">
              <w:rPr>
                <w:rFonts w:cstheme="minorHAnsi"/>
                <w:bCs/>
                <w:iCs/>
                <w:sz w:val="18"/>
                <w:szCs w:val="18"/>
              </w:rPr>
              <w:t>3,800,000 ha</w:t>
            </w:r>
          </w:p>
        </w:tc>
        <w:tc>
          <w:tcPr>
            <w:tcW w:w="1531" w:type="dxa"/>
            <w:tcBorders>
              <w:top w:val="single" w:sz="4" w:space="0" w:color="auto"/>
              <w:left w:val="single" w:sz="4" w:space="0" w:color="auto"/>
              <w:bottom w:val="single" w:sz="4" w:space="0" w:color="auto"/>
              <w:right w:val="single" w:sz="4" w:space="0" w:color="auto"/>
            </w:tcBorders>
            <w:hideMark/>
          </w:tcPr>
          <w:p w14:paraId="590991C6" w14:textId="77777777" w:rsidR="00025B2D" w:rsidRPr="002926D7" w:rsidRDefault="00025B2D" w:rsidP="002926D7">
            <w:pPr>
              <w:jc w:val="left"/>
              <w:rPr>
                <w:rFonts w:cs="Calibri"/>
                <w:sz w:val="18"/>
                <w:szCs w:val="18"/>
              </w:rPr>
            </w:pPr>
            <w:r w:rsidRPr="002926D7">
              <w:rPr>
                <w:rFonts w:cs="Calibri"/>
                <w:sz w:val="18"/>
                <w:szCs w:val="18"/>
              </w:rPr>
              <w:t>Grantee monitoring reports; Impact reviews; SGP database</w:t>
            </w:r>
          </w:p>
          <w:p w14:paraId="5F2A443A" w14:textId="77777777" w:rsidR="00025B2D" w:rsidRPr="002926D7" w:rsidRDefault="00025B2D" w:rsidP="002926D7">
            <w:pPr>
              <w:jc w:val="left"/>
              <w:rPr>
                <w:rFonts w:cstheme="minorHAnsi"/>
                <w:bCs/>
                <w:iCs/>
                <w:sz w:val="18"/>
                <w:szCs w:val="18"/>
              </w:rPr>
            </w:pPr>
          </w:p>
        </w:tc>
        <w:tc>
          <w:tcPr>
            <w:tcW w:w="2155" w:type="dxa"/>
            <w:tcBorders>
              <w:top w:val="single" w:sz="4" w:space="0" w:color="auto"/>
              <w:left w:val="single" w:sz="4" w:space="0" w:color="auto"/>
              <w:bottom w:val="single" w:sz="4" w:space="0" w:color="auto"/>
              <w:right w:val="single" w:sz="4" w:space="0" w:color="auto"/>
            </w:tcBorders>
            <w:hideMark/>
          </w:tcPr>
          <w:p w14:paraId="7388431A" w14:textId="75941264" w:rsidR="00025B2D" w:rsidRPr="002926D7" w:rsidRDefault="00025B2D" w:rsidP="002926D7">
            <w:pPr>
              <w:jc w:val="left"/>
              <w:rPr>
                <w:rFonts w:cstheme="minorHAnsi"/>
                <w:sz w:val="18"/>
                <w:szCs w:val="18"/>
              </w:rPr>
            </w:pPr>
            <w:r w:rsidRPr="002926D7">
              <w:rPr>
                <w:rFonts w:cstheme="minorHAnsi"/>
                <w:sz w:val="18"/>
                <w:szCs w:val="18"/>
              </w:rPr>
              <w:t>Collaboration among stakeholders, including government agencies, non-governmental organizations, and local communities.</w:t>
            </w:r>
          </w:p>
          <w:p w14:paraId="4D833B13" w14:textId="77777777" w:rsidR="00025B2D" w:rsidRPr="002926D7" w:rsidRDefault="00025B2D" w:rsidP="002926D7">
            <w:pPr>
              <w:jc w:val="left"/>
              <w:rPr>
                <w:rFonts w:cstheme="minorHAnsi"/>
                <w:sz w:val="18"/>
                <w:szCs w:val="18"/>
              </w:rPr>
            </w:pPr>
            <w:r w:rsidRPr="002926D7">
              <w:rPr>
                <w:rFonts w:cstheme="minorHAnsi"/>
                <w:sz w:val="18"/>
                <w:szCs w:val="18"/>
              </w:rPr>
              <w:t>Adequate technical knowledge and information on improved land management practices are accessible to land users and relevant stakeholders.</w:t>
            </w:r>
          </w:p>
        </w:tc>
      </w:tr>
      <w:tr w:rsidR="00025B2D" w:rsidRPr="002926D7" w14:paraId="54FDF9EA" w14:textId="77777777" w:rsidTr="00025B2D">
        <w:trPr>
          <w:trHeight w:val="350"/>
        </w:trPr>
        <w:tc>
          <w:tcPr>
            <w:tcW w:w="1525" w:type="dxa"/>
            <w:vMerge/>
            <w:tcBorders>
              <w:left w:val="single" w:sz="4" w:space="0" w:color="auto"/>
              <w:right w:val="single" w:sz="4" w:space="0" w:color="auto"/>
            </w:tcBorders>
            <w:vAlign w:val="center"/>
            <w:hideMark/>
          </w:tcPr>
          <w:p w14:paraId="07BEC940" w14:textId="77777777" w:rsidR="00025B2D" w:rsidRPr="002926D7" w:rsidRDefault="00025B2D" w:rsidP="002926D7">
            <w:pPr>
              <w:jc w:val="left"/>
              <w:rPr>
                <w:rFonts w:cstheme="minorHAnsi"/>
                <w:b/>
                <w:bCs/>
                <w:sz w:val="18"/>
                <w:szCs w:val="18"/>
              </w:rPr>
            </w:pPr>
          </w:p>
        </w:tc>
        <w:tc>
          <w:tcPr>
            <w:tcW w:w="2668" w:type="dxa"/>
            <w:tcBorders>
              <w:top w:val="single" w:sz="4" w:space="0" w:color="auto"/>
              <w:left w:val="single" w:sz="4" w:space="0" w:color="auto"/>
              <w:bottom w:val="single" w:sz="4" w:space="0" w:color="auto"/>
              <w:right w:val="single" w:sz="4" w:space="0" w:color="auto"/>
            </w:tcBorders>
            <w:hideMark/>
          </w:tcPr>
          <w:p w14:paraId="3D3B5A5E" w14:textId="1549B96E" w:rsidR="00025B2D" w:rsidRPr="002926D7" w:rsidRDefault="00025B2D" w:rsidP="002926D7">
            <w:pPr>
              <w:jc w:val="left"/>
              <w:rPr>
                <w:rFonts w:cstheme="minorHAnsi"/>
                <w:bCs/>
                <w:sz w:val="18"/>
                <w:szCs w:val="18"/>
              </w:rPr>
            </w:pPr>
            <w:r w:rsidRPr="002926D7">
              <w:rPr>
                <w:rFonts w:cstheme="minorHAnsi"/>
                <w:b/>
                <w:bCs/>
                <w:sz w:val="18"/>
                <w:szCs w:val="18"/>
              </w:rPr>
              <w:t>Mandatory GEF Core Indicator 5: Area of marine habitat under improved practices</w:t>
            </w:r>
            <w:r w:rsidRPr="002926D7">
              <w:rPr>
                <w:rFonts w:cstheme="minorHAnsi"/>
                <w:b/>
                <w:sz w:val="18"/>
                <w:szCs w:val="18"/>
              </w:rPr>
              <w:t xml:space="preserve"> to benefit biodiversity </w:t>
            </w:r>
            <w:r w:rsidRPr="002926D7">
              <w:rPr>
                <w:rFonts w:cstheme="minorHAnsi"/>
                <w:bCs/>
                <w:sz w:val="18"/>
                <w:szCs w:val="18"/>
              </w:rPr>
              <w:t>(hectare) (GEF core indicator 5)</w:t>
            </w:r>
          </w:p>
        </w:tc>
        <w:tc>
          <w:tcPr>
            <w:tcW w:w="1292" w:type="dxa"/>
            <w:tcBorders>
              <w:top w:val="single" w:sz="4" w:space="0" w:color="auto"/>
              <w:left w:val="single" w:sz="4" w:space="0" w:color="auto"/>
              <w:bottom w:val="single" w:sz="4" w:space="0" w:color="auto"/>
              <w:right w:val="single" w:sz="4" w:space="0" w:color="auto"/>
            </w:tcBorders>
            <w:hideMark/>
          </w:tcPr>
          <w:p w14:paraId="290691E1" w14:textId="77777777" w:rsidR="00025B2D" w:rsidRPr="002926D7" w:rsidRDefault="00025B2D" w:rsidP="002926D7">
            <w:pPr>
              <w:jc w:val="left"/>
              <w:rPr>
                <w:rFonts w:cstheme="minorHAnsi"/>
                <w:bCs/>
                <w:iCs/>
                <w:sz w:val="18"/>
                <w:szCs w:val="18"/>
              </w:rPr>
            </w:pPr>
            <w:r w:rsidRPr="002926D7">
              <w:rPr>
                <w:rFonts w:cstheme="minorHAnsi"/>
                <w:bCs/>
                <w:iCs/>
                <w:sz w:val="18"/>
                <w:szCs w:val="18"/>
              </w:rPr>
              <w:t>AMR</w:t>
            </w:r>
          </w:p>
        </w:tc>
        <w:tc>
          <w:tcPr>
            <w:tcW w:w="1707" w:type="dxa"/>
            <w:tcBorders>
              <w:top w:val="single" w:sz="4" w:space="0" w:color="auto"/>
              <w:left w:val="single" w:sz="4" w:space="0" w:color="auto"/>
              <w:bottom w:val="single" w:sz="4" w:space="0" w:color="auto"/>
              <w:right w:val="single" w:sz="4" w:space="0" w:color="auto"/>
            </w:tcBorders>
            <w:hideMark/>
          </w:tcPr>
          <w:p w14:paraId="7C173462" w14:textId="77777777" w:rsidR="00025B2D" w:rsidRPr="002926D7" w:rsidRDefault="00025B2D" w:rsidP="002926D7">
            <w:pPr>
              <w:jc w:val="left"/>
              <w:rPr>
                <w:rFonts w:cstheme="minorHAnsi"/>
                <w:bCs/>
                <w:iCs/>
                <w:sz w:val="18"/>
                <w:szCs w:val="18"/>
              </w:rPr>
            </w:pPr>
            <w:r w:rsidRPr="002926D7">
              <w:rPr>
                <w:rFonts w:cstheme="minorHAnsi"/>
                <w:bCs/>
                <w:iCs/>
                <w:sz w:val="18"/>
                <w:szCs w:val="18"/>
              </w:rPr>
              <w:t>77,118</w:t>
            </w:r>
          </w:p>
          <w:p w14:paraId="21419707" w14:textId="77777777" w:rsidR="00025B2D" w:rsidRPr="002926D7" w:rsidRDefault="00025B2D" w:rsidP="002926D7">
            <w:pPr>
              <w:jc w:val="left"/>
              <w:rPr>
                <w:rFonts w:cstheme="minorHAnsi"/>
                <w:bCs/>
                <w:iCs/>
                <w:sz w:val="18"/>
                <w:szCs w:val="18"/>
              </w:rPr>
            </w:pPr>
            <w:r w:rsidRPr="002926D7">
              <w:rPr>
                <w:rFonts w:cstheme="minorHAnsi"/>
                <w:bCs/>
                <w:iCs/>
                <w:sz w:val="18"/>
                <w:szCs w:val="18"/>
              </w:rPr>
              <w:t>Source: 2023 AMR</w:t>
            </w:r>
          </w:p>
        </w:tc>
        <w:tc>
          <w:tcPr>
            <w:tcW w:w="1799" w:type="dxa"/>
            <w:tcBorders>
              <w:top w:val="single" w:sz="4" w:space="0" w:color="auto"/>
              <w:left w:val="single" w:sz="4" w:space="0" w:color="auto"/>
              <w:bottom w:val="single" w:sz="4" w:space="0" w:color="auto"/>
              <w:right w:val="single" w:sz="4" w:space="0" w:color="auto"/>
            </w:tcBorders>
            <w:hideMark/>
          </w:tcPr>
          <w:p w14:paraId="6C4BB218" w14:textId="77777777" w:rsidR="00025B2D" w:rsidRPr="002926D7" w:rsidRDefault="00025B2D" w:rsidP="002926D7">
            <w:pPr>
              <w:jc w:val="left"/>
              <w:rPr>
                <w:rFonts w:cstheme="minorHAnsi"/>
                <w:bCs/>
                <w:iCs/>
                <w:sz w:val="18"/>
                <w:szCs w:val="18"/>
              </w:rPr>
            </w:pPr>
            <w:r w:rsidRPr="002926D7">
              <w:rPr>
                <w:rFonts w:cstheme="minorHAnsi"/>
                <w:bCs/>
                <w:iCs/>
                <w:sz w:val="18"/>
                <w:szCs w:val="18"/>
              </w:rPr>
              <w:t>80,000 ha</w:t>
            </w:r>
          </w:p>
        </w:tc>
        <w:tc>
          <w:tcPr>
            <w:tcW w:w="1718" w:type="dxa"/>
            <w:tcBorders>
              <w:top w:val="single" w:sz="4" w:space="0" w:color="auto"/>
              <w:left w:val="single" w:sz="4" w:space="0" w:color="auto"/>
              <w:bottom w:val="single" w:sz="4" w:space="0" w:color="auto"/>
              <w:right w:val="single" w:sz="4" w:space="0" w:color="auto"/>
            </w:tcBorders>
            <w:hideMark/>
          </w:tcPr>
          <w:p w14:paraId="2EFC38A8" w14:textId="77777777" w:rsidR="00025B2D" w:rsidRPr="002926D7" w:rsidRDefault="00025B2D" w:rsidP="002926D7">
            <w:pPr>
              <w:jc w:val="left"/>
              <w:rPr>
                <w:rFonts w:cstheme="minorHAnsi"/>
                <w:bCs/>
                <w:iCs/>
                <w:sz w:val="18"/>
                <w:szCs w:val="18"/>
              </w:rPr>
            </w:pPr>
            <w:r w:rsidRPr="002926D7">
              <w:rPr>
                <w:rFonts w:cstheme="minorHAnsi"/>
                <w:bCs/>
                <w:iCs/>
                <w:sz w:val="18"/>
                <w:szCs w:val="18"/>
              </w:rPr>
              <w:t>270,000 ha</w:t>
            </w:r>
          </w:p>
        </w:tc>
        <w:tc>
          <w:tcPr>
            <w:tcW w:w="1531" w:type="dxa"/>
            <w:tcBorders>
              <w:top w:val="single" w:sz="4" w:space="0" w:color="auto"/>
              <w:left w:val="single" w:sz="4" w:space="0" w:color="auto"/>
              <w:bottom w:val="single" w:sz="4" w:space="0" w:color="auto"/>
              <w:right w:val="single" w:sz="4" w:space="0" w:color="auto"/>
            </w:tcBorders>
            <w:hideMark/>
          </w:tcPr>
          <w:p w14:paraId="1D165B47" w14:textId="77777777" w:rsidR="00025B2D" w:rsidRPr="002926D7" w:rsidRDefault="00025B2D" w:rsidP="002926D7">
            <w:pPr>
              <w:jc w:val="left"/>
              <w:rPr>
                <w:rFonts w:cs="Calibri"/>
                <w:sz w:val="18"/>
                <w:szCs w:val="18"/>
              </w:rPr>
            </w:pPr>
            <w:r w:rsidRPr="002926D7">
              <w:rPr>
                <w:rFonts w:cs="Calibri"/>
                <w:sz w:val="18"/>
                <w:szCs w:val="18"/>
              </w:rPr>
              <w:t>Grantee monitoring reports; Impact reviews; SGP database</w:t>
            </w:r>
          </w:p>
          <w:p w14:paraId="7DB868E3" w14:textId="77777777" w:rsidR="00025B2D" w:rsidRPr="002926D7" w:rsidRDefault="00025B2D" w:rsidP="002926D7">
            <w:pPr>
              <w:jc w:val="left"/>
              <w:rPr>
                <w:rFonts w:cstheme="minorHAnsi"/>
                <w:bCs/>
                <w:iCs/>
                <w:sz w:val="18"/>
                <w:szCs w:val="18"/>
              </w:rPr>
            </w:pPr>
          </w:p>
        </w:tc>
        <w:tc>
          <w:tcPr>
            <w:tcW w:w="2155" w:type="dxa"/>
            <w:tcBorders>
              <w:top w:val="single" w:sz="4" w:space="0" w:color="auto"/>
              <w:left w:val="single" w:sz="4" w:space="0" w:color="auto"/>
              <w:bottom w:val="single" w:sz="4" w:space="0" w:color="auto"/>
              <w:right w:val="single" w:sz="4" w:space="0" w:color="auto"/>
            </w:tcBorders>
            <w:hideMark/>
          </w:tcPr>
          <w:p w14:paraId="269CD237" w14:textId="77777777" w:rsidR="00025B2D" w:rsidRPr="002926D7" w:rsidRDefault="00025B2D" w:rsidP="002926D7">
            <w:pPr>
              <w:jc w:val="left"/>
              <w:rPr>
                <w:rFonts w:cstheme="minorHAnsi"/>
                <w:bCs/>
                <w:iCs/>
                <w:sz w:val="18"/>
                <w:szCs w:val="18"/>
              </w:rPr>
            </w:pPr>
            <w:r w:rsidRPr="002926D7">
              <w:rPr>
                <w:rFonts w:cstheme="minorHAnsi"/>
                <w:bCs/>
                <w:iCs/>
                <w:sz w:val="18"/>
                <w:szCs w:val="18"/>
              </w:rPr>
              <w:t>Supportive policies are in place at the national and local levels.</w:t>
            </w:r>
          </w:p>
          <w:p w14:paraId="6939444C" w14:textId="77777777" w:rsidR="00025B2D" w:rsidRPr="002926D7" w:rsidRDefault="00025B2D" w:rsidP="002926D7">
            <w:pPr>
              <w:jc w:val="left"/>
              <w:rPr>
                <w:rFonts w:cstheme="minorHAnsi"/>
                <w:bCs/>
                <w:iCs/>
                <w:sz w:val="18"/>
                <w:szCs w:val="18"/>
              </w:rPr>
            </w:pPr>
            <w:r w:rsidRPr="002926D7">
              <w:rPr>
                <w:rFonts w:cstheme="minorHAnsi"/>
                <w:bCs/>
                <w:iCs/>
                <w:sz w:val="18"/>
                <w:szCs w:val="18"/>
              </w:rPr>
              <w:t>Ongoing research and monitoring efforts contribute to the identification and promotion of improved practices that benefit marine biodiversity.</w:t>
            </w:r>
          </w:p>
        </w:tc>
      </w:tr>
      <w:tr w:rsidR="004F0787" w:rsidRPr="002926D7" w14:paraId="1C07ED93" w14:textId="77777777" w:rsidTr="00025B2D">
        <w:trPr>
          <w:trHeight w:val="350"/>
        </w:trPr>
        <w:tc>
          <w:tcPr>
            <w:tcW w:w="1525" w:type="dxa"/>
            <w:vMerge/>
            <w:tcBorders>
              <w:left w:val="single" w:sz="4" w:space="0" w:color="auto"/>
              <w:bottom w:val="single" w:sz="4" w:space="0" w:color="auto"/>
              <w:right w:val="single" w:sz="4" w:space="0" w:color="auto"/>
            </w:tcBorders>
            <w:vAlign w:val="center"/>
          </w:tcPr>
          <w:p w14:paraId="189FB4F5" w14:textId="77777777" w:rsidR="004F0787" w:rsidRPr="002926D7" w:rsidRDefault="004F0787" w:rsidP="002926D7">
            <w:pPr>
              <w:jc w:val="left"/>
              <w:rPr>
                <w:rFonts w:cstheme="minorHAnsi"/>
                <w:b/>
                <w:bCs/>
                <w:sz w:val="18"/>
                <w:szCs w:val="18"/>
              </w:rPr>
            </w:pPr>
          </w:p>
        </w:tc>
        <w:tc>
          <w:tcPr>
            <w:tcW w:w="2668" w:type="dxa"/>
            <w:tcBorders>
              <w:top w:val="single" w:sz="4" w:space="0" w:color="auto"/>
              <w:left w:val="single" w:sz="4" w:space="0" w:color="auto"/>
              <w:bottom w:val="single" w:sz="4" w:space="0" w:color="auto"/>
              <w:right w:val="single" w:sz="4" w:space="0" w:color="auto"/>
            </w:tcBorders>
          </w:tcPr>
          <w:p w14:paraId="41EDC796" w14:textId="6D66B526" w:rsidR="004F0787" w:rsidRPr="002926D7" w:rsidRDefault="004F0787" w:rsidP="002926D7">
            <w:pPr>
              <w:jc w:val="left"/>
              <w:rPr>
                <w:rFonts w:cstheme="minorHAnsi"/>
                <w:b/>
                <w:bCs/>
                <w:sz w:val="18"/>
                <w:szCs w:val="18"/>
              </w:rPr>
            </w:pPr>
            <w:r w:rsidRPr="002926D7">
              <w:rPr>
                <w:rFonts w:asciiTheme="minorHAnsi" w:hAnsiTheme="minorHAnsi" w:cstheme="minorHAnsi"/>
                <w:b/>
                <w:bCs/>
                <w:sz w:val="18"/>
                <w:szCs w:val="18"/>
              </w:rPr>
              <w:t>Mandatory</w:t>
            </w:r>
            <w:r w:rsidR="0063256A" w:rsidRPr="002926D7">
              <w:rPr>
                <w:rFonts w:asciiTheme="minorHAnsi" w:hAnsiTheme="minorHAnsi" w:cstheme="minorHAnsi"/>
                <w:b/>
                <w:bCs/>
                <w:sz w:val="18"/>
                <w:szCs w:val="18"/>
              </w:rPr>
              <w:t xml:space="preserve"> GEF Core </w:t>
            </w:r>
            <w:r w:rsidRPr="002926D7">
              <w:rPr>
                <w:rFonts w:asciiTheme="minorHAnsi" w:hAnsiTheme="minorHAnsi" w:cstheme="minorHAnsi"/>
                <w:b/>
                <w:bCs/>
                <w:sz w:val="18"/>
                <w:szCs w:val="18"/>
              </w:rPr>
              <w:t xml:space="preserve">Indicator 6: Greenhouse gas emission mitigated </w:t>
            </w:r>
            <w:r w:rsidRPr="002926D7">
              <w:rPr>
                <w:rFonts w:asciiTheme="minorHAnsi" w:hAnsiTheme="minorHAnsi" w:cstheme="minorHAnsi"/>
                <w:sz w:val="18"/>
                <w:szCs w:val="18"/>
              </w:rPr>
              <w:t xml:space="preserve">(metric tons of CO2e) </w:t>
            </w:r>
          </w:p>
        </w:tc>
        <w:tc>
          <w:tcPr>
            <w:tcW w:w="1292" w:type="dxa"/>
            <w:tcBorders>
              <w:top w:val="single" w:sz="4" w:space="0" w:color="auto"/>
              <w:left w:val="single" w:sz="4" w:space="0" w:color="auto"/>
              <w:bottom w:val="single" w:sz="4" w:space="0" w:color="auto"/>
              <w:right w:val="single" w:sz="4" w:space="0" w:color="auto"/>
            </w:tcBorders>
          </w:tcPr>
          <w:p w14:paraId="5A0EA241" w14:textId="2724D0C6" w:rsidR="004F0787" w:rsidRPr="002926D7" w:rsidRDefault="004F0787" w:rsidP="002926D7">
            <w:pPr>
              <w:jc w:val="left"/>
              <w:rPr>
                <w:rFonts w:cstheme="minorHAnsi"/>
                <w:bCs/>
                <w:iCs/>
                <w:sz w:val="18"/>
                <w:szCs w:val="18"/>
              </w:rPr>
            </w:pPr>
            <w:r w:rsidRPr="002926D7">
              <w:rPr>
                <w:rFonts w:asciiTheme="minorHAnsi" w:hAnsiTheme="minorHAnsi" w:cstheme="minorHAnsi"/>
                <w:bCs/>
                <w:iCs/>
                <w:sz w:val="18"/>
                <w:szCs w:val="18"/>
              </w:rPr>
              <w:t>AMR</w:t>
            </w:r>
          </w:p>
        </w:tc>
        <w:tc>
          <w:tcPr>
            <w:tcW w:w="1707" w:type="dxa"/>
            <w:tcBorders>
              <w:top w:val="single" w:sz="4" w:space="0" w:color="auto"/>
              <w:left w:val="single" w:sz="4" w:space="0" w:color="auto"/>
              <w:bottom w:val="single" w:sz="4" w:space="0" w:color="auto"/>
              <w:right w:val="single" w:sz="4" w:space="0" w:color="auto"/>
            </w:tcBorders>
          </w:tcPr>
          <w:p w14:paraId="4A6A0609" w14:textId="77777777" w:rsidR="004F0787" w:rsidRPr="002926D7" w:rsidRDefault="004F0787" w:rsidP="002926D7">
            <w:pPr>
              <w:jc w:val="left"/>
              <w:rPr>
                <w:rFonts w:asciiTheme="minorHAnsi" w:hAnsiTheme="minorHAnsi" w:cstheme="minorHAnsi"/>
                <w:bCs/>
                <w:iCs/>
                <w:sz w:val="18"/>
                <w:szCs w:val="18"/>
              </w:rPr>
            </w:pPr>
            <w:r w:rsidRPr="002926D7">
              <w:rPr>
                <w:rFonts w:asciiTheme="minorHAnsi" w:hAnsiTheme="minorHAnsi" w:cstheme="minorHAnsi"/>
                <w:bCs/>
                <w:iCs/>
                <w:sz w:val="18"/>
                <w:szCs w:val="18"/>
              </w:rPr>
              <w:t>205 climate change mitigation projects completed in 2022-2023 reporting period.</w:t>
            </w:r>
          </w:p>
          <w:p w14:paraId="7E736C81" w14:textId="60765365" w:rsidR="004F0787" w:rsidRPr="002926D7" w:rsidRDefault="004F0787" w:rsidP="002926D7">
            <w:pPr>
              <w:jc w:val="left"/>
              <w:rPr>
                <w:rFonts w:cstheme="minorHAnsi"/>
                <w:bCs/>
                <w:iCs/>
                <w:sz w:val="18"/>
                <w:szCs w:val="18"/>
              </w:rPr>
            </w:pPr>
            <w:r w:rsidRPr="002926D7">
              <w:rPr>
                <w:rFonts w:asciiTheme="minorHAnsi" w:hAnsiTheme="minorHAnsi" w:cstheme="minorHAnsi"/>
                <w:bCs/>
                <w:iCs/>
                <w:sz w:val="18"/>
                <w:szCs w:val="18"/>
              </w:rPr>
              <w:t>Source: 2023 AMR</w:t>
            </w:r>
          </w:p>
        </w:tc>
        <w:tc>
          <w:tcPr>
            <w:tcW w:w="1799" w:type="dxa"/>
            <w:tcBorders>
              <w:top w:val="single" w:sz="4" w:space="0" w:color="auto"/>
              <w:left w:val="single" w:sz="4" w:space="0" w:color="auto"/>
              <w:bottom w:val="single" w:sz="4" w:space="0" w:color="auto"/>
              <w:right w:val="single" w:sz="4" w:space="0" w:color="auto"/>
            </w:tcBorders>
          </w:tcPr>
          <w:p w14:paraId="2D168959" w14:textId="366A3883" w:rsidR="004F0787" w:rsidRPr="002926D7" w:rsidRDefault="004F0787" w:rsidP="002926D7">
            <w:pPr>
              <w:jc w:val="left"/>
              <w:rPr>
                <w:rFonts w:cstheme="minorHAnsi"/>
                <w:bCs/>
                <w:iCs/>
                <w:sz w:val="18"/>
                <w:szCs w:val="18"/>
              </w:rPr>
            </w:pPr>
            <w:r w:rsidRPr="002926D7">
              <w:rPr>
                <w:rFonts w:asciiTheme="minorHAnsi" w:hAnsiTheme="minorHAnsi" w:cstheme="minorHAnsi"/>
                <w:bCs/>
                <w:iCs/>
                <w:sz w:val="18"/>
                <w:szCs w:val="18"/>
              </w:rPr>
              <w:t>TBD</w:t>
            </w:r>
          </w:p>
        </w:tc>
        <w:tc>
          <w:tcPr>
            <w:tcW w:w="1718" w:type="dxa"/>
            <w:tcBorders>
              <w:top w:val="single" w:sz="4" w:space="0" w:color="auto"/>
              <w:left w:val="single" w:sz="4" w:space="0" w:color="auto"/>
              <w:bottom w:val="single" w:sz="4" w:space="0" w:color="auto"/>
              <w:right w:val="single" w:sz="4" w:space="0" w:color="auto"/>
            </w:tcBorders>
          </w:tcPr>
          <w:p w14:paraId="549FF82B" w14:textId="2406C5DE" w:rsidR="004F0787" w:rsidRPr="002926D7" w:rsidRDefault="004F0787" w:rsidP="002926D7">
            <w:pPr>
              <w:jc w:val="left"/>
              <w:rPr>
                <w:rFonts w:cstheme="minorHAnsi"/>
                <w:bCs/>
                <w:iCs/>
                <w:sz w:val="18"/>
                <w:szCs w:val="18"/>
              </w:rPr>
            </w:pPr>
            <w:r w:rsidRPr="002926D7">
              <w:rPr>
                <w:rFonts w:asciiTheme="minorHAnsi" w:hAnsiTheme="minorHAnsi" w:cstheme="minorHAnsi"/>
                <w:bCs/>
                <w:iCs/>
                <w:sz w:val="18"/>
                <w:szCs w:val="18"/>
              </w:rPr>
              <w:t>TBD</w:t>
            </w:r>
          </w:p>
        </w:tc>
        <w:tc>
          <w:tcPr>
            <w:tcW w:w="1531" w:type="dxa"/>
            <w:tcBorders>
              <w:top w:val="single" w:sz="4" w:space="0" w:color="auto"/>
              <w:left w:val="single" w:sz="4" w:space="0" w:color="auto"/>
              <w:bottom w:val="single" w:sz="4" w:space="0" w:color="auto"/>
              <w:right w:val="single" w:sz="4" w:space="0" w:color="auto"/>
            </w:tcBorders>
          </w:tcPr>
          <w:p w14:paraId="1800657C" w14:textId="32E1AC0B" w:rsidR="004F0787" w:rsidRPr="002926D7" w:rsidRDefault="004F0787" w:rsidP="002926D7">
            <w:pPr>
              <w:jc w:val="left"/>
              <w:rPr>
                <w:rFonts w:cs="Calibri"/>
                <w:sz w:val="18"/>
                <w:szCs w:val="18"/>
              </w:rPr>
            </w:pPr>
            <w:r w:rsidRPr="002926D7">
              <w:rPr>
                <w:rFonts w:asciiTheme="minorHAnsi" w:hAnsiTheme="minorHAnsi" w:cstheme="minorHAnsi"/>
                <w:sz w:val="18"/>
                <w:szCs w:val="18"/>
              </w:rPr>
              <w:t>Grantee monitoring reports; Impact reviews; SGP database</w:t>
            </w:r>
          </w:p>
        </w:tc>
        <w:tc>
          <w:tcPr>
            <w:tcW w:w="2155" w:type="dxa"/>
            <w:tcBorders>
              <w:top w:val="single" w:sz="4" w:space="0" w:color="auto"/>
              <w:left w:val="single" w:sz="4" w:space="0" w:color="auto"/>
              <w:bottom w:val="single" w:sz="4" w:space="0" w:color="auto"/>
              <w:right w:val="single" w:sz="4" w:space="0" w:color="auto"/>
            </w:tcBorders>
          </w:tcPr>
          <w:p w14:paraId="6242140C" w14:textId="1691E609" w:rsidR="004F0787" w:rsidRPr="002926D7" w:rsidRDefault="004F0787" w:rsidP="002926D7">
            <w:pPr>
              <w:jc w:val="left"/>
              <w:rPr>
                <w:rFonts w:cstheme="minorHAnsi"/>
                <w:bCs/>
                <w:iCs/>
                <w:sz w:val="18"/>
                <w:szCs w:val="18"/>
              </w:rPr>
            </w:pPr>
            <w:r w:rsidRPr="002926D7">
              <w:rPr>
                <w:rFonts w:asciiTheme="minorHAnsi" w:hAnsiTheme="minorHAnsi" w:cstheme="minorHAnsi"/>
                <w:bCs/>
                <w:iCs/>
                <w:sz w:val="18"/>
                <w:szCs w:val="18"/>
              </w:rPr>
              <w:t>Mitigation benefits are expected to be achieved in the AFOLU sector (e.g., improved landscape management, restoration) and through deployment of low-GHG emission community technologies.</w:t>
            </w:r>
          </w:p>
        </w:tc>
      </w:tr>
      <w:tr w:rsidR="00AA2363" w:rsidRPr="002926D7" w14:paraId="3E3D31C2" w14:textId="77777777" w:rsidTr="00025B2D">
        <w:trPr>
          <w:trHeight w:val="575"/>
        </w:trPr>
        <w:tc>
          <w:tcPr>
            <w:tcW w:w="1525" w:type="dxa"/>
            <w:tcBorders>
              <w:top w:val="single" w:sz="4" w:space="0" w:color="auto"/>
              <w:left w:val="single" w:sz="4" w:space="0" w:color="auto"/>
              <w:bottom w:val="single" w:sz="4" w:space="0" w:color="auto"/>
              <w:right w:val="single" w:sz="4" w:space="0" w:color="auto"/>
            </w:tcBorders>
            <w:shd w:val="clear" w:color="auto" w:fill="E7E6E6"/>
            <w:hideMark/>
          </w:tcPr>
          <w:p w14:paraId="2E696BD6" w14:textId="77777777" w:rsidR="00AA2363" w:rsidRPr="002926D7" w:rsidRDefault="00AA2363" w:rsidP="002926D7">
            <w:pPr>
              <w:jc w:val="left"/>
              <w:rPr>
                <w:rFonts w:cstheme="minorHAnsi"/>
                <w:b/>
                <w:bCs/>
                <w:i/>
                <w:sz w:val="18"/>
                <w:szCs w:val="18"/>
              </w:rPr>
            </w:pPr>
            <w:r w:rsidRPr="002926D7">
              <w:rPr>
                <w:rFonts w:cstheme="minorHAnsi"/>
                <w:b/>
                <w:bCs/>
                <w:sz w:val="18"/>
                <w:szCs w:val="18"/>
              </w:rPr>
              <w:t xml:space="preserve">Project component 1 </w:t>
            </w:r>
          </w:p>
        </w:tc>
        <w:tc>
          <w:tcPr>
            <w:tcW w:w="12870" w:type="dxa"/>
            <w:gridSpan w:val="7"/>
            <w:tcBorders>
              <w:top w:val="single" w:sz="4" w:space="0" w:color="auto"/>
              <w:left w:val="single" w:sz="4" w:space="0" w:color="auto"/>
              <w:bottom w:val="single" w:sz="4" w:space="0" w:color="auto"/>
              <w:right w:val="single" w:sz="4" w:space="0" w:color="auto"/>
            </w:tcBorders>
            <w:shd w:val="clear" w:color="auto" w:fill="E7E6E6"/>
            <w:hideMark/>
          </w:tcPr>
          <w:p w14:paraId="1D5AC4D0" w14:textId="77777777" w:rsidR="00AA2363" w:rsidRPr="002926D7" w:rsidRDefault="00AA2363" w:rsidP="002926D7">
            <w:pPr>
              <w:jc w:val="left"/>
              <w:rPr>
                <w:rFonts w:cstheme="minorHAnsi"/>
                <w:b/>
                <w:bCs/>
                <w:i/>
                <w:iCs/>
                <w:sz w:val="18"/>
                <w:szCs w:val="18"/>
              </w:rPr>
            </w:pPr>
            <w:r w:rsidRPr="002926D7">
              <w:rPr>
                <w:rFonts w:cstheme="minorHAnsi"/>
                <w:b/>
                <w:bCs/>
                <w:sz w:val="18"/>
                <w:szCs w:val="18"/>
              </w:rPr>
              <w:t xml:space="preserve">Strategic Planning and Multi-Stakeholder Governance  </w:t>
            </w:r>
          </w:p>
        </w:tc>
      </w:tr>
      <w:tr w:rsidR="00C45730" w:rsidRPr="002926D7" w14:paraId="73C20E40" w14:textId="77777777" w:rsidTr="00391D6B">
        <w:trPr>
          <w:trHeight w:val="1871"/>
        </w:trPr>
        <w:tc>
          <w:tcPr>
            <w:tcW w:w="1525" w:type="dxa"/>
            <w:vMerge w:val="restart"/>
            <w:tcBorders>
              <w:top w:val="single" w:sz="4" w:space="0" w:color="auto"/>
              <w:left w:val="single" w:sz="4" w:space="0" w:color="auto"/>
              <w:right w:val="single" w:sz="4" w:space="0" w:color="auto"/>
            </w:tcBorders>
            <w:shd w:val="clear" w:color="auto" w:fill="D9D9D9"/>
            <w:hideMark/>
          </w:tcPr>
          <w:p w14:paraId="4CAAC348" w14:textId="7D420160" w:rsidR="00C45730" w:rsidRPr="002926D7" w:rsidRDefault="00C45730" w:rsidP="002926D7">
            <w:pPr>
              <w:jc w:val="left"/>
              <w:rPr>
                <w:rFonts w:cstheme="minorHAnsi"/>
                <w:b/>
                <w:bCs/>
                <w:sz w:val="18"/>
                <w:szCs w:val="18"/>
              </w:rPr>
            </w:pPr>
            <w:r w:rsidRPr="002926D7">
              <w:rPr>
                <w:rFonts w:cstheme="minorHAnsi"/>
                <w:b/>
                <w:bCs/>
                <w:sz w:val="18"/>
                <w:szCs w:val="18"/>
              </w:rPr>
              <w:t>Project Outcome</w:t>
            </w:r>
            <w:r w:rsidRPr="002926D7">
              <w:rPr>
                <w:rFonts w:cstheme="minorHAnsi"/>
                <w:b/>
                <w:bCs/>
                <w:sz w:val="18"/>
                <w:szCs w:val="18"/>
                <w:vertAlign w:val="superscript"/>
              </w:rPr>
              <w:footnoteReference w:id="11"/>
            </w:r>
            <w:r w:rsidRPr="002926D7">
              <w:rPr>
                <w:rFonts w:cstheme="minorHAnsi"/>
                <w:b/>
                <w:bCs/>
                <w:sz w:val="18"/>
                <w:szCs w:val="18"/>
              </w:rPr>
              <w:t xml:space="preserve"> 1.1. </w:t>
            </w:r>
            <w:r w:rsidRPr="002926D7">
              <w:rPr>
                <w:rFonts w:cstheme="minorHAnsi"/>
                <w:bCs/>
                <w:sz w:val="18"/>
                <w:szCs w:val="18"/>
              </w:rPr>
              <w:t>Enabling environment strengthened for effective community-</w:t>
            </w:r>
            <w:r w:rsidRPr="002926D7">
              <w:rPr>
                <w:rFonts w:cstheme="minorHAnsi"/>
                <w:bCs/>
                <w:sz w:val="18"/>
                <w:szCs w:val="18"/>
              </w:rPr>
              <w:lastRenderedPageBreak/>
              <w:t>driven integrated approaches</w:t>
            </w:r>
            <w:r w:rsidRPr="002926D7">
              <w:rPr>
                <w:rFonts w:cstheme="minorHAnsi"/>
                <w:b/>
                <w:bCs/>
                <w:sz w:val="18"/>
                <w:szCs w:val="18"/>
              </w:rPr>
              <w:t>.</w:t>
            </w:r>
          </w:p>
        </w:tc>
        <w:tc>
          <w:tcPr>
            <w:tcW w:w="2668" w:type="dxa"/>
            <w:tcBorders>
              <w:top w:val="single" w:sz="4" w:space="0" w:color="auto"/>
              <w:left w:val="single" w:sz="4" w:space="0" w:color="auto"/>
              <w:right w:val="single" w:sz="4" w:space="0" w:color="auto"/>
            </w:tcBorders>
          </w:tcPr>
          <w:p w14:paraId="4E1278E6" w14:textId="683BAAA5" w:rsidR="00C45730" w:rsidRPr="002926D7" w:rsidRDefault="00C45730" w:rsidP="002926D7">
            <w:pPr>
              <w:jc w:val="left"/>
              <w:rPr>
                <w:rFonts w:cstheme="minorHAnsi"/>
                <w:bCs/>
                <w:sz w:val="18"/>
                <w:szCs w:val="18"/>
              </w:rPr>
            </w:pPr>
            <w:r w:rsidRPr="002926D7">
              <w:rPr>
                <w:rFonts w:cstheme="minorHAnsi"/>
                <w:b/>
                <w:sz w:val="18"/>
                <w:szCs w:val="18"/>
              </w:rPr>
              <w:lastRenderedPageBreak/>
              <w:t>Indicator 7:</w:t>
            </w:r>
            <w:r w:rsidRPr="002926D7">
              <w:rPr>
                <w:rFonts w:cstheme="minorHAnsi"/>
                <w:bCs/>
                <w:sz w:val="18"/>
                <w:szCs w:val="18"/>
              </w:rPr>
              <w:t xml:space="preserve"> Number of countries with high-level p</w:t>
            </w:r>
            <w:r w:rsidRPr="002926D7">
              <w:rPr>
                <w:rFonts w:cstheme="minorHAnsi"/>
                <w:sz w:val="18"/>
                <w:szCs w:val="18"/>
              </w:rPr>
              <w:t xml:space="preserve">olicy changes associated with increased community participation in </w:t>
            </w:r>
            <w:r w:rsidRPr="002926D7">
              <w:rPr>
                <w:rFonts w:cstheme="minorHAnsi"/>
                <w:bCs/>
                <w:sz w:val="18"/>
                <w:szCs w:val="18"/>
              </w:rPr>
              <w:t>multi-stakeholder dialogue platforms.</w:t>
            </w:r>
          </w:p>
        </w:tc>
        <w:tc>
          <w:tcPr>
            <w:tcW w:w="1292" w:type="dxa"/>
            <w:tcBorders>
              <w:top w:val="single" w:sz="4" w:space="0" w:color="auto"/>
              <w:left w:val="single" w:sz="4" w:space="0" w:color="auto"/>
              <w:right w:val="single" w:sz="4" w:space="0" w:color="auto"/>
            </w:tcBorders>
            <w:shd w:val="clear" w:color="auto" w:fill="FFFFFF"/>
            <w:hideMark/>
          </w:tcPr>
          <w:p w14:paraId="35B4DDEE" w14:textId="77777777" w:rsidR="00C45730" w:rsidRPr="002926D7" w:rsidRDefault="00C45730" w:rsidP="002926D7">
            <w:pPr>
              <w:jc w:val="left"/>
              <w:rPr>
                <w:rFonts w:cstheme="minorHAnsi"/>
                <w:bCs/>
                <w:iCs/>
                <w:sz w:val="18"/>
                <w:szCs w:val="18"/>
              </w:rPr>
            </w:pPr>
            <w:r w:rsidRPr="002926D7">
              <w:rPr>
                <w:rFonts w:cstheme="minorHAnsi"/>
                <w:bCs/>
                <w:iCs/>
                <w:sz w:val="18"/>
                <w:szCs w:val="18"/>
              </w:rPr>
              <w:t>AMR</w:t>
            </w:r>
          </w:p>
        </w:tc>
        <w:tc>
          <w:tcPr>
            <w:tcW w:w="1707" w:type="dxa"/>
            <w:tcBorders>
              <w:top w:val="single" w:sz="4" w:space="0" w:color="auto"/>
              <w:left w:val="single" w:sz="4" w:space="0" w:color="auto"/>
              <w:right w:val="single" w:sz="4" w:space="0" w:color="auto"/>
            </w:tcBorders>
            <w:shd w:val="clear" w:color="auto" w:fill="FFFFFF"/>
            <w:hideMark/>
          </w:tcPr>
          <w:p w14:paraId="76B2CD26" w14:textId="77777777" w:rsidR="00C45730" w:rsidRPr="002926D7" w:rsidRDefault="00C45730" w:rsidP="002926D7">
            <w:pPr>
              <w:jc w:val="left"/>
              <w:rPr>
                <w:rFonts w:cstheme="minorHAnsi"/>
                <w:bCs/>
                <w:iCs/>
                <w:sz w:val="18"/>
                <w:szCs w:val="18"/>
              </w:rPr>
            </w:pPr>
            <w:r w:rsidRPr="002926D7">
              <w:rPr>
                <w:rFonts w:cstheme="minorHAnsi"/>
                <w:bCs/>
                <w:iCs/>
                <w:sz w:val="18"/>
                <w:szCs w:val="18"/>
              </w:rPr>
              <w:t>38 countries</w:t>
            </w:r>
          </w:p>
          <w:p w14:paraId="447514E7" w14:textId="77777777" w:rsidR="00C45730" w:rsidRPr="002926D7" w:rsidRDefault="00C45730" w:rsidP="002926D7">
            <w:pPr>
              <w:jc w:val="left"/>
              <w:rPr>
                <w:rFonts w:cstheme="minorHAnsi"/>
                <w:bCs/>
                <w:iCs/>
                <w:sz w:val="18"/>
                <w:szCs w:val="18"/>
              </w:rPr>
            </w:pPr>
            <w:r w:rsidRPr="002926D7">
              <w:rPr>
                <w:rFonts w:cstheme="minorHAnsi"/>
                <w:bCs/>
                <w:iCs/>
                <w:sz w:val="18"/>
                <w:szCs w:val="18"/>
              </w:rPr>
              <w:t>Source: 2023 AMR</w:t>
            </w:r>
          </w:p>
        </w:tc>
        <w:tc>
          <w:tcPr>
            <w:tcW w:w="1799" w:type="dxa"/>
            <w:tcBorders>
              <w:top w:val="single" w:sz="4" w:space="0" w:color="auto"/>
              <w:left w:val="single" w:sz="4" w:space="0" w:color="auto"/>
              <w:right w:val="single" w:sz="4" w:space="0" w:color="auto"/>
            </w:tcBorders>
            <w:shd w:val="clear" w:color="auto" w:fill="FFFFFF"/>
            <w:hideMark/>
          </w:tcPr>
          <w:p w14:paraId="5AAFC38C" w14:textId="77777777" w:rsidR="00C45730" w:rsidRPr="002926D7" w:rsidRDefault="00C45730" w:rsidP="002926D7">
            <w:pPr>
              <w:jc w:val="left"/>
              <w:rPr>
                <w:rFonts w:cstheme="minorHAnsi"/>
                <w:bCs/>
                <w:iCs/>
                <w:sz w:val="18"/>
                <w:szCs w:val="18"/>
              </w:rPr>
            </w:pPr>
            <w:r w:rsidRPr="002926D7">
              <w:rPr>
                <w:rFonts w:cstheme="minorHAnsi"/>
                <w:bCs/>
                <w:iCs/>
                <w:sz w:val="18"/>
                <w:szCs w:val="18"/>
              </w:rPr>
              <w:t>20 SGP countries</w:t>
            </w:r>
          </w:p>
        </w:tc>
        <w:tc>
          <w:tcPr>
            <w:tcW w:w="1718" w:type="dxa"/>
            <w:tcBorders>
              <w:top w:val="single" w:sz="4" w:space="0" w:color="auto"/>
              <w:left w:val="single" w:sz="4" w:space="0" w:color="auto"/>
              <w:right w:val="single" w:sz="4" w:space="0" w:color="auto"/>
            </w:tcBorders>
            <w:shd w:val="clear" w:color="auto" w:fill="FFFFFF"/>
            <w:hideMark/>
          </w:tcPr>
          <w:p w14:paraId="23EDC5B3" w14:textId="77777777" w:rsidR="00C45730" w:rsidRPr="002926D7" w:rsidRDefault="00C45730" w:rsidP="002926D7">
            <w:pPr>
              <w:jc w:val="left"/>
              <w:rPr>
                <w:rFonts w:cstheme="minorHAnsi"/>
                <w:iCs/>
                <w:sz w:val="18"/>
                <w:szCs w:val="18"/>
              </w:rPr>
            </w:pPr>
            <w:r w:rsidRPr="002926D7">
              <w:rPr>
                <w:rFonts w:cstheme="minorHAnsi"/>
                <w:sz w:val="18"/>
                <w:szCs w:val="18"/>
              </w:rPr>
              <w:t>50 SGP countries (approx. 50% of the OP8 Part 1 portfolio)</w:t>
            </w:r>
          </w:p>
        </w:tc>
        <w:tc>
          <w:tcPr>
            <w:tcW w:w="1531" w:type="dxa"/>
            <w:tcBorders>
              <w:top w:val="single" w:sz="4" w:space="0" w:color="auto"/>
              <w:left w:val="single" w:sz="4" w:space="0" w:color="auto"/>
              <w:right w:val="single" w:sz="4" w:space="0" w:color="auto"/>
            </w:tcBorders>
            <w:shd w:val="clear" w:color="auto" w:fill="FFFFFF"/>
            <w:hideMark/>
          </w:tcPr>
          <w:p w14:paraId="73C636D2" w14:textId="77777777" w:rsidR="00C45730" w:rsidRPr="002926D7" w:rsidRDefault="00C45730" w:rsidP="002926D7">
            <w:pPr>
              <w:jc w:val="left"/>
              <w:rPr>
                <w:rFonts w:cstheme="minorHAnsi"/>
                <w:iCs/>
                <w:sz w:val="18"/>
                <w:szCs w:val="18"/>
              </w:rPr>
            </w:pPr>
            <w:r w:rsidRPr="002926D7">
              <w:rPr>
                <w:rFonts w:cstheme="minorHAnsi"/>
                <w:bCs/>
                <w:iCs/>
                <w:sz w:val="18"/>
                <w:szCs w:val="18"/>
              </w:rPr>
              <w:t>Records of policy dialogues, policy briefs</w:t>
            </w:r>
          </w:p>
        </w:tc>
        <w:tc>
          <w:tcPr>
            <w:tcW w:w="2155" w:type="dxa"/>
            <w:vMerge w:val="restart"/>
            <w:tcBorders>
              <w:top w:val="single" w:sz="4" w:space="0" w:color="auto"/>
              <w:left w:val="single" w:sz="4" w:space="0" w:color="auto"/>
              <w:right w:val="single" w:sz="4" w:space="0" w:color="auto"/>
            </w:tcBorders>
            <w:shd w:val="clear" w:color="auto" w:fill="FFFFFF"/>
            <w:hideMark/>
          </w:tcPr>
          <w:p w14:paraId="18EF2475" w14:textId="3FCB2E83" w:rsidR="00C45730" w:rsidRPr="002926D7" w:rsidRDefault="00C45730" w:rsidP="002926D7">
            <w:pPr>
              <w:pStyle w:val="Default"/>
              <w:rPr>
                <w:rFonts w:asciiTheme="minorHAnsi" w:hAnsiTheme="minorHAnsi" w:cstheme="minorHAnsi"/>
                <w:sz w:val="18"/>
                <w:szCs w:val="18"/>
              </w:rPr>
            </w:pPr>
            <w:r w:rsidRPr="002926D7">
              <w:rPr>
                <w:rFonts w:asciiTheme="minorHAnsi" w:hAnsiTheme="minorHAnsi" w:cstheme="minorHAnsi"/>
                <w:sz w:val="18"/>
                <w:szCs w:val="18"/>
              </w:rPr>
              <w:t xml:space="preserve">Government and stakeholders are actively engaged. </w:t>
            </w:r>
          </w:p>
          <w:p w14:paraId="29566DE1" w14:textId="3A35E3E3" w:rsidR="00C45730" w:rsidRPr="002926D7" w:rsidRDefault="00C45730" w:rsidP="002926D7">
            <w:pPr>
              <w:jc w:val="left"/>
              <w:rPr>
                <w:rFonts w:cstheme="minorHAnsi"/>
                <w:iCs/>
                <w:sz w:val="18"/>
                <w:szCs w:val="18"/>
              </w:rPr>
            </w:pPr>
            <w:r w:rsidRPr="002926D7">
              <w:rPr>
                <w:rFonts w:cstheme="minorHAnsi"/>
                <w:sz w:val="18"/>
                <w:szCs w:val="18"/>
              </w:rPr>
              <w:t xml:space="preserve">Stakeholders have the capacity to generate clear outcomes and lessons learned. </w:t>
            </w:r>
          </w:p>
        </w:tc>
      </w:tr>
      <w:tr w:rsidR="00AA2363" w:rsidRPr="002926D7" w14:paraId="3A3CDB53" w14:textId="77777777" w:rsidTr="00025B2D">
        <w:trPr>
          <w:trHeight w:val="584"/>
        </w:trPr>
        <w:tc>
          <w:tcPr>
            <w:tcW w:w="1525" w:type="dxa"/>
            <w:vMerge/>
            <w:tcBorders>
              <w:left w:val="single" w:sz="4" w:space="0" w:color="auto"/>
              <w:right w:val="single" w:sz="4" w:space="0" w:color="auto"/>
            </w:tcBorders>
            <w:vAlign w:val="center"/>
            <w:hideMark/>
          </w:tcPr>
          <w:p w14:paraId="76A9B252" w14:textId="77777777" w:rsidR="00AA2363" w:rsidRPr="002926D7" w:rsidRDefault="00AA2363" w:rsidP="002926D7">
            <w:pPr>
              <w:jc w:val="left"/>
              <w:rPr>
                <w:rFonts w:cstheme="minorHAnsi"/>
                <w:b/>
                <w:bCs/>
                <w:sz w:val="18"/>
                <w:szCs w:val="18"/>
              </w:rPr>
            </w:pPr>
          </w:p>
        </w:tc>
        <w:tc>
          <w:tcPr>
            <w:tcW w:w="2668" w:type="dxa"/>
            <w:tcBorders>
              <w:top w:val="single" w:sz="4" w:space="0" w:color="auto"/>
              <w:left w:val="single" w:sz="4" w:space="0" w:color="auto"/>
              <w:bottom w:val="single" w:sz="4" w:space="0" w:color="auto"/>
              <w:right w:val="single" w:sz="4" w:space="0" w:color="auto"/>
            </w:tcBorders>
            <w:shd w:val="clear" w:color="auto" w:fill="FFFFFF"/>
            <w:hideMark/>
          </w:tcPr>
          <w:p w14:paraId="672AE467" w14:textId="540E7600" w:rsidR="00AA2363" w:rsidRPr="002926D7" w:rsidRDefault="00AA2363" w:rsidP="002926D7">
            <w:pPr>
              <w:jc w:val="left"/>
              <w:rPr>
                <w:rFonts w:cstheme="minorHAnsi"/>
                <w:iCs/>
                <w:sz w:val="18"/>
                <w:szCs w:val="18"/>
              </w:rPr>
            </w:pPr>
            <w:r w:rsidRPr="002926D7">
              <w:rPr>
                <w:rFonts w:cstheme="minorHAnsi"/>
                <w:b/>
                <w:iCs/>
                <w:sz w:val="18"/>
                <w:szCs w:val="18"/>
              </w:rPr>
              <w:t xml:space="preserve">Indicator </w:t>
            </w:r>
            <w:r w:rsidR="004F0787" w:rsidRPr="002926D7">
              <w:rPr>
                <w:rFonts w:cstheme="minorHAnsi"/>
                <w:b/>
                <w:iCs/>
                <w:sz w:val="18"/>
                <w:szCs w:val="18"/>
              </w:rPr>
              <w:t>8</w:t>
            </w:r>
            <w:r w:rsidRPr="002926D7">
              <w:rPr>
                <w:rFonts w:cstheme="minorHAnsi"/>
                <w:b/>
                <w:iCs/>
                <w:sz w:val="18"/>
                <w:szCs w:val="18"/>
              </w:rPr>
              <w:t>:</w:t>
            </w:r>
            <w:r w:rsidRPr="002926D7">
              <w:rPr>
                <w:rFonts w:cstheme="minorHAnsi"/>
                <w:bCs/>
                <w:iCs/>
                <w:sz w:val="18"/>
                <w:szCs w:val="18"/>
              </w:rPr>
              <w:t xml:space="preserve"> </w:t>
            </w:r>
            <w:r w:rsidRPr="002926D7">
              <w:rPr>
                <w:rFonts w:cstheme="minorHAnsi"/>
                <w:bCs/>
                <w:sz w:val="18"/>
                <w:szCs w:val="18"/>
              </w:rPr>
              <w:t>Number of representatives from social inclusion group (indigenous people, women, youth, persons with disability, farmers, other marginalized groups) meaningfully engaged in multi-stakeholder dialogue platforms.</w:t>
            </w:r>
          </w:p>
        </w:tc>
        <w:tc>
          <w:tcPr>
            <w:tcW w:w="1292" w:type="dxa"/>
            <w:tcBorders>
              <w:top w:val="single" w:sz="4" w:space="0" w:color="auto"/>
              <w:left w:val="single" w:sz="4" w:space="0" w:color="auto"/>
              <w:bottom w:val="single" w:sz="4" w:space="0" w:color="auto"/>
              <w:right w:val="single" w:sz="4" w:space="0" w:color="auto"/>
            </w:tcBorders>
            <w:shd w:val="clear" w:color="auto" w:fill="FFFFFF"/>
            <w:hideMark/>
          </w:tcPr>
          <w:p w14:paraId="738943EB" w14:textId="77777777" w:rsidR="00AA2363" w:rsidRPr="002926D7" w:rsidRDefault="00AA2363" w:rsidP="002926D7">
            <w:pPr>
              <w:jc w:val="left"/>
              <w:rPr>
                <w:rFonts w:cstheme="minorHAnsi"/>
                <w:bCs/>
                <w:iCs/>
                <w:sz w:val="18"/>
                <w:szCs w:val="18"/>
              </w:rPr>
            </w:pPr>
            <w:r w:rsidRPr="002926D7">
              <w:rPr>
                <w:rFonts w:cstheme="minorHAnsi"/>
                <w:bCs/>
                <w:iCs/>
                <w:sz w:val="18"/>
                <w:szCs w:val="18"/>
              </w:rPr>
              <w:t>AMR</w:t>
            </w:r>
          </w:p>
        </w:tc>
        <w:tc>
          <w:tcPr>
            <w:tcW w:w="1707" w:type="dxa"/>
            <w:tcBorders>
              <w:top w:val="single" w:sz="4" w:space="0" w:color="auto"/>
              <w:left w:val="single" w:sz="4" w:space="0" w:color="auto"/>
              <w:bottom w:val="single" w:sz="4" w:space="0" w:color="auto"/>
              <w:right w:val="single" w:sz="4" w:space="0" w:color="auto"/>
            </w:tcBorders>
            <w:shd w:val="clear" w:color="auto" w:fill="FFFFFF"/>
          </w:tcPr>
          <w:p w14:paraId="73FF7BEA" w14:textId="77777777" w:rsidR="00AA2363" w:rsidRPr="002926D7" w:rsidRDefault="00AA2363" w:rsidP="002926D7">
            <w:pPr>
              <w:jc w:val="left"/>
              <w:rPr>
                <w:rFonts w:cstheme="minorHAnsi"/>
                <w:bCs/>
                <w:sz w:val="18"/>
                <w:szCs w:val="18"/>
              </w:rPr>
            </w:pPr>
            <w:r w:rsidRPr="002926D7">
              <w:rPr>
                <w:rFonts w:cstheme="minorHAnsi"/>
                <w:bCs/>
                <w:sz w:val="18"/>
                <w:szCs w:val="18"/>
              </w:rPr>
              <w:t>4,579 (total number of representatives)</w:t>
            </w:r>
          </w:p>
          <w:p w14:paraId="2B41AF6E" w14:textId="77777777" w:rsidR="00AA2363" w:rsidRPr="002926D7" w:rsidRDefault="00AA2363" w:rsidP="002926D7">
            <w:pPr>
              <w:jc w:val="left"/>
              <w:rPr>
                <w:rFonts w:cstheme="minorHAnsi"/>
                <w:bCs/>
                <w:sz w:val="18"/>
                <w:szCs w:val="18"/>
              </w:rPr>
            </w:pPr>
            <w:r w:rsidRPr="002926D7">
              <w:rPr>
                <w:rFonts w:cstheme="minorHAnsi"/>
                <w:bCs/>
                <w:iCs/>
                <w:sz w:val="18"/>
                <w:szCs w:val="18"/>
              </w:rPr>
              <w:t>Source: 2023 AMR</w:t>
            </w:r>
          </w:p>
        </w:tc>
        <w:tc>
          <w:tcPr>
            <w:tcW w:w="1799" w:type="dxa"/>
            <w:tcBorders>
              <w:top w:val="single" w:sz="4" w:space="0" w:color="auto"/>
              <w:left w:val="single" w:sz="4" w:space="0" w:color="auto"/>
              <w:bottom w:val="single" w:sz="4" w:space="0" w:color="auto"/>
              <w:right w:val="single" w:sz="4" w:space="0" w:color="auto"/>
            </w:tcBorders>
            <w:shd w:val="clear" w:color="auto" w:fill="FFFFFF"/>
            <w:hideMark/>
          </w:tcPr>
          <w:p w14:paraId="11F3C656" w14:textId="77777777" w:rsidR="00AA2363" w:rsidRPr="002926D7" w:rsidRDefault="00AA2363" w:rsidP="002926D7">
            <w:pPr>
              <w:jc w:val="left"/>
              <w:rPr>
                <w:rFonts w:cstheme="minorHAnsi"/>
                <w:bCs/>
                <w:i/>
                <w:sz w:val="18"/>
                <w:szCs w:val="18"/>
              </w:rPr>
            </w:pPr>
            <w:r w:rsidRPr="002926D7">
              <w:rPr>
                <w:rFonts w:cstheme="minorHAnsi"/>
                <w:sz w:val="18"/>
                <w:szCs w:val="18"/>
              </w:rPr>
              <w:t>700</w:t>
            </w:r>
          </w:p>
        </w:tc>
        <w:tc>
          <w:tcPr>
            <w:tcW w:w="1718" w:type="dxa"/>
            <w:tcBorders>
              <w:top w:val="single" w:sz="4" w:space="0" w:color="auto"/>
              <w:left w:val="single" w:sz="4" w:space="0" w:color="auto"/>
              <w:bottom w:val="single" w:sz="4" w:space="0" w:color="auto"/>
              <w:right w:val="single" w:sz="4" w:space="0" w:color="auto"/>
            </w:tcBorders>
            <w:shd w:val="clear" w:color="auto" w:fill="FFFFFF"/>
            <w:hideMark/>
          </w:tcPr>
          <w:p w14:paraId="500C8DA2" w14:textId="77777777" w:rsidR="00AA2363" w:rsidRPr="002926D7" w:rsidRDefault="00AA2363" w:rsidP="002926D7">
            <w:pPr>
              <w:jc w:val="left"/>
              <w:rPr>
                <w:rFonts w:cstheme="minorHAnsi"/>
                <w:i/>
                <w:sz w:val="18"/>
                <w:szCs w:val="18"/>
              </w:rPr>
            </w:pPr>
            <w:r w:rsidRPr="002926D7">
              <w:rPr>
                <w:rFonts w:cstheme="minorHAnsi"/>
                <w:sz w:val="18"/>
                <w:szCs w:val="18"/>
              </w:rPr>
              <w:t>1,500</w:t>
            </w:r>
          </w:p>
        </w:tc>
        <w:tc>
          <w:tcPr>
            <w:tcW w:w="1531" w:type="dxa"/>
            <w:tcBorders>
              <w:top w:val="single" w:sz="4" w:space="0" w:color="auto"/>
              <w:left w:val="single" w:sz="4" w:space="0" w:color="auto"/>
              <w:bottom w:val="single" w:sz="4" w:space="0" w:color="auto"/>
              <w:right w:val="single" w:sz="4" w:space="0" w:color="auto"/>
            </w:tcBorders>
            <w:shd w:val="clear" w:color="auto" w:fill="FFFFFF"/>
            <w:hideMark/>
          </w:tcPr>
          <w:p w14:paraId="0CA26921" w14:textId="77777777" w:rsidR="00AA2363" w:rsidRPr="002926D7" w:rsidRDefault="00AA2363" w:rsidP="002926D7">
            <w:pPr>
              <w:jc w:val="left"/>
              <w:rPr>
                <w:rFonts w:cstheme="minorHAnsi"/>
                <w:i/>
                <w:sz w:val="18"/>
                <w:szCs w:val="18"/>
              </w:rPr>
            </w:pPr>
            <w:r w:rsidRPr="002926D7">
              <w:rPr>
                <w:rFonts w:cstheme="minorHAnsi"/>
                <w:bCs/>
                <w:iCs/>
                <w:sz w:val="18"/>
                <w:szCs w:val="18"/>
              </w:rPr>
              <w:t>Terms of reference of multi-stakeholder governance and dialogue platforms; records of meetings</w:t>
            </w:r>
          </w:p>
        </w:tc>
        <w:tc>
          <w:tcPr>
            <w:tcW w:w="2155" w:type="dxa"/>
            <w:vMerge/>
            <w:tcBorders>
              <w:left w:val="single" w:sz="4" w:space="0" w:color="auto"/>
              <w:right w:val="single" w:sz="4" w:space="0" w:color="auto"/>
            </w:tcBorders>
            <w:shd w:val="clear" w:color="auto" w:fill="FFFFFF"/>
            <w:hideMark/>
          </w:tcPr>
          <w:p w14:paraId="4DA7D255" w14:textId="77777777" w:rsidR="00AA2363" w:rsidRPr="002926D7" w:rsidRDefault="00AA2363" w:rsidP="002926D7">
            <w:pPr>
              <w:pStyle w:val="Default"/>
              <w:rPr>
                <w:rFonts w:cstheme="minorHAnsi"/>
                <w:i/>
                <w:sz w:val="18"/>
                <w:szCs w:val="18"/>
              </w:rPr>
            </w:pPr>
          </w:p>
        </w:tc>
      </w:tr>
      <w:tr w:rsidR="00C45730" w:rsidRPr="002926D7" w14:paraId="339138D9" w14:textId="77777777" w:rsidTr="00025B2D">
        <w:trPr>
          <w:trHeight w:val="584"/>
        </w:trPr>
        <w:tc>
          <w:tcPr>
            <w:tcW w:w="1525" w:type="dxa"/>
            <w:vMerge/>
            <w:tcBorders>
              <w:left w:val="single" w:sz="4" w:space="0" w:color="auto"/>
              <w:bottom w:val="single" w:sz="4" w:space="0" w:color="auto"/>
              <w:right w:val="single" w:sz="4" w:space="0" w:color="auto"/>
            </w:tcBorders>
            <w:vAlign w:val="center"/>
          </w:tcPr>
          <w:p w14:paraId="77DAEE57" w14:textId="77777777" w:rsidR="00C45730" w:rsidRPr="002926D7" w:rsidRDefault="00C45730" w:rsidP="002926D7">
            <w:pPr>
              <w:jc w:val="left"/>
              <w:rPr>
                <w:rFonts w:cstheme="minorHAnsi"/>
                <w:b/>
                <w:bCs/>
                <w:sz w:val="18"/>
                <w:szCs w:val="18"/>
              </w:rPr>
            </w:pPr>
          </w:p>
        </w:tc>
        <w:tc>
          <w:tcPr>
            <w:tcW w:w="2668" w:type="dxa"/>
            <w:tcBorders>
              <w:top w:val="single" w:sz="4" w:space="0" w:color="auto"/>
              <w:left w:val="single" w:sz="4" w:space="0" w:color="auto"/>
              <w:bottom w:val="single" w:sz="4" w:space="0" w:color="auto"/>
              <w:right w:val="single" w:sz="4" w:space="0" w:color="auto"/>
            </w:tcBorders>
            <w:shd w:val="clear" w:color="auto" w:fill="FFFFFF"/>
          </w:tcPr>
          <w:p w14:paraId="24F678D7" w14:textId="1693C96D" w:rsidR="00C45730" w:rsidRPr="002926D7" w:rsidRDefault="00C45730" w:rsidP="002926D7">
            <w:pPr>
              <w:jc w:val="left"/>
              <w:rPr>
                <w:rFonts w:cstheme="minorHAnsi"/>
                <w:b/>
                <w:iCs/>
                <w:sz w:val="18"/>
                <w:szCs w:val="18"/>
              </w:rPr>
            </w:pPr>
            <w:r w:rsidRPr="002926D7">
              <w:rPr>
                <w:rFonts w:cstheme="minorHAnsi"/>
                <w:b/>
                <w:iCs/>
                <w:sz w:val="18"/>
                <w:szCs w:val="18"/>
              </w:rPr>
              <w:t xml:space="preserve">Indicator 9: </w:t>
            </w:r>
            <w:r w:rsidRPr="002926D7">
              <w:rPr>
                <w:rFonts w:cstheme="minorHAnsi"/>
                <w:bCs/>
                <w:iCs/>
                <w:sz w:val="18"/>
                <w:szCs w:val="18"/>
              </w:rPr>
              <w:t>Number of SGP countries supporting legal identity and legal empowerment issues.</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14:paraId="1E86A60D" w14:textId="3EA329DF" w:rsidR="00C45730" w:rsidRPr="002926D7" w:rsidRDefault="00C45730" w:rsidP="002926D7">
            <w:pPr>
              <w:jc w:val="left"/>
              <w:rPr>
                <w:rFonts w:cstheme="minorHAnsi"/>
                <w:bCs/>
                <w:iCs/>
                <w:sz w:val="18"/>
                <w:szCs w:val="18"/>
              </w:rPr>
            </w:pPr>
            <w:r w:rsidRPr="002926D7">
              <w:rPr>
                <w:rFonts w:asciiTheme="minorHAnsi" w:hAnsiTheme="minorHAnsi" w:cstheme="minorHAnsi"/>
                <w:bCs/>
                <w:iCs/>
                <w:sz w:val="18"/>
                <w:szCs w:val="18"/>
              </w:rPr>
              <w:t>AMR</w:t>
            </w:r>
          </w:p>
        </w:tc>
        <w:tc>
          <w:tcPr>
            <w:tcW w:w="1707" w:type="dxa"/>
            <w:tcBorders>
              <w:top w:val="single" w:sz="4" w:space="0" w:color="auto"/>
              <w:left w:val="single" w:sz="4" w:space="0" w:color="auto"/>
              <w:bottom w:val="single" w:sz="4" w:space="0" w:color="auto"/>
              <w:right w:val="single" w:sz="4" w:space="0" w:color="auto"/>
            </w:tcBorders>
            <w:shd w:val="clear" w:color="auto" w:fill="FFFFFF"/>
          </w:tcPr>
          <w:p w14:paraId="2E9D0150" w14:textId="148A3099" w:rsidR="00C45730" w:rsidRPr="002926D7" w:rsidRDefault="00C45730" w:rsidP="002926D7">
            <w:pPr>
              <w:jc w:val="left"/>
              <w:rPr>
                <w:rFonts w:cstheme="minorHAnsi"/>
                <w:bCs/>
                <w:sz w:val="18"/>
                <w:szCs w:val="18"/>
              </w:rPr>
            </w:pPr>
            <w:r w:rsidRPr="002926D7">
              <w:rPr>
                <w:rFonts w:asciiTheme="minorHAnsi" w:hAnsiTheme="minorHAnsi" w:cstheme="minorHAnsi"/>
                <w:bCs/>
                <w:sz w:val="18"/>
                <w:szCs w:val="18"/>
              </w:rPr>
              <w:t>New indicator</w:t>
            </w:r>
          </w:p>
        </w:tc>
        <w:tc>
          <w:tcPr>
            <w:tcW w:w="1799" w:type="dxa"/>
            <w:tcBorders>
              <w:top w:val="single" w:sz="4" w:space="0" w:color="auto"/>
              <w:left w:val="single" w:sz="4" w:space="0" w:color="auto"/>
              <w:bottom w:val="single" w:sz="4" w:space="0" w:color="auto"/>
              <w:right w:val="single" w:sz="4" w:space="0" w:color="auto"/>
            </w:tcBorders>
            <w:shd w:val="clear" w:color="auto" w:fill="FFFFFF"/>
          </w:tcPr>
          <w:p w14:paraId="58482391" w14:textId="1477163B" w:rsidR="00C45730" w:rsidRPr="002926D7" w:rsidRDefault="00C45730" w:rsidP="002926D7">
            <w:pPr>
              <w:jc w:val="left"/>
              <w:rPr>
                <w:rFonts w:cstheme="minorHAnsi"/>
                <w:sz w:val="18"/>
                <w:szCs w:val="18"/>
              </w:rPr>
            </w:pPr>
            <w:r w:rsidRPr="002926D7">
              <w:rPr>
                <w:rFonts w:cstheme="minorHAnsi"/>
                <w:sz w:val="18"/>
                <w:szCs w:val="18"/>
              </w:rPr>
              <w:t>25% of the countries participating in OP8 Part 1</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14:paraId="628952C8" w14:textId="379C9533" w:rsidR="00C45730" w:rsidRPr="002926D7" w:rsidRDefault="00C45730" w:rsidP="002926D7">
            <w:pPr>
              <w:jc w:val="left"/>
              <w:rPr>
                <w:rFonts w:cstheme="minorHAnsi"/>
                <w:sz w:val="18"/>
                <w:szCs w:val="18"/>
              </w:rPr>
            </w:pPr>
            <w:r w:rsidRPr="002926D7">
              <w:rPr>
                <w:rFonts w:cstheme="minorHAnsi"/>
                <w:sz w:val="18"/>
                <w:szCs w:val="18"/>
              </w:rPr>
              <w:t>50% of the countries participating in OP8 Part 1</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14:paraId="4939AC15" w14:textId="0D148F1C" w:rsidR="00C45730" w:rsidRPr="002926D7" w:rsidRDefault="00C45730" w:rsidP="002926D7">
            <w:pPr>
              <w:jc w:val="left"/>
              <w:rPr>
                <w:rFonts w:cs="Calibri"/>
                <w:sz w:val="18"/>
                <w:szCs w:val="18"/>
              </w:rPr>
            </w:pPr>
            <w:r w:rsidRPr="002926D7">
              <w:rPr>
                <w:rFonts w:cs="Calibri"/>
                <w:sz w:val="18"/>
                <w:szCs w:val="18"/>
              </w:rPr>
              <w:t>Country programme strategies; landscape-seascape strategies; impact reviews</w:t>
            </w:r>
          </w:p>
        </w:tc>
        <w:tc>
          <w:tcPr>
            <w:tcW w:w="2155" w:type="dxa"/>
            <w:vMerge/>
            <w:tcBorders>
              <w:left w:val="single" w:sz="4" w:space="0" w:color="auto"/>
              <w:bottom w:val="single" w:sz="4" w:space="0" w:color="auto"/>
              <w:right w:val="single" w:sz="4" w:space="0" w:color="auto"/>
            </w:tcBorders>
            <w:shd w:val="clear" w:color="auto" w:fill="FFFFFF"/>
          </w:tcPr>
          <w:p w14:paraId="448B6AE9" w14:textId="77777777" w:rsidR="00C45730" w:rsidRPr="002926D7" w:rsidRDefault="00C45730" w:rsidP="002926D7">
            <w:pPr>
              <w:pStyle w:val="Default"/>
              <w:rPr>
                <w:rFonts w:cstheme="minorHAnsi"/>
                <w:i/>
                <w:sz w:val="18"/>
                <w:szCs w:val="18"/>
              </w:rPr>
            </w:pPr>
          </w:p>
        </w:tc>
      </w:tr>
      <w:tr w:rsidR="00AA2363" w:rsidRPr="002926D7" w14:paraId="18886BAC" w14:textId="77777777" w:rsidTr="00025B2D">
        <w:trPr>
          <w:trHeight w:val="584"/>
        </w:trPr>
        <w:tc>
          <w:tcPr>
            <w:tcW w:w="1525" w:type="dxa"/>
            <w:vMerge/>
            <w:tcBorders>
              <w:left w:val="single" w:sz="4" w:space="0" w:color="auto"/>
              <w:bottom w:val="single" w:sz="4" w:space="0" w:color="auto"/>
              <w:right w:val="single" w:sz="4" w:space="0" w:color="auto"/>
            </w:tcBorders>
            <w:vAlign w:val="center"/>
          </w:tcPr>
          <w:p w14:paraId="4BB6CDD4" w14:textId="77777777" w:rsidR="00AA2363" w:rsidRPr="002926D7" w:rsidRDefault="00AA2363" w:rsidP="002926D7">
            <w:pPr>
              <w:jc w:val="left"/>
              <w:rPr>
                <w:rFonts w:cstheme="minorHAnsi"/>
                <w:b/>
                <w:bCs/>
                <w:sz w:val="18"/>
                <w:szCs w:val="18"/>
              </w:rPr>
            </w:pPr>
          </w:p>
        </w:tc>
        <w:tc>
          <w:tcPr>
            <w:tcW w:w="2668" w:type="dxa"/>
            <w:tcBorders>
              <w:top w:val="single" w:sz="4" w:space="0" w:color="auto"/>
              <w:left w:val="single" w:sz="4" w:space="0" w:color="auto"/>
              <w:bottom w:val="single" w:sz="4" w:space="0" w:color="auto"/>
              <w:right w:val="single" w:sz="4" w:space="0" w:color="auto"/>
            </w:tcBorders>
            <w:shd w:val="clear" w:color="auto" w:fill="FFFFFF"/>
          </w:tcPr>
          <w:p w14:paraId="3F030D37" w14:textId="49D1B3B8" w:rsidR="00AA2363" w:rsidRPr="002926D7" w:rsidRDefault="00AA2363" w:rsidP="002926D7">
            <w:pPr>
              <w:jc w:val="left"/>
              <w:rPr>
                <w:rFonts w:cstheme="minorHAnsi"/>
                <w:b/>
                <w:iCs/>
                <w:sz w:val="18"/>
                <w:szCs w:val="18"/>
              </w:rPr>
            </w:pPr>
            <w:r w:rsidRPr="002926D7">
              <w:rPr>
                <w:rFonts w:cstheme="minorHAnsi"/>
                <w:b/>
                <w:iCs/>
                <w:sz w:val="18"/>
                <w:szCs w:val="18"/>
              </w:rPr>
              <w:t xml:space="preserve">Indicator </w:t>
            </w:r>
            <w:r w:rsidR="0010636B" w:rsidRPr="002926D7">
              <w:rPr>
                <w:rFonts w:cstheme="minorHAnsi"/>
                <w:b/>
                <w:iCs/>
                <w:sz w:val="18"/>
                <w:szCs w:val="18"/>
              </w:rPr>
              <w:t>10</w:t>
            </w:r>
            <w:r w:rsidRPr="002926D7">
              <w:rPr>
                <w:rFonts w:cstheme="minorHAnsi"/>
                <w:b/>
                <w:iCs/>
                <w:sz w:val="18"/>
                <w:szCs w:val="18"/>
              </w:rPr>
              <w:t>:</w:t>
            </w:r>
            <w:r w:rsidRPr="002926D7">
              <w:rPr>
                <w:rFonts w:cstheme="minorHAnsi"/>
                <w:bCs/>
                <w:iCs/>
                <w:sz w:val="18"/>
                <w:szCs w:val="18"/>
              </w:rPr>
              <w:t xml:space="preserve"> </w:t>
            </w:r>
            <w:r w:rsidRPr="002926D7">
              <w:rPr>
                <w:rFonts w:cstheme="minorHAnsi"/>
                <w:bCs/>
                <w:sz w:val="18"/>
                <w:szCs w:val="18"/>
              </w:rPr>
              <w:t>Number of CSO-government-private sector dialogues formed or strengthened</w:t>
            </w:r>
          </w:p>
        </w:tc>
        <w:tc>
          <w:tcPr>
            <w:tcW w:w="1292" w:type="dxa"/>
            <w:tcBorders>
              <w:top w:val="single" w:sz="4" w:space="0" w:color="auto"/>
              <w:left w:val="single" w:sz="4" w:space="0" w:color="auto"/>
              <w:bottom w:val="single" w:sz="4" w:space="0" w:color="auto"/>
              <w:right w:val="single" w:sz="4" w:space="0" w:color="auto"/>
            </w:tcBorders>
            <w:shd w:val="clear" w:color="auto" w:fill="FFFFFF"/>
          </w:tcPr>
          <w:p w14:paraId="731ED098" w14:textId="77777777" w:rsidR="00AA2363" w:rsidRPr="002926D7" w:rsidRDefault="00AA2363" w:rsidP="002926D7">
            <w:pPr>
              <w:jc w:val="left"/>
              <w:rPr>
                <w:rFonts w:cstheme="minorHAnsi"/>
                <w:bCs/>
                <w:iCs/>
                <w:sz w:val="18"/>
                <w:szCs w:val="18"/>
              </w:rPr>
            </w:pPr>
            <w:r w:rsidRPr="002926D7">
              <w:rPr>
                <w:rFonts w:cstheme="minorHAnsi"/>
                <w:bCs/>
                <w:iCs/>
                <w:sz w:val="18"/>
                <w:szCs w:val="18"/>
              </w:rPr>
              <w:t>AMR</w:t>
            </w:r>
          </w:p>
        </w:tc>
        <w:tc>
          <w:tcPr>
            <w:tcW w:w="1707" w:type="dxa"/>
            <w:tcBorders>
              <w:top w:val="single" w:sz="4" w:space="0" w:color="auto"/>
              <w:left w:val="single" w:sz="4" w:space="0" w:color="auto"/>
              <w:bottom w:val="single" w:sz="4" w:space="0" w:color="auto"/>
              <w:right w:val="single" w:sz="4" w:space="0" w:color="auto"/>
            </w:tcBorders>
            <w:shd w:val="clear" w:color="auto" w:fill="FFFFFF"/>
          </w:tcPr>
          <w:p w14:paraId="00353A5A" w14:textId="77777777" w:rsidR="00AA2363" w:rsidRPr="002926D7" w:rsidRDefault="00AA2363" w:rsidP="002926D7">
            <w:pPr>
              <w:jc w:val="left"/>
              <w:rPr>
                <w:rFonts w:cstheme="minorHAnsi"/>
                <w:bCs/>
                <w:sz w:val="18"/>
                <w:szCs w:val="18"/>
              </w:rPr>
            </w:pPr>
            <w:r w:rsidRPr="002926D7">
              <w:rPr>
                <w:rFonts w:cstheme="minorHAnsi"/>
                <w:bCs/>
                <w:sz w:val="18"/>
                <w:szCs w:val="18"/>
              </w:rPr>
              <w:t>231</w:t>
            </w:r>
          </w:p>
          <w:p w14:paraId="150C4E2A" w14:textId="77777777" w:rsidR="00AA2363" w:rsidRPr="002926D7" w:rsidRDefault="00AA2363" w:rsidP="002926D7">
            <w:pPr>
              <w:jc w:val="left"/>
              <w:rPr>
                <w:rFonts w:cstheme="minorHAnsi"/>
                <w:bCs/>
                <w:sz w:val="18"/>
                <w:szCs w:val="18"/>
              </w:rPr>
            </w:pPr>
            <w:r w:rsidRPr="002926D7">
              <w:rPr>
                <w:rFonts w:cstheme="minorHAnsi"/>
                <w:bCs/>
                <w:sz w:val="18"/>
                <w:szCs w:val="18"/>
              </w:rPr>
              <w:t>Source: 2023 AMR</w:t>
            </w:r>
          </w:p>
        </w:tc>
        <w:tc>
          <w:tcPr>
            <w:tcW w:w="1799" w:type="dxa"/>
            <w:tcBorders>
              <w:top w:val="single" w:sz="4" w:space="0" w:color="auto"/>
              <w:left w:val="single" w:sz="4" w:space="0" w:color="auto"/>
              <w:bottom w:val="single" w:sz="4" w:space="0" w:color="auto"/>
              <w:right w:val="single" w:sz="4" w:space="0" w:color="auto"/>
            </w:tcBorders>
            <w:shd w:val="clear" w:color="auto" w:fill="FFFFFF"/>
          </w:tcPr>
          <w:p w14:paraId="141F4EF8" w14:textId="77777777" w:rsidR="00AA2363" w:rsidRPr="002926D7" w:rsidRDefault="00AA2363" w:rsidP="002926D7">
            <w:pPr>
              <w:jc w:val="left"/>
              <w:rPr>
                <w:rFonts w:cstheme="minorHAnsi"/>
                <w:sz w:val="18"/>
                <w:szCs w:val="18"/>
              </w:rPr>
            </w:pPr>
            <w:r w:rsidRPr="002926D7">
              <w:rPr>
                <w:rFonts w:cstheme="minorHAnsi"/>
                <w:sz w:val="18"/>
                <w:szCs w:val="18"/>
              </w:rPr>
              <w:t>90 dialogues</w:t>
            </w:r>
          </w:p>
        </w:tc>
        <w:tc>
          <w:tcPr>
            <w:tcW w:w="1718" w:type="dxa"/>
            <w:tcBorders>
              <w:top w:val="single" w:sz="4" w:space="0" w:color="auto"/>
              <w:left w:val="single" w:sz="4" w:space="0" w:color="auto"/>
              <w:bottom w:val="single" w:sz="4" w:space="0" w:color="auto"/>
              <w:right w:val="single" w:sz="4" w:space="0" w:color="auto"/>
            </w:tcBorders>
            <w:shd w:val="clear" w:color="auto" w:fill="FFFFFF"/>
          </w:tcPr>
          <w:p w14:paraId="10253A4C" w14:textId="77777777" w:rsidR="00AA2363" w:rsidRPr="002926D7" w:rsidRDefault="00AA2363" w:rsidP="002926D7">
            <w:pPr>
              <w:jc w:val="left"/>
              <w:rPr>
                <w:rFonts w:cstheme="minorHAnsi"/>
                <w:sz w:val="18"/>
                <w:szCs w:val="18"/>
              </w:rPr>
            </w:pPr>
            <w:r w:rsidRPr="002926D7">
              <w:rPr>
                <w:rFonts w:cstheme="minorHAnsi"/>
                <w:sz w:val="18"/>
                <w:szCs w:val="18"/>
              </w:rPr>
              <w:t>180 dialogues</w:t>
            </w:r>
          </w:p>
        </w:tc>
        <w:tc>
          <w:tcPr>
            <w:tcW w:w="1531" w:type="dxa"/>
            <w:tcBorders>
              <w:top w:val="single" w:sz="4" w:space="0" w:color="auto"/>
              <w:left w:val="single" w:sz="4" w:space="0" w:color="auto"/>
              <w:bottom w:val="single" w:sz="4" w:space="0" w:color="auto"/>
              <w:right w:val="single" w:sz="4" w:space="0" w:color="auto"/>
            </w:tcBorders>
            <w:shd w:val="clear" w:color="auto" w:fill="FFFFFF"/>
          </w:tcPr>
          <w:p w14:paraId="7F3A361A" w14:textId="77777777" w:rsidR="00AA2363" w:rsidRPr="002926D7" w:rsidRDefault="00AA2363" w:rsidP="002926D7">
            <w:pPr>
              <w:jc w:val="left"/>
              <w:rPr>
                <w:rFonts w:cstheme="minorHAnsi"/>
                <w:bCs/>
                <w:iCs/>
                <w:sz w:val="18"/>
                <w:szCs w:val="18"/>
              </w:rPr>
            </w:pPr>
            <w:r w:rsidRPr="002926D7">
              <w:rPr>
                <w:rFonts w:cs="Calibri"/>
                <w:sz w:val="18"/>
                <w:szCs w:val="18"/>
              </w:rPr>
              <w:t>Grantee monitoring reports; Impact reviews</w:t>
            </w:r>
          </w:p>
        </w:tc>
        <w:tc>
          <w:tcPr>
            <w:tcW w:w="2155" w:type="dxa"/>
            <w:vMerge/>
            <w:tcBorders>
              <w:left w:val="single" w:sz="4" w:space="0" w:color="auto"/>
              <w:bottom w:val="single" w:sz="4" w:space="0" w:color="auto"/>
              <w:right w:val="single" w:sz="4" w:space="0" w:color="auto"/>
            </w:tcBorders>
            <w:shd w:val="clear" w:color="auto" w:fill="FFFFFF"/>
          </w:tcPr>
          <w:p w14:paraId="773A7431" w14:textId="77777777" w:rsidR="00AA2363" w:rsidRPr="002926D7" w:rsidRDefault="00AA2363" w:rsidP="002926D7">
            <w:pPr>
              <w:pStyle w:val="Default"/>
              <w:rPr>
                <w:rFonts w:cstheme="minorHAnsi"/>
                <w:i/>
                <w:sz w:val="18"/>
                <w:szCs w:val="18"/>
              </w:rPr>
            </w:pPr>
          </w:p>
        </w:tc>
      </w:tr>
      <w:tr w:rsidR="00AA2363" w:rsidRPr="002926D7" w14:paraId="089ADC5B" w14:textId="77777777" w:rsidTr="00025B2D">
        <w:trPr>
          <w:trHeight w:val="620"/>
        </w:trPr>
        <w:tc>
          <w:tcPr>
            <w:tcW w:w="1525" w:type="dxa"/>
            <w:tcBorders>
              <w:top w:val="single" w:sz="4" w:space="0" w:color="auto"/>
              <w:left w:val="single" w:sz="4" w:space="0" w:color="auto"/>
              <w:bottom w:val="single" w:sz="4" w:space="0" w:color="auto"/>
              <w:right w:val="single" w:sz="4" w:space="0" w:color="auto"/>
            </w:tcBorders>
            <w:hideMark/>
          </w:tcPr>
          <w:p w14:paraId="4497604E" w14:textId="77777777" w:rsidR="00AA2363" w:rsidRPr="002926D7" w:rsidRDefault="00AA2363" w:rsidP="002926D7">
            <w:pPr>
              <w:jc w:val="left"/>
              <w:rPr>
                <w:rFonts w:cstheme="minorHAnsi"/>
                <w:b/>
                <w:bCs/>
                <w:sz w:val="18"/>
                <w:szCs w:val="18"/>
              </w:rPr>
            </w:pPr>
            <w:r w:rsidRPr="002926D7">
              <w:rPr>
                <w:rFonts w:cstheme="minorHAnsi"/>
                <w:b/>
                <w:bCs/>
                <w:sz w:val="18"/>
                <w:szCs w:val="18"/>
              </w:rPr>
              <w:t>Outputs to achieve Outcome 1.1</w:t>
            </w:r>
          </w:p>
        </w:tc>
        <w:tc>
          <w:tcPr>
            <w:tcW w:w="12870" w:type="dxa"/>
            <w:gridSpan w:val="7"/>
            <w:tcBorders>
              <w:top w:val="single" w:sz="4" w:space="0" w:color="auto"/>
              <w:left w:val="single" w:sz="4" w:space="0" w:color="auto"/>
              <w:bottom w:val="single" w:sz="4" w:space="0" w:color="auto"/>
              <w:right w:val="single" w:sz="4" w:space="0" w:color="auto"/>
            </w:tcBorders>
            <w:hideMark/>
          </w:tcPr>
          <w:p w14:paraId="7E565A5D" w14:textId="77777777" w:rsidR="00AA2363" w:rsidRPr="002926D7" w:rsidRDefault="00AA2363" w:rsidP="002926D7">
            <w:pPr>
              <w:jc w:val="left"/>
              <w:rPr>
                <w:rFonts w:cstheme="minorHAnsi"/>
                <w:bCs/>
                <w:iCs/>
                <w:sz w:val="18"/>
                <w:szCs w:val="18"/>
              </w:rPr>
            </w:pPr>
            <w:r w:rsidRPr="002926D7">
              <w:rPr>
                <w:rFonts w:cstheme="minorHAnsi"/>
                <w:bCs/>
                <w:iCs/>
                <w:sz w:val="18"/>
                <w:szCs w:val="18"/>
              </w:rPr>
              <w:t xml:space="preserve">Output 1.1.1. </w:t>
            </w:r>
            <w:r w:rsidRPr="002926D7">
              <w:rPr>
                <w:sz w:val="18"/>
                <w:szCs w:val="18"/>
              </w:rPr>
              <w:t xml:space="preserve">Country programme strategies developed and National Steering Committees </w:t>
            </w:r>
            <w:r w:rsidRPr="002926D7">
              <w:rPr>
                <w:noProof/>
                <w:sz w:val="18"/>
                <w:szCs w:val="18"/>
              </w:rPr>
              <w:t>in effective operation.</w:t>
            </w:r>
          </w:p>
          <w:p w14:paraId="51D58D4E" w14:textId="600402A7" w:rsidR="00AA2363" w:rsidRPr="002926D7" w:rsidRDefault="00AA2363" w:rsidP="002926D7">
            <w:pPr>
              <w:jc w:val="left"/>
              <w:rPr>
                <w:rFonts w:cstheme="minorHAnsi"/>
                <w:bCs/>
                <w:iCs/>
                <w:sz w:val="18"/>
                <w:szCs w:val="18"/>
              </w:rPr>
            </w:pPr>
            <w:r w:rsidRPr="002926D7">
              <w:rPr>
                <w:rFonts w:cstheme="minorHAnsi"/>
                <w:bCs/>
                <w:iCs/>
                <w:sz w:val="18"/>
                <w:szCs w:val="18"/>
              </w:rPr>
              <w:t xml:space="preserve">Output 1.1.2. </w:t>
            </w:r>
            <w:r w:rsidRPr="002926D7">
              <w:rPr>
                <w:sz w:val="18"/>
                <w:szCs w:val="18"/>
              </w:rPr>
              <w:t xml:space="preserve">Landscape-seascape strategies developed and implemented, and multi-stakeholder governance platforms </w:t>
            </w:r>
            <w:r w:rsidRPr="002926D7">
              <w:rPr>
                <w:rFonts w:cstheme="minorHAnsi"/>
                <w:noProof/>
                <w:sz w:val="18"/>
                <w:szCs w:val="18"/>
              </w:rPr>
              <w:t>established in relevant countries.</w:t>
            </w:r>
          </w:p>
        </w:tc>
      </w:tr>
      <w:tr w:rsidR="00AA2363" w:rsidRPr="002926D7" w14:paraId="37EE779C" w14:textId="77777777" w:rsidTr="00025B2D">
        <w:trPr>
          <w:trHeight w:val="620"/>
        </w:trPr>
        <w:tc>
          <w:tcPr>
            <w:tcW w:w="1525" w:type="dxa"/>
            <w:tcBorders>
              <w:top w:val="single" w:sz="4" w:space="0" w:color="auto"/>
              <w:left w:val="single" w:sz="4" w:space="0" w:color="auto"/>
              <w:bottom w:val="single" w:sz="4" w:space="0" w:color="auto"/>
              <w:right w:val="single" w:sz="4" w:space="0" w:color="auto"/>
            </w:tcBorders>
            <w:shd w:val="clear" w:color="auto" w:fill="E7E6E6"/>
            <w:hideMark/>
          </w:tcPr>
          <w:p w14:paraId="38043B91" w14:textId="77777777" w:rsidR="00AA2363" w:rsidRPr="002926D7" w:rsidRDefault="00AA2363" w:rsidP="002926D7">
            <w:pPr>
              <w:jc w:val="left"/>
              <w:rPr>
                <w:rFonts w:cstheme="minorHAnsi"/>
                <w:b/>
                <w:bCs/>
                <w:i/>
                <w:iCs/>
                <w:sz w:val="18"/>
                <w:szCs w:val="18"/>
              </w:rPr>
            </w:pPr>
            <w:r w:rsidRPr="002926D7">
              <w:rPr>
                <w:rFonts w:cstheme="minorHAnsi"/>
                <w:b/>
                <w:bCs/>
                <w:sz w:val="18"/>
                <w:szCs w:val="18"/>
              </w:rPr>
              <w:t xml:space="preserve">Project component 2 </w:t>
            </w:r>
          </w:p>
        </w:tc>
        <w:tc>
          <w:tcPr>
            <w:tcW w:w="12870" w:type="dxa"/>
            <w:gridSpan w:val="7"/>
            <w:tcBorders>
              <w:top w:val="single" w:sz="4" w:space="0" w:color="auto"/>
              <w:left w:val="single" w:sz="4" w:space="0" w:color="auto"/>
              <w:bottom w:val="single" w:sz="4" w:space="0" w:color="auto"/>
              <w:right w:val="single" w:sz="4" w:space="0" w:color="auto"/>
            </w:tcBorders>
            <w:shd w:val="clear" w:color="auto" w:fill="E7E6E6"/>
            <w:hideMark/>
          </w:tcPr>
          <w:p w14:paraId="156DFF79" w14:textId="77777777" w:rsidR="00AA2363" w:rsidRPr="002926D7" w:rsidRDefault="00AA2363" w:rsidP="002926D7">
            <w:pPr>
              <w:jc w:val="left"/>
              <w:rPr>
                <w:rFonts w:cstheme="minorHAnsi"/>
                <w:b/>
                <w:bCs/>
                <w:i/>
                <w:iCs/>
                <w:sz w:val="18"/>
                <w:szCs w:val="18"/>
              </w:rPr>
            </w:pPr>
            <w:r w:rsidRPr="002926D7">
              <w:rPr>
                <w:rFonts w:cstheme="minorHAnsi"/>
                <w:b/>
                <w:bCs/>
                <w:sz w:val="18"/>
                <w:szCs w:val="18"/>
              </w:rPr>
              <w:t>Demand-driven grants to CSOs/CBOs</w:t>
            </w:r>
          </w:p>
        </w:tc>
      </w:tr>
      <w:tr w:rsidR="00AA2363" w:rsidRPr="002926D7" w14:paraId="55773A4C" w14:textId="77777777" w:rsidTr="00025B2D">
        <w:trPr>
          <w:trHeight w:val="980"/>
        </w:trPr>
        <w:tc>
          <w:tcPr>
            <w:tcW w:w="1525" w:type="dxa"/>
            <w:vMerge w:val="restart"/>
            <w:tcBorders>
              <w:top w:val="single" w:sz="4" w:space="0" w:color="auto"/>
              <w:left w:val="single" w:sz="4" w:space="0" w:color="auto"/>
              <w:right w:val="single" w:sz="4" w:space="0" w:color="auto"/>
            </w:tcBorders>
            <w:hideMark/>
          </w:tcPr>
          <w:p w14:paraId="526F6D6B" w14:textId="77777777" w:rsidR="00AA2363" w:rsidRPr="002926D7" w:rsidRDefault="00AA2363" w:rsidP="002926D7">
            <w:pPr>
              <w:jc w:val="left"/>
              <w:rPr>
                <w:rFonts w:cstheme="minorHAnsi"/>
                <w:b/>
                <w:bCs/>
                <w:sz w:val="18"/>
                <w:szCs w:val="18"/>
              </w:rPr>
            </w:pPr>
            <w:r w:rsidRPr="002926D7">
              <w:rPr>
                <w:rFonts w:cstheme="minorHAnsi"/>
                <w:b/>
                <w:bCs/>
                <w:sz w:val="18"/>
                <w:szCs w:val="18"/>
              </w:rPr>
              <w:t xml:space="preserve">Outcome 2.1. </w:t>
            </w:r>
            <w:r w:rsidRPr="002926D7">
              <w:rPr>
                <w:rFonts w:eastAsia="Calibri" w:cstheme="minorHAnsi"/>
                <w:bCs/>
                <w:color w:val="000000" w:themeColor="text1"/>
                <w:sz w:val="18"/>
                <w:szCs w:val="18"/>
              </w:rPr>
              <w:t>Landscape-seascape strategic objectives advanced through community-led grants</w:t>
            </w:r>
          </w:p>
        </w:tc>
        <w:tc>
          <w:tcPr>
            <w:tcW w:w="2668" w:type="dxa"/>
            <w:tcBorders>
              <w:top w:val="single" w:sz="4" w:space="0" w:color="auto"/>
              <w:left w:val="single" w:sz="4" w:space="0" w:color="auto"/>
              <w:bottom w:val="single" w:sz="4" w:space="0" w:color="auto"/>
              <w:right w:val="single" w:sz="4" w:space="0" w:color="auto"/>
            </w:tcBorders>
            <w:hideMark/>
          </w:tcPr>
          <w:p w14:paraId="17C5823B" w14:textId="0CE86BE5" w:rsidR="00AA2363" w:rsidRPr="002926D7" w:rsidRDefault="00AA2363" w:rsidP="002926D7">
            <w:pPr>
              <w:jc w:val="left"/>
              <w:rPr>
                <w:rFonts w:cstheme="minorHAnsi"/>
                <w:bCs/>
                <w:sz w:val="18"/>
                <w:szCs w:val="18"/>
              </w:rPr>
            </w:pPr>
            <w:r w:rsidRPr="002926D7">
              <w:rPr>
                <w:rFonts w:cstheme="minorHAnsi"/>
                <w:b/>
                <w:iCs/>
                <w:sz w:val="18"/>
                <w:szCs w:val="18"/>
              </w:rPr>
              <w:t xml:space="preserve">Indicator </w:t>
            </w:r>
            <w:r w:rsidR="004F0787" w:rsidRPr="002926D7">
              <w:rPr>
                <w:rFonts w:cstheme="minorHAnsi"/>
                <w:b/>
                <w:iCs/>
                <w:sz w:val="18"/>
                <w:szCs w:val="18"/>
              </w:rPr>
              <w:t>1</w:t>
            </w:r>
            <w:r w:rsidR="0010636B" w:rsidRPr="002926D7">
              <w:rPr>
                <w:rFonts w:cstheme="minorHAnsi"/>
                <w:b/>
                <w:iCs/>
                <w:sz w:val="18"/>
                <w:szCs w:val="18"/>
              </w:rPr>
              <w:t>1</w:t>
            </w:r>
            <w:r w:rsidRPr="002926D7">
              <w:rPr>
                <w:rFonts w:cstheme="minorHAnsi"/>
                <w:b/>
                <w:iCs/>
                <w:sz w:val="18"/>
                <w:szCs w:val="18"/>
              </w:rPr>
              <w:t>:</w:t>
            </w:r>
            <w:r w:rsidRPr="002926D7">
              <w:rPr>
                <w:rFonts w:cstheme="minorHAnsi"/>
                <w:bCs/>
                <w:iCs/>
                <w:sz w:val="18"/>
                <w:szCs w:val="18"/>
              </w:rPr>
              <w:t xml:space="preserve"> </w:t>
            </w:r>
            <w:r w:rsidRPr="002926D7">
              <w:rPr>
                <w:rFonts w:cstheme="minorHAnsi"/>
                <w:bCs/>
                <w:sz w:val="18"/>
                <w:szCs w:val="18"/>
              </w:rPr>
              <w:t>Number of SGP countries supporting partnerships to advance sustainable agriculture and fisheries and/or food security (such as diversification, sustainable intensification, sustainable fisheries management, agroecological farming practices, climate-smart agriculture, certification programmes, local sourcing initiatives, waste reduction and circular economy, etc.)</w:t>
            </w:r>
          </w:p>
        </w:tc>
        <w:tc>
          <w:tcPr>
            <w:tcW w:w="1292" w:type="dxa"/>
            <w:tcBorders>
              <w:top w:val="single" w:sz="4" w:space="0" w:color="auto"/>
              <w:left w:val="single" w:sz="4" w:space="0" w:color="auto"/>
              <w:bottom w:val="single" w:sz="4" w:space="0" w:color="auto"/>
              <w:right w:val="single" w:sz="4" w:space="0" w:color="auto"/>
            </w:tcBorders>
            <w:hideMark/>
          </w:tcPr>
          <w:p w14:paraId="0F21DB8A" w14:textId="77777777" w:rsidR="00AA2363" w:rsidRPr="002926D7" w:rsidRDefault="00AA2363" w:rsidP="002926D7">
            <w:pPr>
              <w:jc w:val="left"/>
              <w:rPr>
                <w:rFonts w:cstheme="minorHAnsi"/>
                <w:bCs/>
                <w:sz w:val="18"/>
                <w:szCs w:val="18"/>
              </w:rPr>
            </w:pPr>
            <w:r w:rsidRPr="002926D7">
              <w:rPr>
                <w:rFonts w:cstheme="minorHAnsi"/>
                <w:bCs/>
                <w:sz w:val="18"/>
                <w:szCs w:val="18"/>
              </w:rPr>
              <w:t>Grantee Monitoring Report</w:t>
            </w:r>
          </w:p>
          <w:p w14:paraId="20F00943" w14:textId="77777777" w:rsidR="00AA2363" w:rsidRPr="002926D7" w:rsidRDefault="00AA2363" w:rsidP="002926D7">
            <w:pPr>
              <w:jc w:val="left"/>
              <w:rPr>
                <w:rFonts w:cstheme="minorHAnsi"/>
                <w:bCs/>
                <w:sz w:val="18"/>
                <w:szCs w:val="18"/>
              </w:rPr>
            </w:pPr>
            <w:r w:rsidRPr="002926D7">
              <w:rPr>
                <w:rFonts w:cstheme="minorHAnsi"/>
                <w:bCs/>
                <w:sz w:val="18"/>
                <w:szCs w:val="18"/>
              </w:rPr>
              <w:t>Impact reviews</w:t>
            </w:r>
          </w:p>
        </w:tc>
        <w:tc>
          <w:tcPr>
            <w:tcW w:w="1707" w:type="dxa"/>
            <w:tcBorders>
              <w:top w:val="single" w:sz="4" w:space="0" w:color="auto"/>
              <w:left w:val="single" w:sz="4" w:space="0" w:color="auto"/>
              <w:bottom w:val="single" w:sz="4" w:space="0" w:color="auto"/>
              <w:right w:val="single" w:sz="4" w:space="0" w:color="auto"/>
            </w:tcBorders>
          </w:tcPr>
          <w:p w14:paraId="33A017CC" w14:textId="77777777" w:rsidR="00AA2363" w:rsidRPr="002926D7" w:rsidRDefault="00AA2363" w:rsidP="002926D7">
            <w:pPr>
              <w:jc w:val="left"/>
              <w:rPr>
                <w:rFonts w:cstheme="minorHAnsi"/>
                <w:bCs/>
                <w:iCs/>
                <w:sz w:val="18"/>
                <w:szCs w:val="18"/>
              </w:rPr>
            </w:pPr>
          </w:p>
        </w:tc>
        <w:tc>
          <w:tcPr>
            <w:tcW w:w="1799" w:type="dxa"/>
            <w:tcBorders>
              <w:top w:val="single" w:sz="4" w:space="0" w:color="auto"/>
              <w:left w:val="single" w:sz="4" w:space="0" w:color="auto"/>
              <w:bottom w:val="single" w:sz="4" w:space="0" w:color="auto"/>
              <w:right w:val="single" w:sz="4" w:space="0" w:color="auto"/>
            </w:tcBorders>
            <w:hideMark/>
          </w:tcPr>
          <w:p w14:paraId="1FBDB964" w14:textId="77777777" w:rsidR="00AA2363" w:rsidRPr="002926D7" w:rsidRDefault="00AA2363" w:rsidP="002926D7">
            <w:pPr>
              <w:jc w:val="left"/>
              <w:rPr>
                <w:rFonts w:cstheme="minorHAnsi"/>
                <w:bCs/>
                <w:iCs/>
                <w:sz w:val="18"/>
                <w:szCs w:val="18"/>
              </w:rPr>
            </w:pPr>
            <w:r w:rsidRPr="002926D7">
              <w:rPr>
                <w:rFonts w:cstheme="minorHAnsi"/>
                <w:bCs/>
                <w:iCs/>
                <w:sz w:val="18"/>
                <w:szCs w:val="18"/>
              </w:rPr>
              <w:t>10 SGP countries</w:t>
            </w:r>
          </w:p>
        </w:tc>
        <w:tc>
          <w:tcPr>
            <w:tcW w:w="1718" w:type="dxa"/>
            <w:tcBorders>
              <w:top w:val="single" w:sz="4" w:space="0" w:color="auto"/>
              <w:left w:val="single" w:sz="4" w:space="0" w:color="auto"/>
              <w:bottom w:val="single" w:sz="4" w:space="0" w:color="auto"/>
              <w:right w:val="single" w:sz="4" w:space="0" w:color="auto"/>
            </w:tcBorders>
            <w:hideMark/>
          </w:tcPr>
          <w:p w14:paraId="4C7DE15B" w14:textId="77777777" w:rsidR="00AA2363" w:rsidRPr="002926D7" w:rsidRDefault="00AA2363" w:rsidP="002926D7">
            <w:pPr>
              <w:jc w:val="left"/>
              <w:rPr>
                <w:rFonts w:cstheme="minorHAnsi"/>
                <w:i/>
                <w:sz w:val="18"/>
                <w:szCs w:val="18"/>
              </w:rPr>
            </w:pPr>
            <w:r w:rsidRPr="002926D7">
              <w:rPr>
                <w:rFonts w:cstheme="minorHAnsi"/>
                <w:sz w:val="18"/>
                <w:szCs w:val="18"/>
              </w:rPr>
              <w:t>25 SGP countries (approx. 25% of the OP8 Part 1 portfolio)</w:t>
            </w:r>
          </w:p>
        </w:tc>
        <w:tc>
          <w:tcPr>
            <w:tcW w:w="1531" w:type="dxa"/>
            <w:tcBorders>
              <w:top w:val="single" w:sz="4" w:space="0" w:color="auto"/>
              <w:left w:val="single" w:sz="4" w:space="0" w:color="auto"/>
              <w:bottom w:val="single" w:sz="4" w:space="0" w:color="auto"/>
              <w:right w:val="single" w:sz="4" w:space="0" w:color="auto"/>
            </w:tcBorders>
            <w:hideMark/>
          </w:tcPr>
          <w:p w14:paraId="143B4A76" w14:textId="77777777" w:rsidR="00AA2363" w:rsidRPr="002926D7" w:rsidRDefault="00AA2363" w:rsidP="002926D7">
            <w:pPr>
              <w:jc w:val="left"/>
              <w:rPr>
                <w:rFonts w:cstheme="minorHAnsi"/>
                <w:i/>
                <w:sz w:val="18"/>
                <w:szCs w:val="18"/>
              </w:rPr>
            </w:pPr>
            <w:r w:rsidRPr="002926D7">
              <w:rPr>
                <w:rFonts w:cs="Calibri"/>
                <w:sz w:val="18"/>
                <w:szCs w:val="18"/>
              </w:rPr>
              <w:t>Grantee monitoring reports; Impact reviews</w:t>
            </w:r>
          </w:p>
        </w:tc>
        <w:tc>
          <w:tcPr>
            <w:tcW w:w="2155" w:type="dxa"/>
            <w:tcBorders>
              <w:top w:val="single" w:sz="4" w:space="0" w:color="auto"/>
              <w:left w:val="single" w:sz="4" w:space="0" w:color="auto"/>
              <w:bottom w:val="single" w:sz="4" w:space="0" w:color="auto"/>
              <w:right w:val="single" w:sz="4" w:space="0" w:color="auto"/>
            </w:tcBorders>
            <w:hideMark/>
          </w:tcPr>
          <w:p w14:paraId="41A441A5" w14:textId="77777777" w:rsidR="00AA2363" w:rsidRPr="002926D7" w:rsidRDefault="00AA2363" w:rsidP="002926D7">
            <w:pPr>
              <w:jc w:val="left"/>
              <w:rPr>
                <w:rFonts w:cstheme="minorHAnsi"/>
                <w:i/>
                <w:sz w:val="18"/>
                <w:szCs w:val="18"/>
              </w:rPr>
            </w:pPr>
            <w:r w:rsidRPr="002926D7">
              <w:rPr>
                <w:rFonts w:cstheme="minorHAnsi"/>
                <w:sz w:val="18"/>
                <w:szCs w:val="18"/>
              </w:rPr>
              <w:t>Existing policies in SGP countries are aligned with sustainable agriculture and fisheries goals.</w:t>
            </w:r>
          </w:p>
        </w:tc>
      </w:tr>
      <w:tr w:rsidR="00AA2363" w:rsidRPr="002926D7" w14:paraId="3751FC8D" w14:textId="77777777" w:rsidTr="00025B2D">
        <w:trPr>
          <w:trHeight w:val="440"/>
        </w:trPr>
        <w:tc>
          <w:tcPr>
            <w:tcW w:w="1525" w:type="dxa"/>
            <w:vMerge/>
            <w:tcBorders>
              <w:left w:val="single" w:sz="4" w:space="0" w:color="auto"/>
              <w:right w:val="single" w:sz="4" w:space="0" w:color="auto"/>
            </w:tcBorders>
            <w:vAlign w:val="center"/>
            <w:hideMark/>
          </w:tcPr>
          <w:p w14:paraId="5A0449E7" w14:textId="77777777" w:rsidR="00AA2363" w:rsidRPr="002926D7" w:rsidRDefault="00AA2363" w:rsidP="002926D7">
            <w:pPr>
              <w:jc w:val="left"/>
              <w:rPr>
                <w:rFonts w:cstheme="minorHAnsi"/>
                <w:b/>
                <w:bCs/>
                <w:sz w:val="18"/>
                <w:szCs w:val="18"/>
              </w:rPr>
            </w:pPr>
          </w:p>
        </w:tc>
        <w:tc>
          <w:tcPr>
            <w:tcW w:w="2668" w:type="dxa"/>
            <w:tcBorders>
              <w:top w:val="single" w:sz="4" w:space="0" w:color="auto"/>
              <w:left w:val="single" w:sz="4" w:space="0" w:color="auto"/>
              <w:bottom w:val="single" w:sz="4" w:space="0" w:color="auto"/>
              <w:right w:val="single" w:sz="4" w:space="0" w:color="auto"/>
            </w:tcBorders>
            <w:hideMark/>
          </w:tcPr>
          <w:p w14:paraId="71940A04" w14:textId="4B7FDFB2" w:rsidR="00AA2363" w:rsidRPr="002926D7" w:rsidRDefault="00AA2363" w:rsidP="002926D7">
            <w:pPr>
              <w:jc w:val="left"/>
              <w:rPr>
                <w:rFonts w:cstheme="minorHAnsi"/>
                <w:bCs/>
                <w:i/>
                <w:sz w:val="18"/>
                <w:szCs w:val="18"/>
              </w:rPr>
            </w:pPr>
            <w:r w:rsidRPr="002926D7">
              <w:rPr>
                <w:rFonts w:cstheme="minorHAnsi"/>
                <w:b/>
                <w:iCs/>
                <w:sz w:val="18"/>
                <w:szCs w:val="18"/>
              </w:rPr>
              <w:t xml:space="preserve">Indicator </w:t>
            </w:r>
            <w:r w:rsidR="004F0787" w:rsidRPr="002926D7">
              <w:rPr>
                <w:rFonts w:cstheme="minorHAnsi"/>
                <w:b/>
                <w:iCs/>
                <w:sz w:val="18"/>
                <w:szCs w:val="18"/>
              </w:rPr>
              <w:t>1</w:t>
            </w:r>
            <w:r w:rsidR="0010636B" w:rsidRPr="002926D7">
              <w:rPr>
                <w:rFonts w:cstheme="minorHAnsi"/>
                <w:b/>
                <w:iCs/>
                <w:sz w:val="18"/>
                <w:szCs w:val="18"/>
              </w:rPr>
              <w:t>2</w:t>
            </w:r>
            <w:r w:rsidRPr="002926D7">
              <w:rPr>
                <w:rFonts w:cstheme="minorHAnsi"/>
                <w:bCs/>
                <w:iCs/>
                <w:sz w:val="18"/>
                <w:szCs w:val="18"/>
              </w:rPr>
              <w:t>: Number of locally adapted solutions promoting low-carbon technologies (such as</w:t>
            </w:r>
            <w:r w:rsidRPr="002926D7">
              <w:rPr>
                <w:sz w:val="18"/>
                <w:szCs w:val="18"/>
              </w:rPr>
              <w:t xml:space="preserve"> </w:t>
            </w:r>
            <w:r w:rsidRPr="002926D7">
              <w:rPr>
                <w:rFonts w:cstheme="minorHAnsi"/>
                <w:bCs/>
                <w:iCs/>
                <w:sz w:val="18"/>
                <w:szCs w:val="18"/>
              </w:rPr>
              <w:t>new/modified biogas technology, locally developed energy-efficient stoves, innovative uses of solar/wind energy, etc.)</w:t>
            </w:r>
          </w:p>
        </w:tc>
        <w:tc>
          <w:tcPr>
            <w:tcW w:w="1292" w:type="dxa"/>
            <w:tcBorders>
              <w:top w:val="single" w:sz="4" w:space="0" w:color="auto"/>
              <w:left w:val="single" w:sz="4" w:space="0" w:color="auto"/>
              <w:bottom w:val="single" w:sz="4" w:space="0" w:color="auto"/>
              <w:right w:val="single" w:sz="4" w:space="0" w:color="auto"/>
            </w:tcBorders>
            <w:hideMark/>
          </w:tcPr>
          <w:p w14:paraId="57513942" w14:textId="77777777" w:rsidR="00AA2363" w:rsidRPr="002926D7" w:rsidRDefault="00AA2363" w:rsidP="002926D7">
            <w:pPr>
              <w:jc w:val="left"/>
              <w:rPr>
                <w:rFonts w:cstheme="minorHAnsi"/>
                <w:bCs/>
                <w:iCs/>
                <w:sz w:val="18"/>
                <w:szCs w:val="18"/>
              </w:rPr>
            </w:pPr>
            <w:r w:rsidRPr="002926D7">
              <w:rPr>
                <w:rFonts w:cstheme="minorHAnsi"/>
                <w:bCs/>
                <w:iCs/>
                <w:sz w:val="18"/>
                <w:szCs w:val="18"/>
              </w:rPr>
              <w:t>AMR</w:t>
            </w:r>
          </w:p>
        </w:tc>
        <w:tc>
          <w:tcPr>
            <w:tcW w:w="1707" w:type="dxa"/>
            <w:tcBorders>
              <w:top w:val="single" w:sz="4" w:space="0" w:color="auto"/>
              <w:left w:val="single" w:sz="4" w:space="0" w:color="auto"/>
              <w:bottom w:val="single" w:sz="4" w:space="0" w:color="auto"/>
              <w:right w:val="single" w:sz="4" w:space="0" w:color="auto"/>
            </w:tcBorders>
            <w:hideMark/>
          </w:tcPr>
          <w:p w14:paraId="620E71EA" w14:textId="77777777" w:rsidR="00AA2363" w:rsidRPr="002926D7" w:rsidRDefault="00AA2363" w:rsidP="002926D7">
            <w:pPr>
              <w:jc w:val="left"/>
              <w:rPr>
                <w:rFonts w:cstheme="minorHAnsi"/>
                <w:bCs/>
                <w:iCs/>
                <w:sz w:val="18"/>
                <w:szCs w:val="18"/>
              </w:rPr>
            </w:pPr>
            <w:r w:rsidRPr="002926D7">
              <w:rPr>
                <w:rFonts w:cstheme="minorHAnsi"/>
                <w:bCs/>
                <w:iCs/>
                <w:sz w:val="18"/>
                <w:szCs w:val="18"/>
              </w:rPr>
              <w:t>90</w:t>
            </w:r>
          </w:p>
          <w:p w14:paraId="5F350F26" w14:textId="77777777" w:rsidR="00AA2363" w:rsidRPr="002926D7" w:rsidRDefault="00AA2363" w:rsidP="002926D7">
            <w:pPr>
              <w:jc w:val="left"/>
              <w:rPr>
                <w:rFonts w:cstheme="minorHAnsi"/>
                <w:bCs/>
                <w:iCs/>
                <w:sz w:val="18"/>
                <w:szCs w:val="18"/>
              </w:rPr>
            </w:pPr>
            <w:r w:rsidRPr="002926D7">
              <w:rPr>
                <w:rFonts w:cstheme="minorHAnsi"/>
                <w:bCs/>
                <w:iCs/>
                <w:sz w:val="18"/>
                <w:szCs w:val="18"/>
              </w:rPr>
              <w:t>Source: 2023 AMR</w:t>
            </w:r>
          </w:p>
        </w:tc>
        <w:tc>
          <w:tcPr>
            <w:tcW w:w="1799" w:type="dxa"/>
            <w:tcBorders>
              <w:top w:val="single" w:sz="4" w:space="0" w:color="auto"/>
              <w:left w:val="single" w:sz="4" w:space="0" w:color="auto"/>
              <w:bottom w:val="single" w:sz="4" w:space="0" w:color="auto"/>
              <w:right w:val="single" w:sz="4" w:space="0" w:color="auto"/>
            </w:tcBorders>
            <w:hideMark/>
          </w:tcPr>
          <w:p w14:paraId="11930949" w14:textId="77777777" w:rsidR="00AA2363" w:rsidRPr="002926D7" w:rsidRDefault="00AA2363" w:rsidP="002926D7">
            <w:pPr>
              <w:jc w:val="left"/>
              <w:rPr>
                <w:rFonts w:cstheme="minorHAnsi"/>
                <w:bCs/>
                <w:iCs/>
                <w:sz w:val="18"/>
                <w:szCs w:val="18"/>
              </w:rPr>
            </w:pPr>
            <w:r w:rsidRPr="002926D7">
              <w:rPr>
                <w:rFonts w:cstheme="minorHAnsi"/>
                <w:bCs/>
                <w:iCs/>
                <w:sz w:val="18"/>
                <w:szCs w:val="18"/>
              </w:rPr>
              <w:t>30 locally adapted low emission development solutions</w:t>
            </w:r>
          </w:p>
        </w:tc>
        <w:tc>
          <w:tcPr>
            <w:tcW w:w="1718" w:type="dxa"/>
            <w:tcBorders>
              <w:top w:val="single" w:sz="4" w:space="0" w:color="auto"/>
              <w:left w:val="single" w:sz="4" w:space="0" w:color="auto"/>
              <w:bottom w:val="single" w:sz="4" w:space="0" w:color="auto"/>
              <w:right w:val="single" w:sz="4" w:space="0" w:color="auto"/>
            </w:tcBorders>
            <w:hideMark/>
          </w:tcPr>
          <w:p w14:paraId="50D7FF40" w14:textId="77777777" w:rsidR="00AA2363" w:rsidRPr="002926D7" w:rsidRDefault="00AA2363" w:rsidP="002926D7">
            <w:pPr>
              <w:jc w:val="left"/>
              <w:rPr>
                <w:rFonts w:cstheme="minorHAnsi"/>
                <w:i/>
                <w:sz w:val="18"/>
                <w:szCs w:val="18"/>
              </w:rPr>
            </w:pPr>
            <w:r w:rsidRPr="002926D7">
              <w:rPr>
                <w:rFonts w:cstheme="minorHAnsi"/>
                <w:iCs/>
                <w:sz w:val="18"/>
                <w:szCs w:val="18"/>
              </w:rPr>
              <w:t>70 locally adapted low emission development solutions</w:t>
            </w:r>
          </w:p>
        </w:tc>
        <w:tc>
          <w:tcPr>
            <w:tcW w:w="1531" w:type="dxa"/>
            <w:tcBorders>
              <w:top w:val="single" w:sz="4" w:space="0" w:color="auto"/>
              <w:left w:val="single" w:sz="4" w:space="0" w:color="auto"/>
              <w:bottom w:val="single" w:sz="4" w:space="0" w:color="auto"/>
              <w:right w:val="single" w:sz="4" w:space="0" w:color="auto"/>
            </w:tcBorders>
            <w:hideMark/>
          </w:tcPr>
          <w:p w14:paraId="096809E7" w14:textId="77777777" w:rsidR="00AA2363" w:rsidRPr="002926D7" w:rsidRDefault="00AA2363" w:rsidP="002926D7">
            <w:pPr>
              <w:jc w:val="left"/>
              <w:rPr>
                <w:rFonts w:cstheme="minorHAnsi"/>
                <w:i/>
                <w:sz w:val="18"/>
                <w:szCs w:val="18"/>
              </w:rPr>
            </w:pPr>
            <w:r w:rsidRPr="002926D7">
              <w:rPr>
                <w:rFonts w:cs="Calibri"/>
                <w:sz w:val="18"/>
                <w:szCs w:val="18"/>
              </w:rPr>
              <w:t>Grantee monitoring reports; Impact reviews; SGP database</w:t>
            </w:r>
          </w:p>
        </w:tc>
        <w:tc>
          <w:tcPr>
            <w:tcW w:w="2155" w:type="dxa"/>
            <w:tcBorders>
              <w:top w:val="single" w:sz="4" w:space="0" w:color="auto"/>
              <w:left w:val="single" w:sz="4" w:space="0" w:color="auto"/>
              <w:bottom w:val="single" w:sz="4" w:space="0" w:color="auto"/>
              <w:right w:val="single" w:sz="4" w:space="0" w:color="auto"/>
            </w:tcBorders>
            <w:hideMark/>
          </w:tcPr>
          <w:p w14:paraId="7750999D" w14:textId="77777777" w:rsidR="00AA2363" w:rsidRPr="002926D7" w:rsidRDefault="00AA2363" w:rsidP="002926D7">
            <w:pPr>
              <w:jc w:val="left"/>
              <w:rPr>
                <w:rFonts w:cstheme="minorHAnsi"/>
                <w:sz w:val="18"/>
                <w:szCs w:val="18"/>
              </w:rPr>
            </w:pPr>
            <w:r w:rsidRPr="002926D7">
              <w:rPr>
                <w:rFonts w:cstheme="minorHAnsi"/>
                <w:sz w:val="18"/>
                <w:szCs w:val="18"/>
              </w:rPr>
              <w:t>Local communities are actively engaged and participate in the identification, development, and adoption of low-carbon technologies.</w:t>
            </w:r>
          </w:p>
          <w:p w14:paraId="6A220CCD" w14:textId="77777777" w:rsidR="00AA2363" w:rsidRPr="002926D7" w:rsidRDefault="00AA2363" w:rsidP="002926D7">
            <w:pPr>
              <w:jc w:val="left"/>
              <w:rPr>
                <w:rFonts w:cstheme="minorHAnsi"/>
                <w:sz w:val="18"/>
                <w:szCs w:val="18"/>
              </w:rPr>
            </w:pPr>
            <w:r w:rsidRPr="002926D7">
              <w:rPr>
                <w:rFonts w:cstheme="minorHAnsi"/>
                <w:sz w:val="18"/>
                <w:szCs w:val="18"/>
              </w:rPr>
              <w:t xml:space="preserve">Local communities and stakeholders have the </w:t>
            </w:r>
            <w:r w:rsidRPr="002926D7">
              <w:rPr>
                <w:rFonts w:cstheme="minorHAnsi"/>
                <w:sz w:val="18"/>
                <w:szCs w:val="18"/>
              </w:rPr>
              <w:lastRenderedPageBreak/>
              <w:t>necessary capacity and skills to engage with and adopt low-carbon technologies.</w:t>
            </w:r>
          </w:p>
        </w:tc>
      </w:tr>
      <w:tr w:rsidR="00AA2363" w:rsidRPr="002926D7" w14:paraId="10398921" w14:textId="77777777" w:rsidTr="00025B2D">
        <w:trPr>
          <w:trHeight w:val="440"/>
        </w:trPr>
        <w:tc>
          <w:tcPr>
            <w:tcW w:w="1525" w:type="dxa"/>
            <w:vMerge/>
            <w:tcBorders>
              <w:left w:val="single" w:sz="4" w:space="0" w:color="auto"/>
              <w:right w:val="single" w:sz="4" w:space="0" w:color="auto"/>
            </w:tcBorders>
            <w:vAlign w:val="center"/>
            <w:hideMark/>
          </w:tcPr>
          <w:p w14:paraId="5F526C29" w14:textId="77777777" w:rsidR="00AA2363" w:rsidRPr="002926D7" w:rsidRDefault="00AA2363" w:rsidP="002926D7">
            <w:pPr>
              <w:jc w:val="left"/>
              <w:rPr>
                <w:rFonts w:cstheme="minorHAnsi"/>
                <w:b/>
                <w:bCs/>
                <w:sz w:val="18"/>
                <w:szCs w:val="18"/>
              </w:rPr>
            </w:pPr>
          </w:p>
        </w:tc>
        <w:tc>
          <w:tcPr>
            <w:tcW w:w="2668" w:type="dxa"/>
            <w:tcBorders>
              <w:top w:val="single" w:sz="4" w:space="0" w:color="auto"/>
              <w:left w:val="single" w:sz="4" w:space="0" w:color="auto"/>
              <w:bottom w:val="single" w:sz="4" w:space="0" w:color="auto"/>
              <w:right w:val="single" w:sz="4" w:space="0" w:color="auto"/>
            </w:tcBorders>
            <w:hideMark/>
          </w:tcPr>
          <w:p w14:paraId="780C50E9" w14:textId="03B58FA7" w:rsidR="00AA2363" w:rsidRPr="002926D7" w:rsidRDefault="00AA2363" w:rsidP="002926D7">
            <w:pPr>
              <w:jc w:val="left"/>
              <w:rPr>
                <w:rFonts w:cstheme="minorHAnsi"/>
                <w:bCs/>
                <w:iCs/>
                <w:sz w:val="18"/>
                <w:szCs w:val="18"/>
              </w:rPr>
            </w:pPr>
            <w:r w:rsidRPr="002926D7">
              <w:rPr>
                <w:rFonts w:cstheme="minorHAnsi"/>
                <w:b/>
                <w:iCs/>
                <w:sz w:val="18"/>
                <w:szCs w:val="18"/>
              </w:rPr>
              <w:t xml:space="preserve">Indicator </w:t>
            </w:r>
            <w:r w:rsidR="004F0787" w:rsidRPr="002926D7">
              <w:rPr>
                <w:rFonts w:cstheme="minorHAnsi"/>
                <w:b/>
                <w:iCs/>
                <w:sz w:val="18"/>
                <w:szCs w:val="18"/>
              </w:rPr>
              <w:t>1</w:t>
            </w:r>
            <w:r w:rsidR="0010636B" w:rsidRPr="002926D7">
              <w:rPr>
                <w:rFonts w:cstheme="minorHAnsi"/>
                <w:b/>
                <w:iCs/>
                <w:sz w:val="18"/>
                <w:szCs w:val="18"/>
              </w:rPr>
              <w:t>3</w:t>
            </w:r>
            <w:r w:rsidRPr="002926D7">
              <w:rPr>
                <w:rFonts w:cstheme="minorHAnsi"/>
                <w:bCs/>
                <w:iCs/>
                <w:sz w:val="18"/>
                <w:szCs w:val="18"/>
              </w:rPr>
              <w:t>: Increase in installed renewable energy capacity from community-scale systems (e.g., biomass, micro-hydro, solar, etc.)</w:t>
            </w:r>
          </w:p>
        </w:tc>
        <w:tc>
          <w:tcPr>
            <w:tcW w:w="1292" w:type="dxa"/>
            <w:tcBorders>
              <w:top w:val="single" w:sz="4" w:space="0" w:color="auto"/>
              <w:left w:val="single" w:sz="4" w:space="0" w:color="auto"/>
              <w:bottom w:val="single" w:sz="4" w:space="0" w:color="auto"/>
              <w:right w:val="single" w:sz="4" w:space="0" w:color="auto"/>
            </w:tcBorders>
            <w:hideMark/>
          </w:tcPr>
          <w:p w14:paraId="0B88E9B1" w14:textId="77777777" w:rsidR="00AA2363" w:rsidRPr="002926D7" w:rsidRDefault="00AA2363" w:rsidP="002926D7">
            <w:pPr>
              <w:jc w:val="left"/>
              <w:rPr>
                <w:rFonts w:cstheme="minorHAnsi"/>
                <w:bCs/>
                <w:sz w:val="18"/>
                <w:szCs w:val="18"/>
              </w:rPr>
            </w:pPr>
            <w:r w:rsidRPr="002926D7">
              <w:rPr>
                <w:rFonts w:cstheme="minorHAnsi"/>
                <w:bCs/>
                <w:sz w:val="18"/>
                <w:szCs w:val="18"/>
              </w:rPr>
              <w:t>Grantee Monitoring Report</w:t>
            </w:r>
          </w:p>
          <w:p w14:paraId="1E79E646" w14:textId="77777777" w:rsidR="00AA2363" w:rsidRPr="002926D7" w:rsidRDefault="00AA2363" w:rsidP="002926D7">
            <w:pPr>
              <w:jc w:val="left"/>
              <w:rPr>
                <w:rFonts w:cstheme="minorHAnsi"/>
                <w:bCs/>
                <w:iCs/>
                <w:sz w:val="18"/>
                <w:szCs w:val="18"/>
              </w:rPr>
            </w:pPr>
            <w:r w:rsidRPr="002926D7">
              <w:rPr>
                <w:rFonts w:cstheme="minorHAnsi"/>
                <w:bCs/>
                <w:sz w:val="18"/>
                <w:szCs w:val="18"/>
              </w:rPr>
              <w:t>Impact reviews</w:t>
            </w:r>
          </w:p>
        </w:tc>
        <w:tc>
          <w:tcPr>
            <w:tcW w:w="1707" w:type="dxa"/>
            <w:tcBorders>
              <w:top w:val="single" w:sz="4" w:space="0" w:color="auto"/>
              <w:left w:val="single" w:sz="4" w:space="0" w:color="auto"/>
              <w:bottom w:val="single" w:sz="4" w:space="0" w:color="auto"/>
              <w:right w:val="single" w:sz="4" w:space="0" w:color="auto"/>
            </w:tcBorders>
          </w:tcPr>
          <w:p w14:paraId="4583BD08" w14:textId="77777777" w:rsidR="00AA2363" w:rsidRPr="002926D7" w:rsidRDefault="00AA2363" w:rsidP="002926D7">
            <w:pPr>
              <w:jc w:val="left"/>
              <w:rPr>
                <w:rFonts w:cstheme="minorHAnsi"/>
                <w:bCs/>
                <w:iCs/>
                <w:sz w:val="18"/>
                <w:szCs w:val="18"/>
              </w:rPr>
            </w:pPr>
          </w:p>
        </w:tc>
        <w:tc>
          <w:tcPr>
            <w:tcW w:w="1799" w:type="dxa"/>
            <w:tcBorders>
              <w:top w:val="single" w:sz="4" w:space="0" w:color="auto"/>
              <w:left w:val="single" w:sz="4" w:space="0" w:color="auto"/>
              <w:bottom w:val="single" w:sz="4" w:space="0" w:color="auto"/>
              <w:right w:val="single" w:sz="4" w:space="0" w:color="auto"/>
            </w:tcBorders>
            <w:hideMark/>
          </w:tcPr>
          <w:p w14:paraId="69F7BF2F" w14:textId="77777777" w:rsidR="00AA2363" w:rsidRPr="002926D7" w:rsidRDefault="00AA2363" w:rsidP="002926D7">
            <w:pPr>
              <w:jc w:val="left"/>
              <w:rPr>
                <w:rFonts w:cstheme="minorHAnsi"/>
                <w:bCs/>
                <w:iCs/>
                <w:sz w:val="18"/>
                <w:szCs w:val="18"/>
              </w:rPr>
            </w:pPr>
            <w:r w:rsidRPr="002926D7">
              <w:rPr>
                <w:rFonts w:cstheme="minorHAnsi"/>
                <w:bCs/>
                <w:iCs/>
                <w:sz w:val="18"/>
                <w:szCs w:val="18"/>
              </w:rPr>
              <w:t>50 kW increased renewable energy capacity</w:t>
            </w:r>
          </w:p>
        </w:tc>
        <w:tc>
          <w:tcPr>
            <w:tcW w:w="1718" w:type="dxa"/>
            <w:tcBorders>
              <w:top w:val="single" w:sz="4" w:space="0" w:color="auto"/>
              <w:left w:val="single" w:sz="4" w:space="0" w:color="auto"/>
              <w:bottom w:val="single" w:sz="4" w:space="0" w:color="auto"/>
              <w:right w:val="single" w:sz="4" w:space="0" w:color="auto"/>
            </w:tcBorders>
            <w:hideMark/>
          </w:tcPr>
          <w:p w14:paraId="606E61C3" w14:textId="77777777" w:rsidR="00AA2363" w:rsidRPr="002926D7" w:rsidRDefault="00AA2363" w:rsidP="002926D7">
            <w:pPr>
              <w:jc w:val="left"/>
              <w:rPr>
                <w:rFonts w:cstheme="minorHAnsi"/>
                <w:iCs/>
                <w:sz w:val="18"/>
                <w:szCs w:val="18"/>
              </w:rPr>
            </w:pPr>
            <w:r w:rsidRPr="002926D7">
              <w:rPr>
                <w:rFonts w:cstheme="minorHAnsi"/>
                <w:iCs/>
                <w:sz w:val="18"/>
                <w:szCs w:val="18"/>
              </w:rPr>
              <w:t>150 kW increased renewable energy capacity</w:t>
            </w:r>
          </w:p>
        </w:tc>
        <w:tc>
          <w:tcPr>
            <w:tcW w:w="1531" w:type="dxa"/>
            <w:tcBorders>
              <w:top w:val="single" w:sz="4" w:space="0" w:color="auto"/>
              <w:left w:val="single" w:sz="4" w:space="0" w:color="auto"/>
              <w:bottom w:val="single" w:sz="4" w:space="0" w:color="auto"/>
              <w:right w:val="single" w:sz="4" w:space="0" w:color="auto"/>
            </w:tcBorders>
            <w:hideMark/>
          </w:tcPr>
          <w:p w14:paraId="05A96111" w14:textId="77777777" w:rsidR="00AA2363" w:rsidRPr="002926D7" w:rsidRDefault="00AA2363" w:rsidP="002926D7">
            <w:pPr>
              <w:jc w:val="left"/>
              <w:rPr>
                <w:rFonts w:cstheme="minorHAnsi"/>
                <w:iCs/>
                <w:sz w:val="18"/>
                <w:szCs w:val="18"/>
              </w:rPr>
            </w:pPr>
            <w:r w:rsidRPr="002926D7">
              <w:rPr>
                <w:rFonts w:cs="Calibri"/>
                <w:sz w:val="18"/>
                <w:szCs w:val="18"/>
              </w:rPr>
              <w:t>Grantee monitoring reports; Impact reviews</w:t>
            </w:r>
          </w:p>
        </w:tc>
        <w:tc>
          <w:tcPr>
            <w:tcW w:w="2155" w:type="dxa"/>
            <w:tcBorders>
              <w:top w:val="single" w:sz="4" w:space="0" w:color="auto"/>
              <w:left w:val="single" w:sz="4" w:space="0" w:color="auto"/>
              <w:bottom w:val="single" w:sz="4" w:space="0" w:color="auto"/>
              <w:right w:val="single" w:sz="4" w:space="0" w:color="auto"/>
            </w:tcBorders>
          </w:tcPr>
          <w:p w14:paraId="4DFD79E1" w14:textId="77777777" w:rsidR="00AA2363" w:rsidRPr="002926D7" w:rsidRDefault="00AA2363" w:rsidP="002926D7">
            <w:pPr>
              <w:jc w:val="left"/>
              <w:rPr>
                <w:rFonts w:cstheme="minorHAnsi"/>
                <w:iCs/>
                <w:sz w:val="18"/>
                <w:szCs w:val="18"/>
              </w:rPr>
            </w:pPr>
            <w:r w:rsidRPr="002926D7">
              <w:rPr>
                <w:rFonts w:cstheme="minorHAnsi"/>
                <w:sz w:val="18"/>
                <w:szCs w:val="18"/>
              </w:rPr>
              <w:t>Local communities and stakeholders have the necessary capacity and skills to operate and maintain community-scale renewable energy systems.</w:t>
            </w:r>
          </w:p>
        </w:tc>
      </w:tr>
      <w:tr w:rsidR="00AA2363" w:rsidRPr="002926D7" w14:paraId="7DD82BED" w14:textId="77777777" w:rsidTr="00025B2D">
        <w:trPr>
          <w:trHeight w:val="440"/>
        </w:trPr>
        <w:tc>
          <w:tcPr>
            <w:tcW w:w="1525" w:type="dxa"/>
            <w:vMerge/>
            <w:tcBorders>
              <w:left w:val="single" w:sz="4" w:space="0" w:color="auto"/>
              <w:right w:val="single" w:sz="4" w:space="0" w:color="auto"/>
            </w:tcBorders>
            <w:vAlign w:val="center"/>
            <w:hideMark/>
          </w:tcPr>
          <w:p w14:paraId="0A4E690B" w14:textId="77777777" w:rsidR="00AA2363" w:rsidRPr="002926D7" w:rsidRDefault="00AA2363" w:rsidP="002926D7">
            <w:pPr>
              <w:jc w:val="left"/>
              <w:rPr>
                <w:rFonts w:cstheme="minorHAnsi"/>
                <w:b/>
                <w:bCs/>
                <w:sz w:val="18"/>
                <w:szCs w:val="18"/>
              </w:rPr>
            </w:pPr>
          </w:p>
        </w:tc>
        <w:tc>
          <w:tcPr>
            <w:tcW w:w="2668" w:type="dxa"/>
            <w:tcBorders>
              <w:top w:val="single" w:sz="4" w:space="0" w:color="auto"/>
              <w:left w:val="single" w:sz="4" w:space="0" w:color="auto"/>
              <w:bottom w:val="single" w:sz="4" w:space="0" w:color="auto"/>
              <w:right w:val="single" w:sz="4" w:space="0" w:color="auto"/>
            </w:tcBorders>
            <w:hideMark/>
          </w:tcPr>
          <w:p w14:paraId="7D208B5B" w14:textId="6754A0EE" w:rsidR="00AA2363" w:rsidRPr="002926D7" w:rsidRDefault="00AA2363" w:rsidP="002926D7">
            <w:pPr>
              <w:jc w:val="left"/>
              <w:rPr>
                <w:rFonts w:cstheme="minorHAnsi"/>
                <w:bCs/>
                <w:iCs/>
                <w:sz w:val="18"/>
                <w:szCs w:val="18"/>
              </w:rPr>
            </w:pPr>
            <w:r w:rsidRPr="002926D7">
              <w:rPr>
                <w:rFonts w:cstheme="minorHAnsi"/>
                <w:b/>
                <w:iCs/>
                <w:sz w:val="18"/>
                <w:szCs w:val="18"/>
              </w:rPr>
              <w:t xml:space="preserve">Indicator </w:t>
            </w:r>
            <w:r w:rsidR="004F0787" w:rsidRPr="002926D7">
              <w:rPr>
                <w:rFonts w:cstheme="minorHAnsi"/>
                <w:b/>
                <w:iCs/>
                <w:sz w:val="18"/>
                <w:szCs w:val="18"/>
              </w:rPr>
              <w:t>1</w:t>
            </w:r>
            <w:r w:rsidR="0010636B" w:rsidRPr="002926D7">
              <w:rPr>
                <w:rFonts w:cstheme="minorHAnsi"/>
                <w:b/>
                <w:iCs/>
                <w:sz w:val="18"/>
                <w:szCs w:val="18"/>
              </w:rPr>
              <w:t>4</w:t>
            </w:r>
            <w:r w:rsidRPr="002926D7">
              <w:rPr>
                <w:rFonts w:cstheme="minorHAnsi"/>
                <w:bCs/>
                <w:iCs/>
                <w:sz w:val="18"/>
                <w:szCs w:val="18"/>
              </w:rPr>
              <w:t>: Number of local to global coalitions for chemicals and waste management strengthened and/or established.</w:t>
            </w:r>
          </w:p>
        </w:tc>
        <w:tc>
          <w:tcPr>
            <w:tcW w:w="1292" w:type="dxa"/>
            <w:tcBorders>
              <w:top w:val="single" w:sz="4" w:space="0" w:color="auto"/>
              <w:left w:val="single" w:sz="4" w:space="0" w:color="auto"/>
              <w:bottom w:val="single" w:sz="4" w:space="0" w:color="auto"/>
              <w:right w:val="single" w:sz="4" w:space="0" w:color="auto"/>
            </w:tcBorders>
            <w:hideMark/>
          </w:tcPr>
          <w:p w14:paraId="648F2362" w14:textId="77777777" w:rsidR="00AA2363" w:rsidRPr="002926D7" w:rsidRDefault="00AA2363" w:rsidP="002926D7">
            <w:pPr>
              <w:jc w:val="left"/>
              <w:rPr>
                <w:rFonts w:cstheme="minorHAnsi"/>
                <w:bCs/>
                <w:iCs/>
                <w:sz w:val="18"/>
                <w:szCs w:val="18"/>
              </w:rPr>
            </w:pPr>
            <w:r w:rsidRPr="002926D7">
              <w:rPr>
                <w:rFonts w:cstheme="minorHAnsi"/>
                <w:bCs/>
                <w:iCs/>
                <w:sz w:val="18"/>
                <w:szCs w:val="18"/>
              </w:rPr>
              <w:t>AMR</w:t>
            </w:r>
          </w:p>
        </w:tc>
        <w:tc>
          <w:tcPr>
            <w:tcW w:w="1707" w:type="dxa"/>
            <w:tcBorders>
              <w:top w:val="single" w:sz="4" w:space="0" w:color="auto"/>
              <w:left w:val="single" w:sz="4" w:space="0" w:color="auto"/>
              <w:bottom w:val="single" w:sz="4" w:space="0" w:color="auto"/>
              <w:right w:val="single" w:sz="4" w:space="0" w:color="auto"/>
            </w:tcBorders>
            <w:hideMark/>
          </w:tcPr>
          <w:p w14:paraId="624D5438" w14:textId="77777777" w:rsidR="00AA2363" w:rsidRPr="002926D7" w:rsidRDefault="00AA2363" w:rsidP="002926D7">
            <w:pPr>
              <w:jc w:val="left"/>
              <w:rPr>
                <w:rFonts w:cstheme="minorHAnsi"/>
                <w:bCs/>
                <w:iCs/>
                <w:sz w:val="18"/>
                <w:szCs w:val="18"/>
              </w:rPr>
            </w:pPr>
            <w:r w:rsidRPr="002926D7">
              <w:rPr>
                <w:rFonts w:cstheme="minorHAnsi"/>
                <w:bCs/>
                <w:iCs/>
                <w:sz w:val="18"/>
                <w:szCs w:val="18"/>
              </w:rPr>
              <w:t>27</w:t>
            </w:r>
          </w:p>
          <w:p w14:paraId="4BA4DE95" w14:textId="77777777" w:rsidR="00AA2363" w:rsidRPr="002926D7" w:rsidRDefault="00AA2363" w:rsidP="002926D7">
            <w:pPr>
              <w:jc w:val="left"/>
              <w:rPr>
                <w:rFonts w:cstheme="minorHAnsi"/>
                <w:bCs/>
                <w:iCs/>
                <w:sz w:val="18"/>
                <w:szCs w:val="18"/>
              </w:rPr>
            </w:pPr>
            <w:r w:rsidRPr="002926D7">
              <w:rPr>
                <w:rFonts w:cstheme="minorHAnsi"/>
                <w:bCs/>
                <w:iCs/>
                <w:sz w:val="18"/>
                <w:szCs w:val="18"/>
              </w:rPr>
              <w:t>Source: 2023 AMR</w:t>
            </w:r>
          </w:p>
        </w:tc>
        <w:tc>
          <w:tcPr>
            <w:tcW w:w="1799" w:type="dxa"/>
            <w:tcBorders>
              <w:top w:val="single" w:sz="4" w:space="0" w:color="auto"/>
              <w:left w:val="single" w:sz="4" w:space="0" w:color="auto"/>
              <w:bottom w:val="single" w:sz="4" w:space="0" w:color="auto"/>
              <w:right w:val="single" w:sz="4" w:space="0" w:color="auto"/>
            </w:tcBorders>
            <w:hideMark/>
          </w:tcPr>
          <w:p w14:paraId="0EFBC5BC" w14:textId="77777777" w:rsidR="00AA2363" w:rsidRPr="002926D7" w:rsidRDefault="00AA2363" w:rsidP="002926D7">
            <w:pPr>
              <w:jc w:val="left"/>
              <w:rPr>
                <w:rFonts w:cstheme="minorHAnsi"/>
                <w:bCs/>
                <w:iCs/>
                <w:sz w:val="18"/>
                <w:szCs w:val="18"/>
              </w:rPr>
            </w:pPr>
            <w:r w:rsidRPr="002926D7">
              <w:rPr>
                <w:rFonts w:cstheme="minorHAnsi"/>
                <w:bCs/>
                <w:iCs/>
                <w:sz w:val="18"/>
                <w:szCs w:val="18"/>
              </w:rPr>
              <w:t>10 coalitions</w:t>
            </w:r>
          </w:p>
        </w:tc>
        <w:tc>
          <w:tcPr>
            <w:tcW w:w="1718" w:type="dxa"/>
            <w:tcBorders>
              <w:top w:val="single" w:sz="4" w:space="0" w:color="auto"/>
              <w:left w:val="single" w:sz="4" w:space="0" w:color="auto"/>
              <w:bottom w:val="single" w:sz="4" w:space="0" w:color="auto"/>
              <w:right w:val="single" w:sz="4" w:space="0" w:color="auto"/>
            </w:tcBorders>
            <w:hideMark/>
          </w:tcPr>
          <w:p w14:paraId="6BDD7B56" w14:textId="77777777" w:rsidR="00AA2363" w:rsidRPr="002926D7" w:rsidRDefault="00AA2363" w:rsidP="002926D7">
            <w:pPr>
              <w:jc w:val="left"/>
              <w:rPr>
                <w:rFonts w:cstheme="minorHAnsi"/>
                <w:iCs/>
                <w:sz w:val="18"/>
                <w:szCs w:val="18"/>
              </w:rPr>
            </w:pPr>
            <w:r w:rsidRPr="002926D7">
              <w:rPr>
                <w:rFonts w:cstheme="minorHAnsi"/>
                <w:iCs/>
                <w:sz w:val="18"/>
                <w:szCs w:val="18"/>
              </w:rPr>
              <w:t>20 coalitions</w:t>
            </w:r>
          </w:p>
        </w:tc>
        <w:tc>
          <w:tcPr>
            <w:tcW w:w="1531" w:type="dxa"/>
            <w:tcBorders>
              <w:top w:val="single" w:sz="4" w:space="0" w:color="auto"/>
              <w:left w:val="single" w:sz="4" w:space="0" w:color="auto"/>
              <w:bottom w:val="single" w:sz="4" w:space="0" w:color="auto"/>
              <w:right w:val="single" w:sz="4" w:space="0" w:color="auto"/>
            </w:tcBorders>
            <w:hideMark/>
          </w:tcPr>
          <w:p w14:paraId="2AD17B5E" w14:textId="77777777" w:rsidR="00AA2363" w:rsidRPr="002926D7" w:rsidRDefault="00AA2363" w:rsidP="002926D7">
            <w:pPr>
              <w:jc w:val="left"/>
              <w:rPr>
                <w:rFonts w:cstheme="minorHAnsi"/>
                <w:iCs/>
                <w:sz w:val="18"/>
                <w:szCs w:val="18"/>
              </w:rPr>
            </w:pPr>
            <w:r w:rsidRPr="002926D7">
              <w:rPr>
                <w:rFonts w:cs="Calibri"/>
                <w:sz w:val="18"/>
                <w:szCs w:val="18"/>
              </w:rPr>
              <w:t>Grantee monitoring reports; Impact reviews; SGP database</w:t>
            </w:r>
          </w:p>
        </w:tc>
        <w:tc>
          <w:tcPr>
            <w:tcW w:w="2155" w:type="dxa"/>
            <w:tcBorders>
              <w:top w:val="single" w:sz="4" w:space="0" w:color="auto"/>
              <w:left w:val="single" w:sz="4" w:space="0" w:color="auto"/>
              <w:bottom w:val="single" w:sz="4" w:space="0" w:color="auto"/>
              <w:right w:val="single" w:sz="4" w:space="0" w:color="auto"/>
            </w:tcBorders>
          </w:tcPr>
          <w:p w14:paraId="417698FE" w14:textId="77777777" w:rsidR="00AA2363" w:rsidRPr="002926D7" w:rsidRDefault="00AA2363" w:rsidP="002926D7">
            <w:pPr>
              <w:jc w:val="left"/>
              <w:rPr>
                <w:rFonts w:cstheme="minorHAnsi"/>
                <w:iCs/>
                <w:sz w:val="18"/>
                <w:szCs w:val="18"/>
              </w:rPr>
            </w:pPr>
            <w:r w:rsidRPr="002926D7">
              <w:rPr>
                <w:rFonts w:cstheme="minorHAnsi"/>
                <w:sz w:val="18"/>
                <w:szCs w:val="18"/>
              </w:rPr>
              <w:t>Stakeholders share common goals and objectives related to the management of chemicals and waste.</w:t>
            </w:r>
          </w:p>
        </w:tc>
      </w:tr>
      <w:tr w:rsidR="00AA2363" w:rsidRPr="002926D7" w14:paraId="27854195" w14:textId="77777777" w:rsidTr="00025B2D">
        <w:trPr>
          <w:trHeight w:val="440"/>
        </w:trPr>
        <w:tc>
          <w:tcPr>
            <w:tcW w:w="1525" w:type="dxa"/>
            <w:vMerge/>
            <w:tcBorders>
              <w:left w:val="single" w:sz="4" w:space="0" w:color="auto"/>
              <w:right w:val="single" w:sz="4" w:space="0" w:color="auto"/>
            </w:tcBorders>
            <w:vAlign w:val="center"/>
            <w:hideMark/>
          </w:tcPr>
          <w:p w14:paraId="691A1343" w14:textId="77777777" w:rsidR="00AA2363" w:rsidRPr="002926D7" w:rsidRDefault="00AA2363" w:rsidP="002926D7">
            <w:pPr>
              <w:jc w:val="left"/>
              <w:rPr>
                <w:rFonts w:cstheme="minorHAnsi"/>
                <w:b/>
                <w:bCs/>
                <w:sz w:val="18"/>
                <w:szCs w:val="18"/>
              </w:rPr>
            </w:pPr>
          </w:p>
        </w:tc>
        <w:tc>
          <w:tcPr>
            <w:tcW w:w="2668" w:type="dxa"/>
            <w:tcBorders>
              <w:top w:val="single" w:sz="4" w:space="0" w:color="auto"/>
              <w:left w:val="single" w:sz="4" w:space="0" w:color="auto"/>
              <w:bottom w:val="single" w:sz="4" w:space="0" w:color="auto"/>
              <w:right w:val="single" w:sz="4" w:space="0" w:color="auto"/>
            </w:tcBorders>
            <w:hideMark/>
          </w:tcPr>
          <w:p w14:paraId="2861EE66" w14:textId="34AEAB32" w:rsidR="00AA2363" w:rsidRPr="002926D7" w:rsidRDefault="00AA2363" w:rsidP="002926D7">
            <w:pPr>
              <w:jc w:val="left"/>
              <w:rPr>
                <w:rFonts w:cstheme="minorHAnsi"/>
                <w:bCs/>
                <w:iCs/>
                <w:sz w:val="18"/>
                <w:szCs w:val="18"/>
              </w:rPr>
            </w:pPr>
            <w:r w:rsidRPr="002926D7">
              <w:rPr>
                <w:rFonts w:cstheme="minorHAnsi"/>
                <w:b/>
                <w:iCs/>
                <w:sz w:val="18"/>
                <w:szCs w:val="18"/>
              </w:rPr>
              <w:t xml:space="preserve">Indicator </w:t>
            </w:r>
            <w:r w:rsidR="004F0787" w:rsidRPr="002926D7">
              <w:rPr>
                <w:rFonts w:cstheme="minorHAnsi"/>
                <w:b/>
                <w:iCs/>
                <w:sz w:val="18"/>
                <w:szCs w:val="18"/>
              </w:rPr>
              <w:t>1</w:t>
            </w:r>
            <w:r w:rsidR="0010636B" w:rsidRPr="002926D7">
              <w:rPr>
                <w:rFonts w:cstheme="minorHAnsi"/>
                <w:b/>
                <w:iCs/>
                <w:sz w:val="18"/>
                <w:szCs w:val="18"/>
              </w:rPr>
              <w:t>5</w:t>
            </w:r>
            <w:r w:rsidRPr="002926D7">
              <w:rPr>
                <w:rFonts w:cstheme="minorHAnsi"/>
                <w:bCs/>
                <w:iCs/>
                <w:sz w:val="18"/>
                <w:szCs w:val="18"/>
              </w:rPr>
              <w:t>: Number of community-based sustainable solutions in urban landscapes (e.g., transport, biodiversity conservation, chemical and waste management, energy efficiency, watershed protection, etc.)</w:t>
            </w:r>
          </w:p>
        </w:tc>
        <w:tc>
          <w:tcPr>
            <w:tcW w:w="1292" w:type="dxa"/>
            <w:tcBorders>
              <w:top w:val="single" w:sz="4" w:space="0" w:color="auto"/>
              <w:left w:val="single" w:sz="4" w:space="0" w:color="auto"/>
              <w:bottom w:val="single" w:sz="4" w:space="0" w:color="auto"/>
              <w:right w:val="single" w:sz="4" w:space="0" w:color="auto"/>
            </w:tcBorders>
            <w:hideMark/>
          </w:tcPr>
          <w:p w14:paraId="50037899" w14:textId="77777777" w:rsidR="00AA2363" w:rsidRPr="002926D7" w:rsidRDefault="00AA2363" w:rsidP="002926D7">
            <w:pPr>
              <w:jc w:val="left"/>
              <w:rPr>
                <w:rFonts w:cstheme="minorHAnsi"/>
                <w:bCs/>
                <w:sz w:val="18"/>
                <w:szCs w:val="18"/>
              </w:rPr>
            </w:pPr>
            <w:r w:rsidRPr="002926D7">
              <w:rPr>
                <w:rFonts w:cstheme="minorHAnsi"/>
                <w:bCs/>
                <w:sz w:val="18"/>
                <w:szCs w:val="18"/>
              </w:rPr>
              <w:t>Grantee Monitoring Report</w:t>
            </w:r>
          </w:p>
          <w:p w14:paraId="3036729B" w14:textId="77777777" w:rsidR="00AA2363" w:rsidRPr="002926D7" w:rsidRDefault="00AA2363" w:rsidP="002926D7">
            <w:pPr>
              <w:jc w:val="left"/>
              <w:rPr>
                <w:rFonts w:cstheme="minorHAnsi"/>
                <w:bCs/>
                <w:iCs/>
                <w:sz w:val="18"/>
                <w:szCs w:val="18"/>
              </w:rPr>
            </w:pPr>
            <w:r w:rsidRPr="002926D7">
              <w:rPr>
                <w:rFonts w:cstheme="minorHAnsi"/>
                <w:bCs/>
                <w:sz w:val="18"/>
                <w:szCs w:val="18"/>
              </w:rPr>
              <w:t>Impact reviews</w:t>
            </w:r>
          </w:p>
        </w:tc>
        <w:tc>
          <w:tcPr>
            <w:tcW w:w="1707" w:type="dxa"/>
            <w:tcBorders>
              <w:top w:val="single" w:sz="4" w:space="0" w:color="auto"/>
              <w:left w:val="single" w:sz="4" w:space="0" w:color="auto"/>
              <w:bottom w:val="single" w:sz="4" w:space="0" w:color="auto"/>
              <w:right w:val="single" w:sz="4" w:space="0" w:color="auto"/>
            </w:tcBorders>
          </w:tcPr>
          <w:p w14:paraId="33D762CD" w14:textId="77777777" w:rsidR="00AA2363" w:rsidRPr="002926D7" w:rsidRDefault="00AA2363" w:rsidP="002926D7">
            <w:pPr>
              <w:jc w:val="left"/>
              <w:rPr>
                <w:rFonts w:cstheme="minorHAnsi"/>
                <w:bCs/>
                <w:iCs/>
                <w:sz w:val="18"/>
                <w:szCs w:val="18"/>
              </w:rPr>
            </w:pPr>
          </w:p>
        </w:tc>
        <w:tc>
          <w:tcPr>
            <w:tcW w:w="1799" w:type="dxa"/>
            <w:tcBorders>
              <w:top w:val="single" w:sz="4" w:space="0" w:color="auto"/>
              <w:left w:val="single" w:sz="4" w:space="0" w:color="auto"/>
              <w:bottom w:val="single" w:sz="4" w:space="0" w:color="auto"/>
              <w:right w:val="single" w:sz="4" w:space="0" w:color="auto"/>
            </w:tcBorders>
            <w:hideMark/>
          </w:tcPr>
          <w:p w14:paraId="68F618AE" w14:textId="77777777" w:rsidR="00AA2363" w:rsidRPr="002926D7" w:rsidRDefault="00AA2363" w:rsidP="002926D7">
            <w:pPr>
              <w:jc w:val="left"/>
              <w:rPr>
                <w:rFonts w:cstheme="minorHAnsi"/>
                <w:bCs/>
                <w:iCs/>
                <w:sz w:val="18"/>
                <w:szCs w:val="18"/>
              </w:rPr>
            </w:pPr>
            <w:r w:rsidRPr="002926D7">
              <w:rPr>
                <w:rFonts w:cstheme="minorHAnsi"/>
                <w:bCs/>
                <w:iCs/>
                <w:sz w:val="18"/>
                <w:szCs w:val="18"/>
              </w:rPr>
              <w:t>3 urban solutions</w:t>
            </w:r>
          </w:p>
        </w:tc>
        <w:tc>
          <w:tcPr>
            <w:tcW w:w="1718" w:type="dxa"/>
            <w:tcBorders>
              <w:top w:val="single" w:sz="4" w:space="0" w:color="auto"/>
              <w:left w:val="single" w:sz="4" w:space="0" w:color="auto"/>
              <w:bottom w:val="single" w:sz="4" w:space="0" w:color="auto"/>
              <w:right w:val="single" w:sz="4" w:space="0" w:color="auto"/>
            </w:tcBorders>
            <w:hideMark/>
          </w:tcPr>
          <w:p w14:paraId="441DAC9E" w14:textId="77777777" w:rsidR="00AA2363" w:rsidRPr="002926D7" w:rsidRDefault="00AA2363" w:rsidP="002926D7">
            <w:pPr>
              <w:jc w:val="left"/>
              <w:rPr>
                <w:rFonts w:cstheme="minorHAnsi"/>
                <w:iCs/>
                <w:sz w:val="18"/>
                <w:szCs w:val="18"/>
              </w:rPr>
            </w:pPr>
            <w:r w:rsidRPr="002926D7">
              <w:rPr>
                <w:rFonts w:cstheme="minorHAnsi"/>
                <w:iCs/>
                <w:sz w:val="18"/>
                <w:szCs w:val="18"/>
              </w:rPr>
              <w:t>10 urban solutions</w:t>
            </w:r>
          </w:p>
        </w:tc>
        <w:tc>
          <w:tcPr>
            <w:tcW w:w="1531" w:type="dxa"/>
            <w:tcBorders>
              <w:top w:val="single" w:sz="4" w:space="0" w:color="auto"/>
              <w:left w:val="single" w:sz="4" w:space="0" w:color="auto"/>
              <w:bottom w:val="single" w:sz="4" w:space="0" w:color="auto"/>
              <w:right w:val="single" w:sz="4" w:space="0" w:color="auto"/>
            </w:tcBorders>
            <w:hideMark/>
          </w:tcPr>
          <w:p w14:paraId="41740855" w14:textId="77777777" w:rsidR="00AA2363" w:rsidRPr="002926D7" w:rsidRDefault="00AA2363" w:rsidP="002926D7">
            <w:pPr>
              <w:jc w:val="left"/>
              <w:rPr>
                <w:rFonts w:cstheme="minorHAnsi"/>
                <w:iCs/>
                <w:sz w:val="18"/>
                <w:szCs w:val="18"/>
              </w:rPr>
            </w:pPr>
            <w:r w:rsidRPr="002926D7">
              <w:rPr>
                <w:rFonts w:cs="Calibri"/>
                <w:sz w:val="18"/>
                <w:szCs w:val="18"/>
              </w:rPr>
              <w:t>Grantee monitoring reports; Impact reviews</w:t>
            </w:r>
          </w:p>
        </w:tc>
        <w:tc>
          <w:tcPr>
            <w:tcW w:w="2155" w:type="dxa"/>
            <w:tcBorders>
              <w:top w:val="single" w:sz="4" w:space="0" w:color="auto"/>
              <w:left w:val="single" w:sz="4" w:space="0" w:color="auto"/>
              <w:bottom w:val="single" w:sz="4" w:space="0" w:color="auto"/>
              <w:right w:val="single" w:sz="4" w:space="0" w:color="auto"/>
            </w:tcBorders>
            <w:hideMark/>
          </w:tcPr>
          <w:p w14:paraId="1B70840A" w14:textId="54303837" w:rsidR="00AA2363" w:rsidRPr="002926D7" w:rsidRDefault="00AA2363" w:rsidP="002926D7">
            <w:pPr>
              <w:jc w:val="left"/>
              <w:rPr>
                <w:rFonts w:cstheme="minorHAnsi"/>
                <w:iCs/>
                <w:sz w:val="18"/>
                <w:szCs w:val="18"/>
              </w:rPr>
            </w:pPr>
            <w:r w:rsidRPr="002926D7">
              <w:rPr>
                <w:rFonts w:cstheme="minorHAnsi"/>
                <w:iCs/>
                <w:sz w:val="18"/>
                <w:szCs w:val="18"/>
              </w:rPr>
              <w:t>Effective collaboration among various stakeholders, including local government agencies, non-governmental organizations, businesses, and residents</w:t>
            </w:r>
            <w:r w:rsidR="000C5CD1" w:rsidRPr="002926D7">
              <w:rPr>
                <w:rFonts w:cstheme="minorHAnsi"/>
                <w:iCs/>
                <w:sz w:val="18"/>
                <w:szCs w:val="18"/>
              </w:rPr>
              <w:t>.</w:t>
            </w:r>
          </w:p>
          <w:p w14:paraId="46864155" w14:textId="77777777" w:rsidR="00AA2363" w:rsidRPr="002926D7" w:rsidRDefault="00AA2363" w:rsidP="002926D7">
            <w:pPr>
              <w:jc w:val="left"/>
              <w:rPr>
                <w:rFonts w:cstheme="minorHAnsi"/>
                <w:iCs/>
                <w:sz w:val="18"/>
                <w:szCs w:val="18"/>
              </w:rPr>
            </w:pPr>
            <w:r w:rsidRPr="002926D7">
              <w:rPr>
                <w:rFonts w:cstheme="minorHAnsi"/>
                <w:iCs/>
                <w:sz w:val="18"/>
                <w:szCs w:val="18"/>
              </w:rPr>
              <w:t>Supportive policies and regulations are in place at the local and national levels</w:t>
            </w:r>
          </w:p>
        </w:tc>
      </w:tr>
      <w:tr w:rsidR="00C45730" w:rsidRPr="002926D7" w14:paraId="34A62761" w14:textId="77777777" w:rsidTr="00025B2D">
        <w:trPr>
          <w:trHeight w:val="440"/>
        </w:trPr>
        <w:tc>
          <w:tcPr>
            <w:tcW w:w="1525" w:type="dxa"/>
            <w:vMerge/>
            <w:tcBorders>
              <w:left w:val="single" w:sz="4" w:space="0" w:color="auto"/>
              <w:right w:val="single" w:sz="4" w:space="0" w:color="auto"/>
            </w:tcBorders>
            <w:vAlign w:val="center"/>
            <w:hideMark/>
          </w:tcPr>
          <w:p w14:paraId="3E31B397" w14:textId="77777777" w:rsidR="00C45730" w:rsidRPr="002926D7" w:rsidRDefault="00C45730" w:rsidP="002926D7">
            <w:pPr>
              <w:jc w:val="left"/>
              <w:rPr>
                <w:rFonts w:cstheme="minorHAnsi"/>
                <w:b/>
                <w:bCs/>
                <w:sz w:val="18"/>
                <w:szCs w:val="18"/>
              </w:rPr>
            </w:pPr>
          </w:p>
        </w:tc>
        <w:tc>
          <w:tcPr>
            <w:tcW w:w="2668" w:type="dxa"/>
            <w:tcBorders>
              <w:top w:val="single" w:sz="4" w:space="0" w:color="auto"/>
              <w:left w:val="single" w:sz="4" w:space="0" w:color="auto"/>
              <w:bottom w:val="single" w:sz="4" w:space="0" w:color="auto"/>
              <w:right w:val="single" w:sz="4" w:space="0" w:color="auto"/>
            </w:tcBorders>
            <w:hideMark/>
          </w:tcPr>
          <w:p w14:paraId="13C3861E" w14:textId="2BEA63C0" w:rsidR="00C45730" w:rsidRPr="002926D7" w:rsidRDefault="00C45730" w:rsidP="002926D7">
            <w:pPr>
              <w:jc w:val="left"/>
              <w:rPr>
                <w:rFonts w:cstheme="minorHAnsi"/>
                <w:bCs/>
                <w:iCs/>
                <w:sz w:val="18"/>
                <w:szCs w:val="18"/>
              </w:rPr>
            </w:pPr>
            <w:r w:rsidRPr="002926D7">
              <w:rPr>
                <w:rFonts w:cstheme="minorHAnsi"/>
                <w:b/>
                <w:iCs/>
                <w:sz w:val="18"/>
                <w:szCs w:val="18"/>
              </w:rPr>
              <w:t>Indicator 1</w:t>
            </w:r>
            <w:r w:rsidR="0010636B" w:rsidRPr="002926D7">
              <w:rPr>
                <w:rFonts w:cstheme="minorHAnsi"/>
                <w:b/>
                <w:iCs/>
                <w:sz w:val="18"/>
                <w:szCs w:val="18"/>
              </w:rPr>
              <w:t>6</w:t>
            </w:r>
            <w:r w:rsidRPr="002926D7">
              <w:rPr>
                <w:rFonts w:cstheme="minorHAnsi"/>
                <w:bCs/>
                <w:iCs/>
                <w:sz w:val="18"/>
                <w:szCs w:val="18"/>
              </w:rPr>
              <w:t>: Number of projects with focused interventions promoting gender equality and women’s empowerment</w:t>
            </w:r>
          </w:p>
        </w:tc>
        <w:tc>
          <w:tcPr>
            <w:tcW w:w="1292" w:type="dxa"/>
            <w:tcBorders>
              <w:top w:val="single" w:sz="4" w:space="0" w:color="auto"/>
              <w:left w:val="single" w:sz="4" w:space="0" w:color="auto"/>
              <w:bottom w:val="single" w:sz="4" w:space="0" w:color="auto"/>
              <w:right w:val="single" w:sz="4" w:space="0" w:color="auto"/>
            </w:tcBorders>
            <w:hideMark/>
          </w:tcPr>
          <w:p w14:paraId="4EFCF3B5" w14:textId="77777777" w:rsidR="00C45730" w:rsidRPr="002926D7" w:rsidRDefault="00C45730" w:rsidP="002926D7">
            <w:pPr>
              <w:jc w:val="left"/>
              <w:rPr>
                <w:rFonts w:cstheme="minorHAnsi"/>
                <w:bCs/>
                <w:iCs/>
                <w:sz w:val="18"/>
                <w:szCs w:val="18"/>
              </w:rPr>
            </w:pPr>
            <w:r w:rsidRPr="002926D7">
              <w:rPr>
                <w:rFonts w:cstheme="minorHAnsi"/>
                <w:bCs/>
                <w:iCs/>
                <w:sz w:val="18"/>
                <w:szCs w:val="18"/>
              </w:rPr>
              <w:t>AMR</w:t>
            </w:r>
          </w:p>
        </w:tc>
        <w:tc>
          <w:tcPr>
            <w:tcW w:w="1707" w:type="dxa"/>
            <w:tcBorders>
              <w:top w:val="single" w:sz="4" w:space="0" w:color="auto"/>
              <w:left w:val="single" w:sz="4" w:space="0" w:color="auto"/>
              <w:bottom w:val="single" w:sz="4" w:space="0" w:color="auto"/>
              <w:right w:val="single" w:sz="4" w:space="0" w:color="auto"/>
            </w:tcBorders>
          </w:tcPr>
          <w:p w14:paraId="591E332E" w14:textId="77777777" w:rsidR="00C45730" w:rsidRPr="002926D7" w:rsidRDefault="00C45730" w:rsidP="002926D7">
            <w:pPr>
              <w:jc w:val="left"/>
              <w:rPr>
                <w:rFonts w:cstheme="minorHAnsi"/>
                <w:bCs/>
                <w:iCs/>
                <w:sz w:val="18"/>
                <w:szCs w:val="18"/>
              </w:rPr>
            </w:pPr>
            <w:r w:rsidRPr="002926D7">
              <w:rPr>
                <w:rFonts w:cstheme="minorHAnsi"/>
                <w:bCs/>
                <w:iCs/>
                <w:sz w:val="18"/>
                <w:szCs w:val="18"/>
              </w:rPr>
              <w:t>81% of projects that involve focused interventions on advancement of gender equality and women’s empowerment objectives</w:t>
            </w:r>
          </w:p>
          <w:p w14:paraId="769E5009" w14:textId="77777777" w:rsidR="00C45730" w:rsidRPr="002926D7" w:rsidRDefault="00C45730" w:rsidP="002926D7">
            <w:pPr>
              <w:jc w:val="left"/>
              <w:rPr>
                <w:rFonts w:cstheme="minorHAnsi"/>
                <w:bCs/>
                <w:iCs/>
                <w:sz w:val="18"/>
                <w:szCs w:val="18"/>
              </w:rPr>
            </w:pPr>
          </w:p>
          <w:p w14:paraId="327171CA" w14:textId="77777777" w:rsidR="00C45730" w:rsidRPr="002926D7" w:rsidRDefault="00C45730" w:rsidP="002926D7">
            <w:pPr>
              <w:jc w:val="left"/>
              <w:rPr>
                <w:rFonts w:cstheme="minorHAnsi"/>
                <w:bCs/>
                <w:iCs/>
                <w:sz w:val="18"/>
                <w:szCs w:val="18"/>
              </w:rPr>
            </w:pPr>
            <w:r w:rsidRPr="002926D7">
              <w:rPr>
                <w:rFonts w:cstheme="minorHAnsi"/>
                <w:bCs/>
                <w:iCs/>
                <w:sz w:val="18"/>
                <w:szCs w:val="18"/>
              </w:rPr>
              <w:t>Source: AMR 2023</w:t>
            </w:r>
          </w:p>
        </w:tc>
        <w:tc>
          <w:tcPr>
            <w:tcW w:w="1799" w:type="dxa"/>
            <w:tcBorders>
              <w:top w:val="single" w:sz="4" w:space="0" w:color="auto"/>
              <w:left w:val="single" w:sz="4" w:space="0" w:color="auto"/>
              <w:bottom w:val="single" w:sz="4" w:space="0" w:color="auto"/>
              <w:right w:val="single" w:sz="4" w:space="0" w:color="auto"/>
            </w:tcBorders>
            <w:hideMark/>
          </w:tcPr>
          <w:p w14:paraId="45272A6C" w14:textId="77777777" w:rsidR="00C45730" w:rsidRPr="002926D7" w:rsidRDefault="00C45730" w:rsidP="002926D7">
            <w:pPr>
              <w:jc w:val="left"/>
              <w:rPr>
                <w:rFonts w:cstheme="minorHAnsi"/>
                <w:bCs/>
                <w:iCs/>
                <w:sz w:val="18"/>
                <w:szCs w:val="18"/>
              </w:rPr>
            </w:pPr>
            <w:r w:rsidRPr="002926D7">
              <w:rPr>
                <w:rFonts w:cstheme="minorHAnsi"/>
                <w:bCs/>
                <w:iCs/>
                <w:sz w:val="18"/>
                <w:szCs w:val="18"/>
              </w:rPr>
              <w:t>70% of projects by midterm</w:t>
            </w:r>
          </w:p>
        </w:tc>
        <w:tc>
          <w:tcPr>
            <w:tcW w:w="1718" w:type="dxa"/>
            <w:tcBorders>
              <w:top w:val="single" w:sz="4" w:space="0" w:color="auto"/>
              <w:left w:val="single" w:sz="4" w:space="0" w:color="auto"/>
              <w:bottom w:val="single" w:sz="4" w:space="0" w:color="auto"/>
              <w:right w:val="single" w:sz="4" w:space="0" w:color="auto"/>
            </w:tcBorders>
            <w:hideMark/>
          </w:tcPr>
          <w:p w14:paraId="0A935B7C" w14:textId="77777777" w:rsidR="00C45730" w:rsidRPr="002926D7" w:rsidRDefault="00C45730" w:rsidP="002926D7">
            <w:pPr>
              <w:jc w:val="left"/>
              <w:rPr>
                <w:rFonts w:cstheme="minorHAnsi"/>
                <w:iCs/>
                <w:sz w:val="18"/>
                <w:szCs w:val="18"/>
              </w:rPr>
            </w:pPr>
            <w:r w:rsidRPr="002926D7">
              <w:rPr>
                <w:rFonts w:cstheme="minorHAnsi"/>
                <w:iCs/>
                <w:sz w:val="18"/>
                <w:szCs w:val="18"/>
              </w:rPr>
              <w:t xml:space="preserve">80% of </w:t>
            </w:r>
            <w:r w:rsidRPr="002926D7">
              <w:rPr>
                <w:rFonts w:cstheme="minorHAnsi"/>
                <w:bCs/>
                <w:iCs/>
                <w:sz w:val="18"/>
                <w:szCs w:val="18"/>
              </w:rPr>
              <w:t>projects</w:t>
            </w:r>
          </w:p>
        </w:tc>
        <w:tc>
          <w:tcPr>
            <w:tcW w:w="1531" w:type="dxa"/>
            <w:tcBorders>
              <w:top w:val="single" w:sz="4" w:space="0" w:color="auto"/>
              <w:left w:val="single" w:sz="4" w:space="0" w:color="auto"/>
              <w:bottom w:val="single" w:sz="4" w:space="0" w:color="auto"/>
              <w:right w:val="single" w:sz="4" w:space="0" w:color="auto"/>
            </w:tcBorders>
            <w:hideMark/>
          </w:tcPr>
          <w:p w14:paraId="52296D40" w14:textId="77777777" w:rsidR="00C45730" w:rsidRPr="002926D7" w:rsidRDefault="00C45730" w:rsidP="002926D7">
            <w:pPr>
              <w:jc w:val="left"/>
              <w:rPr>
                <w:rFonts w:cstheme="minorHAnsi"/>
                <w:iCs/>
                <w:sz w:val="18"/>
                <w:szCs w:val="18"/>
              </w:rPr>
            </w:pPr>
            <w:r w:rsidRPr="002926D7">
              <w:rPr>
                <w:rFonts w:cs="Calibri"/>
                <w:sz w:val="18"/>
                <w:szCs w:val="18"/>
              </w:rPr>
              <w:t>Grantee monitoring reports; Impact reviews; SGP database</w:t>
            </w:r>
          </w:p>
        </w:tc>
        <w:tc>
          <w:tcPr>
            <w:tcW w:w="2155" w:type="dxa"/>
            <w:vMerge w:val="restart"/>
            <w:tcBorders>
              <w:top w:val="single" w:sz="4" w:space="0" w:color="auto"/>
              <w:left w:val="single" w:sz="4" w:space="0" w:color="auto"/>
              <w:right w:val="single" w:sz="4" w:space="0" w:color="auto"/>
            </w:tcBorders>
            <w:hideMark/>
          </w:tcPr>
          <w:p w14:paraId="1A511BDA" w14:textId="631CB2EB" w:rsidR="00C45730" w:rsidRPr="002926D7" w:rsidRDefault="00C45730" w:rsidP="002926D7">
            <w:pPr>
              <w:jc w:val="left"/>
              <w:rPr>
                <w:rFonts w:cstheme="minorHAnsi"/>
                <w:iCs/>
                <w:sz w:val="18"/>
                <w:szCs w:val="18"/>
              </w:rPr>
            </w:pPr>
            <w:r w:rsidRPr="002926D7">
              <w:rPr>
                <w:rFonts w:cstheme="minorHAnsi"/>
                <w:sz w:val="18"/>
                <w:szCs w:val="18"/>
              </w:rPr>
              <w:t>Stakeholders involved in project planning and implementation are committed to promoting gender equality and women's empowerment, and inclusion of youth and socially marginalized groups.</w:t>
            </w:r>
          </w:p>
        </w:tc>
      </w:tr>
      <w:tr w:rsidR="00C45730" w:rsidRPr="002926D7" w14:paraId="74AEC49A" w14:textId="77777777" w:rsidTr="00CF7940">
        <w:trPr>
          <w:trHeight w:val="440"/>
        </w:trPr>
        <w:tc>
          <w:tcPr>
            <w:tcW w:w="1525" w:type="dxa"/>
            <w:vMerge/>
            <w:tcBorders>
              <w:left w:val="single" w:sz="4" w:space="0" w:color="auto"/>
              <w:right w:val="single" w:sz="4" w:space="0" w:color="auto"/>
            </w:tcBorders>
            <w:vAlign w:val="center"/>
            <w:hideMark/>
          </w:tcPr>
          <w:p w14:paraId="65417C05" w14:textId="77777777" w:rsidR="00C45730" w:rsidRPr="002926D7" w:rsidRDefault="00C45730" w:rsidP="002926D7">
            <w:pPr>
              <w:jc w:val="left"/>
              <w:rPr>
                <w:rFonts w:cstheme="minorHAnsi"/>
                <w:b/>
                <w:bCs/>
                <w:sz w:val="18"/>
                <w:szCs w:val="18"/>
              </w:rPr>
            </w:pPr>
          </w:p>
        </w:tc>
        <w:tc>
          <w:tcPr>
            <w:tcW w:w="2668" w:type="dxa"/>
            <w:tcBorders>
              <w:top w:val="single" w:sz="4" w:space="0" w:color="auto"/>
              <w:left w:val="single" w:sz="4" w:space="0" w:color="auto"/>
              <w:bottom w:val="single" w:sz="4" w:space="0" w:color="auto"/>
              <w:right w:val="single" w:sz="4" w:space="0" w:color="auto"/>
            </w:tcBorders>
            <w:hideMark/>
          </w:tcPr>
          <w:p w14:paraId="1C3FA61C" w14:textId="5A017445" w:rsidR="00C45730" w:rsidRPr="002926D7" w:rsidRDefault="00C45730" w:rsidP="002926D7">
            <w:pPr>
              <w:jc w:val="left"/>
              <w:rPr>
                <w:rFonts w:cstheme="minorHAnsi"/>
                <w:iCs/>
                <w:sz w:val="18"/>
                <w:szCs w:val="18"/>
              </w:rPr>
            </w:pPr>
            <w:r w:rsidRPr="002926D7">
              <w:rPr>
                <w:rFonts w:cstheme="minorHAnsi"/>
                <w:b/>
                <w:iCs/>
                <w:sz w:val="18"/>
                <w:szCs w:val="18"/>
              </w:rPr>
              <w:t>Indicator 1</w:t>
            </w:r>
            <w:r w:rsidR="0010636B" w:rsidRPr="002926D7">
              <w:rPr>
                <w:rFonts w:cstheme="minorHAnsi"/>
                <w:b/>
                <w:iCs/>
                <w:sz w:val="18"/>
                <w:szCs w:val="18"/>
              </w:rPr>
              <w:t>7</w:t>
            </w:r>
            <w:r w:rsidRPr="002926D7">
              <w:rPr>
                <w:rFonts w:cstheme="minorHAnsi"/>
                <w:bCs/>
                <w:iCs/>
                <w:sz w:val="18"/>
                <w:szCs w:val="18"/>
              </w:rPr>
              <w:t xml:space="preserve">: </w:t>
            </w:r>
            <w:r w:rsidRPr="002926D7">
              <w:rPr>
                <w:rFonts w:cstheme="minorHAnsi"/>
                <w:bCs/>
                <w:sz w:val="18"/>
                <w:szCs w:val="18"/>
              </w:rPr>
              <w:t>Number of SGP countries that demonstrate models of engaging (a) Indigenous Peoples, (b) youth, and (c), persons with disabilities.</w:t>
            </w:r>
          </w:p>
        </w:tc>
        <w:tc>
          <w:tcPr>
            <w:tcW w:w="1292" w:type="dxa"/>
            <w:tcBorders>
              <w:top w:val="single" w:sz="4" w:space="0" w:color="auto"/>
              <w:left w:val="single" w:sz="4" w:space="0" w:color="auto"/>
              <w:bottom w:val="single" w:sz="4" w:space="0" w:color="auto"/>
              <w:right w:val="single" w:sz="4" w:space="0" w:color="auto"/>
            </w:tcBorders>
            <w:hideMark/>
          </w:tcPr>
          <w:p w14:paraId="50D42EED" w14:textId="77777777" w:rsidR="00C45730" w:rsidRPr="002926D7" w:rsidRDefault="00C45730" w:rsidP="002926D7">
            <w:pPr>
              <w:jc w:val="left"/>
              <w:rPr>
                <w:rFonts w:cstheme="minorHAnsi"/>
                <w:bCs/>
                <w:iCs/>
                <w:sz w:val="18"/>
                <w:szCs w:val="18"/>
              </w:rPr>
            </w:pPr>
            <w:r w:rsidRPr="002926D7">
              <w:rPr>
                <w:rFonts w:cstheme="minorHAnsi"/>
                <w:bCs/>
                <w:iCs/>
                <w:sz w:val="18"/>
                <w:szCs w:val="18"/>
              </w:rPr>
              <w:t>AMR</w:t>
            </w:r>
          </w:p>
        </w:tc>
        <w:tc>
          <w:tcPr>
            <w:tcW w:w="1707" w:type="dxa"/>
            <w:tcBorders>
              <w:top w:val="single" w:sz="4" w:space="0" w:color="auto"/>
              <w:left w:val="single" w:sz="4" w:space="0" w:color="auto"/>
              <w:bottom w:val="single" w:sz="4" w:space="0" w:color="auto"/>
              <w:right w:val="single" w:sz="4" w:space="0" w:color="auto"/>
            </w:tcBorders>
            <w:hideMark/>
          </w:tcPr>
          <w:p w14:paraId="7719211F" w14:textId="77777777" w:rsidR="00C45730" w:rsidRPr="002926D7" w:rsidRDefault="00C45730" w:rsidP="002926D7">
            <w:pPr>
              <w:jc w:val="left"/>
              <w:rPr>
                <w:rFonts w:cstheme="minorHAnsi"/>
                <w:bCs/>
                <w:iCs/>
                <w:sz w:val="18"/>
                <w:szCs w:val="18"/>
              </w:rPr>
            </w:pPr>
            <w:r w:rsidRPr="002926D7">
              <w:rPr>
                <w:rFonts w:cstheme="minorHAnsi"/>
                <w:bCs/>
                <w:iCs/>
                <w:sz w:val="18"/>
                <w:szCs w:val="18"/>
              </w:rPr>
              <w:t>a) 34 countries; b) 58 countries; c) 19 countries</w:t>
            </w:r>
          </w:p>
          <w:p w14:paraId="1A18991A" w14:textId="77777777" w:rsidR="00C45730" w:rsidRPr="002926D7" w:rsidRDefault="00C45730" w:rsidP="002926D7">
            <w:pPr>
              <w:jc w:val="left"/>
              <w:rPr>
                <w:rFonts w:cstheme="minorHAnsi"/>
                <w:bCs/>
                <w:iCs/>
                <w:sz w:val="18"/>
                <w:szCs w:val="18"/>
              </w:rPr>
            </w:pPr>
            <w:r w:rsidRPr="002926D7">
              <w:rPr>
                <w:rFonts w:cstheme="minorHAnsi"/>
                <w:bCs/>
                <w:iCs/>
                <w:sz w:val="18"/>
                <w:szCs w:val="18"/>
              </w:rPr>
              <w:t>Source: 2023 AMR</w:t>
            </w:r>
          </w:p>
        </w:tc>
        <w:tc>
          <w:tcPr>
            <w:tcW w:w="1799" w:type="dxa"/>
            <w:tcBorders>
              <w:top w:val="single" w:sz="4" w:space="0" w:color="auto"/>
              <w:left w:val="single" w:sz="4" w:space="0" w:color="auto"/>
              <w:bottom w:val="single" w:sz="4" w:space="0" w:color="auto"/>
              <w:right w:val="single" w:sz="4" w:space="0" w:color="auto"/>
            </w:tcBorders>
            <w:hideMark/>
          </w:tcPr>
          <w:p w14:paraId="3CB63138" w14:textId="77777777" w:rsidR="00C45730" w:rsidRPr="002926D7" w:rsidRDefault="00C45730" w:rsidP="002926D7">
            <w:pPr>
              <w:jc w:val="left"/>
              <w:rPr>
                <w:rFonts w:cstheme="minorHAnsi"/>
                <w:bCs/>
                <w:iCs/>
                <w:sz w:val="18"/>
                <w:szCs w:val="18"/>
              </w:rPr>
            </w:pPr>
            <w:r w:rsidRPr="002926D7">
              <w:rPr>
                <w:rFonts w:cstheme="minorHAnsi"/>
                <w:bCs/>
                <w:iCs/>
                <w:sz w:val="18"/>
                <w:szCs w:val="18"/>
              </w:rPr>
              <w:t>(a) 15 countries; (b) 25 countries; (c) 7 countries</w:t>
            </w:r>
          </w:p>
        </w:tc>
        <w:tc>
          <w:tcPr>
            <w:tcW w:w="1718" w:type="dxa"/>
            <w:tcBorders>
              <w:top w:val="single" w:sz="4" w:space="0" w:color="auto"/>
              <w:left w:val="single" w:sz="4" w:space="0" w:color="auto"/>
              <w:bottom w:val="single" w:sz="4" w:space="0" w:color="auto"/>
              <w:right w:val="single" w:sz="4" w:space="0" w:color="auto"/>
            </w:tcBorders>
            <w:hideMark/>
          </w:tcPr>
          <w:p w14:paraId="348B02B8" w14:textId="77777777" w:rsidR="00C45730" w:rsidRPr="002926D7" w:rsidRDefault="00C45730" w:rsidP="002926D7">
            <w:pPr>
              <w:jc w:val="left"/>
              <w:rPr>
                <w:rFonts w:cstheme="minorHAnsi"/>
                <w:iCs/>
                <w:sz w:val="18"/>
                <w:szCs w:val="18"/>
              </w:rPr>
            </w:pPr>
            <w:r w:rsidRPr="002926D7">
              <w:rPr>
                <w:rFonts w:cstheme="minorHAnsi"/>
                <w:iCs/>
                <w:sz w:val="18"/>
                <w:szCs w:val="18"/>
              </w:rPr>
              <w:t>(a) 30 countries, (b) 50 countries, (c) 15 countries</w:t>
            </w:r>
          </w:p>
        </w:tc>
        <w:tc>
          <w:tcPr>
            <w:tcW w:w="1531" w:type="dxa"/>
            <w:tcBorders>
              <w:top w:val="single" w:sz="4" w:space="0" w:color="auto"/>
              <w:left w:val="single" w:sz="4" w:space="0" w:color="auto"/>
              <w:bottom w:val="single" w:sz="4" w:space="0" w:color="auto"/>
              <w:right w:val="single" w:sz="4" w:space="0" w:color="auto"/>
            </w:tcBorders>
            <w:hideMark/>
          </w:tcPr>
          <w:p w14:paraId="53F40A5C" w14:textId="77777777" w:rsidR="00C45730" w:rsidRPr="002926D7" w:rsidRDefault="00C45730" w:rsidP="002926D7">
            <w:pPr>
              <w:jc w:val="left"/>
              <w:rPr>
                <w:rFonts w:cstheme="minorHAnsi"/>
                <w:iCs/>
                <w:sz w:val="18"/>
                <w:szCs w:val="18"/>
              </w:rPr>
            </w:pPr>
            <w:r w:rsidRPr="002926D7">
              <w:rPr>
                <w:rFonts w:cs="Calibri"/>
                <w:sz w:val="18"/>
                <w:szCs w:val="18"/>
              </w:rPr>
              <w:t>Grantee monitoring reports; Impact reviews; SGP database</w:t>
            </w:r>
          </w:p>
        </w:tc>
        <w:tc>
          <w:tcPr>
            <w:tcW w:w="2155" w:type="dxa"/>
            <w:vMerge/>
            <w:tcBorders>
              <w:left w:val="single" w:sz="4" w:space="0" w:color="auto"/>
              <w:right w:val="single" w:sz="4" w:space="0" w:color="auto"/>
            </w:tcBorders>
            <w:hideMark/>
          </w:tcPr>
          <w:p w14:paraId="543E4A21" w14:textId="77777777" w:rsidR="00C45730" w:rsidRPr="002926D7" w:rsidRDefault="00C45730" w:rsidP="002926D7">
            <w:pPr>
              <w:jc w:val="left"/>
              <w:rPr>
                <w:rFonts w:cstheme="minorHAnsi"/>
                <w:iCs/>
                <w:sz w:val="18"/>
                <w:szCs w:val="18"/>
              </w:rPr>
            </w:pPr>
          </w:p>
        </w:tc>
      </w:tr>
      <w:tr w:rsidR="00C45730" w:rsidRPr="002926D7" w14:paraId="44A95A5F" w14:textId="77777777" w:rsidTr="00972DE5">
        <w:trPr>
          <w:trHeight w:val="440"/>
        </w:trPr>
        <w:tc>
          <w:tcPr>
            <w:tcW w:w="1525" w:type="dxa"/>
            <w:vMerge/>
            <w:tcBorders>
              <w:left w:val="single" w:sz="4" w:space="0" w:color="auto"/>
              <w:bottom w:val="single" w:sz="4" w:space="0" w:color="auto"/>
              <w:right w:val="single" w:sz="4" w:space="0" w:color="auto"/>
            </w:tcBorders>
            <w:vAlign w:val="center"/>
          </w:tcPr>
          <w:p w14:paraId="37996079" w14:textId="77777777" w:rsidR="00C45730" w:rsidRPr="002926D7" w:rsidRDefault="00C45730" w:rsidP="002926D7">
            <w:pPr>
              <w:jc w:val="left"/>
              <w:rPr>
                <w:rFonts w:cstheme="minorHAnsi"/>
                <w:b/>
                <w:bCs/>
                <w:sz w:val="18"/>
                <w:szCs w:val="18"/>
              </w:rPr>
            </w:pPr>
          </w:p>
        </w:tc>
        <w:tc>
          <w:tcPr>
            <w:tcW w:w="2668" w:type="dxa"/>
            <w:tcBorders>
              <w:top w:val="single" w:sz="4" w:space="0" w:color="auto"/>
              <w:left w:val="single" w:sz="4" w:space="0" w:color="auto"/>
              <w:bottom w:val="single" w:sz="4" w:space="0" w:color="auto"/>
              <w:right w:val="single" w:sz="4" w:space="0" w:color="auto"/>
            </w:tcBorders>
          </w:tcPr>
          <w:p w14:paraId="1216DA9A" w14:textId="40DBEBD7" w:rsidR="00C45730" w:rsidRPr="002926D7" w:rsidRDefault="00C45730" w:rsidP="002926D7">
            <w:pPr>
              <w:jc w:val="left"/>
              <w:rPr>
                <w:rFonts w:cstheme="minorHAnsi"/>
                <w:b/>
                <w:iCs/>
                <w:sz w:val="18"/>
                <w:szCs w:val="18"/>
              </w:rPr>
            </w:pPr>
            <w:r w:rsidRPr="002926D7">
              <w:rPr>
                <w:rFonts w:asciiTheme="minorHAnsi" w:hAnsiTheme="minorHAnsi" w:cstheme="minorHAnsi"/>
                <w:b/>
                <w:iCs/>
                <w:sz w:val="18"/>
                <w:szCs w:val="18"/>
              </w:rPr>
              <w:t>Indicator 1</w:t>
            </w:r>
            <w:r w:rsidR="0010636B" w:rsidRPr="002926D7">
              <w:rPr>
                <w:rFonts w:asciiTheme="minorHAnsi" w:hAnsiTheme="minorHAnsi" w:cstheme="minorHAnsi"/>
                <w:b/>
                <w:iCs/>
                <w:sz w:val="18"/>
                <w:szCs w:val="18"/>
              </w:rPr>
              <w:t>8</w:t>
            </w:r>
            <w:r w:rsidRPr="002926D7">
              <w:rPr>
                <w:rFonts w:asciiTheme="minorHAnsi" w:hAnsiTheme="minorHAnsi" w:cstheme="minorHAnsi"/>
                <w:b/>
                <w:iCs/>
                <w:sz w:val="18"/>
                <w:szCs w:val="18"/>
              </w:rPr>
              <w:t xml:space="preserve">: </w:t>
            </w:r>
            <w:r w:rsidRPr="002926D7">
              <w:rPr>
                <w:rFonts w:asciiTheme="minorHAnsi" w:hAnsiTheme="minorHAnsi" w:cstheme="minorHAnsi"/>
                <w:bCs/>
                <w:iCs/>
                <w:sz w:val="18"/>
                <w:szCs w:val="18"/>
              </w:rPr>
              <w:t xml:space="preserve">Amount of grant funding of total grant portfolio accessed by: (a) women and/or women’s groups; (b) youth </w:t>
            </w:r>
            <w:r w:rsidRPr="002926D7">
              <w:rPr>
                <w:rFonts w:asciiTheme="minorHAnsi" w:hAnsiTheme="minorHAnsi" w:cstheme="minorHAnsi"/>
                <w:bCs/>
                <w:iCs/>
                <w:sz w:val="18"/>
                <w:szCs w:val="18"/>
              </w:rPr>
              <w:lastRenderedPageBreak/>
              <w:t>and/or youth-led groups; (c) Indigenous peoples’ groups.</w:t>
            </w:r>
          </w:p>
        </w:tc>
        <w:tc>
          <w:tcPr>
            <w:tcW w:w="1292" w:type="dxa"/>
            <w:tcBorders>
              <w:top w:val="single" w:sz="4" w:space="0" w:color="auto"/>
              <w:left w:val="single" w:sz="4" w:space="0" w:color="auto"/>
              <w:bottom w:val="single" w:sz="4" w:space="0" w:color="auto"/>
              <w:right w:val="single" w:sz="4" w:space="0" w:color="auto"/>
            </w:tcBorders>
          </w:tcPr>
          <w:p w14:paraId="11CCF4DB" w14:textId="6D5450D6" w:rsidR="00C45730" w:rsidRPr="002926D7" w:rsidRDefault="00C45730" w:rsidP="002926D7">
            <w:pPr>
              <w:jc w:val="left"/>
              <w:rPr>
                <w:rFonts w:cstheme="minorHAnsi"/>
                <w:bCs/>
                <w:iCs/>
                <w:sz w:val="18"/>
                <w:szCs w:val="18"/>
              </w:rPr>
            </w:pPr>
            <w:r w:rsidRPr="002926D7">
              <w:rPr>
                <w:rFonts w:cstheme="minorHAnsi"/>
                <w:bCs/>
                <w:iCs/>
                <w:sz w:val="18"/>
                <w:szCs w:val="18"/>
              </w:rPr>
              <w:lastRenderedPageBreak/>
              <w:t>AMR</w:t>
            </w:r>
          </w:p>
        </w:tc>
        <w:tc>
          <w:tcPr>
            <w:tcW w:w="1707" w:type="dxa"/>
            <w:tcBorders>
              <w:top w:val="single" w:sz="4" w:space="0" w:color="auto"/>
              <w:left w:val="single" w:sz="4" w:space="0" w:color="auto"/>
              <w:bottom w:val="single" w:sz="4" w:space="0" w:color="auto"/>
              <w:right w:val="single" w:sz="4" w:space="0" w:color="auto"/>
            </w:tcBorders>
          </w:tcPr>
          <w:p w14:paraId="7EDA1DCB" w14:textId="56AE0C84" w:rsidR="00C45730" w:rsidRPr="002926D7" w:rsidRDefault="00C45730" w:rsidP="002926D7">
            <w:pPr>
              <w:jc w:val="left"/>
              <w:rPr>
                <w:rFonts w:cstheme="minorHAnsi"/>
                <w:bCs/>
                <w:iCs/>
                <w:sz w:val="18"/>
                <w:szCs w:val="18"/>
                <w:lang w:val="fr-FR"/>
              </w:rPr>
            </w:pPr>
            <w:r w:rsidRPr="002926D7">
              <w:rPr>
                <w:rFonts w:cstheme="minorHAnsi"/>
                <w:bCs/>
                <w:iCs/>
                <w:sz w:val="18"/>
                <w:szCs w:val="18"/>
                <w:lang w:val="fr-FR"/>
              </w:rPr>
              <w:t>(a) est. 20%; (b) est. 20%; (c) est. 20%</w:t>
            </w:r>
          </w:p>
        </w:tc>
        <w:tc>
          <w:tcPr>
            <w:tcW w:w="1799" w:type="dxa"/>
            <w:tcBorders>
              <w:top w:val="single" w:sz="4" w:space="0" w:color="auto"/>
              <w:left w:val="single" w:sz="4" w:space="0" w:color="auto"/>
              <w:bottom w:val="single" w:sz="4" w:space="0" w:color="auto"/>
              <w:right w:val="single" w:sz="4" w:space="0" w:color="auto"/>
            </w:tcBorders>
          </w:tcPr>
          <w:p w14:paraId="10B5E358" w14:textId="6E22F7A5" w:rsidR="00C45730" w:rsidRPr="002926D7" w:rsidRDefault="00C45730" w:rsidP="002926D7">
            <w:pPr>
              <w:jc w:val="left"/>
              <w:rPr>
                <w:rFonts w:cstheme="minorHAnsi"/>
                <w:iCs/>
                <w:sz w:val="18"/>
                <w:szCs w:val="18"/>
              </w:rPr>
            </w:pPr>
            <w:r w:rsidRPr="002926D7">
              <w:rPr>
                <w:rFonts w:cstheme="minorHAnsi"/>
                <w:bCs/>
                <w:iCs/>
                <w:sz w:val="18"/>
                <w:szCs w:val="18"/>
              </w:rPr>
              <w:t>(a) 30%; (b) 30%; (c) 30%</w:t>
            </w:r>
          </w:p>
        </w:tc>
        <w:tc>
          <w:tcPr>
            <w:tcW w:w="1718" w:type="dxa"/>
            <w:tcBorders>
              <w:top w:val="single" w:sz="4" w:space="0" w:color="auto"/>
              <w:left w:val="single" w:sz="4" w:space="0" w:color="auto"/>
              <w:bottom w:val="single" w:sz="4" w:space="0" w:color="auto"/>
              <w:right w:val="single" w:sz="4" w:space="0" w:color="auto"/>
            </w:tcBorders>
          </w:tcPr>
          <w:p w14:paraId="2CDF5E58" w14:textId="4E837106" w:rsidR="00C45730" w:rsidRPr="002926D7" w:rsidRDefault="00C45730" w:rsidP="002926D7">
            <w:pPr>
              <w:jc w:val="left"/>
              <w:rPr>
                <w:rFonts w:cstheme="minorHAnsi"/>
                <w:iCs/>
                <w:sz w:val="18"/>
                <w:szCs w:val="18"/>
              </w:rPr>
            </w:pPr>
            <w:r w:rsidRPr="002926D7">
              <w:rPr>
                <w:rFonts w:cstheme="minorHAnsi"/>
                <w:bCs/>
                <w:iCs/>
                <w:sz w:val="18"/>
                <w:szCs w:val="18"/>
              </w:rPr>
              <w:t>(a) 50%; (b) 50%; (c) 50%</w:t>
            </w:r>
          </w:p>
        </w:tc>
        <w:tc>
          <w:tcPr>
            <w:tcW w:w="1531" w:type="dxa"/>
            <w:tcBorders>
              <w:top w:val="single" w:sz="4" w:space="0" w:color="auto"/>
              <w:left w:val="single" w:sz="4" w:space="0" w:color="auto"/>
              <w:bottom w:val="single" w:sz="4" w:space="0" w:color="auto"/>
              <w:right w:val="single" w:sz="4" w:space="0" w:color="auto"/>
            </w:tcBorders>
          </w:tcPr>
          <w:p w14:paraId="1033125D" w14:textId="2393C53A" w:rsidR="00C45730" w:rsidRPr="002926D7" w:rsidRDefault="00C45730" w:rsidP="002926D7">
            <w:pPr>
              <w:jc w:val="left"/>
              <w:rPr>
                <w:rFonts w:cs="Calibri"/>
                <w:sz w:val="18"/>
                <w:szCs w:val="18"/>
              </w:rPr>
            </w:pPr>
            <w:r w:rsidRPr="002926D7">
              <w:rPr>
                <w:rFonts w:cs="Calibri"/>
                <w:sz w:val="18"/>
                <w:szCs w:val="18"/>
              </w:rPr>
              <w:t>Grantee monitoring reports; SGP database</w:t>
            </w:r>
          </w:p>
        </w:tc>
        <w:tc>
          <w:tcPr>
            <w:tcW w:w="2155" w:type="dxa"/>
            <w:vMerge/>
            <w:tcBorders>
              <w:left w:val="single" w:sz="4" w:space="0" w:color="auto"/>
              <w:right w:val="single" w:sz="4" w:space="0" w:color="auto"/>
            </w:tcBorders>
          </w:tcPr>
          <w:p w14:paraId="12543CB3" w14:textId="77777777" w:rsidR="00C45730" w:rsidRPr="002926D7" w:rsidRDefault="00C45730" w:rsidP="002926D7">
            <w:pPr>
              <w:jc w:val="left"/>
              <w:rPr>
                <w:rFonts w:cstheme="minorHAnsi"/>
                <w:iCs/>
                <w:sz w:val="18"/>
                <w:szCs w:val="18"/>
              </w:rPr>
            </w:pPr>
          </w:p>
        </w:tc>
      </w:tr>
      <w:tr w:rsidR="00C45730" w:rsidRPr="002926D7" w14:paraId="64F15A44" w14:textId="77777777" w:rsidTr="00025B2D">
        <w:trPr>
          <w:trHeight w:val="440"/>
        </w:trPr>
        <w:tc>
          <w:tcPr>
            <w:tcW w:w="1525" w:type="dxa"/>
            <w:vMerge/>
            <w:tcBorders>
              <w:left w:val="single" w:sz="4" w:space="0" w:color="auto"/>
              <w:bottom w:val="single" w:sz="4" w:space="0" w:color="auto"/>
              <w:right w:val="single" w:sz="4" w:space="0" w:color="auto"/>
            </w:tcBorders>
            <w:vAlign w:val="center"/>
          </w:tcPr>
          <w:p w14:paraId="449E9ADD" w14:textId="77777777" w:rsidR="00C45730" w:rsidRPr="002926D7" w:rsidRDefault="00C45730" w:rsidP="002926D7">
            <w:pPr>
              <w:jc w:val="left"/>
              <w:rPr>
                <w:rFonts w:cstheme="minorHAnsi"/>
                <w:b/>
                <w:bCs/>
                <w:sz w:val="18"/>
                <w:szCs w:val="18"/>
              </w:rPr>
            </w:pPr>
          </w:p>
        </w:tc>
        <w:tc>
          <w:tcPr>
            <w:tcW w:w="2668" w:type="dxa"/>
            <w:tcBorders>
              <w:top w:val="single" w:sz="4" w:space="0" w:color="auto"/>
              <w:left w:val="single" w:sz="4" w:space="0" w:color="auto"/>
              <w:bottom w:val="single" w:sz="4" w:space="0" w:color="auto"/>
              <w:right w:val="single" w:sz="4" w:space="0" w:color="auto"/>
            </w:tcBorders>
          </w:tcPr>
          <w:p w14:paraId="13A7F2AB" w14:textId="765FAE19" w:rsidR="00C45730" w:rsidRPr="002926D7" w:rsidRDefault="00C45730" w:rsidP="002926D7">
            <w:pPr>
              <w:jc w:val="left"/>
              <w:rPr>
                <w:rFonts w:asciiTheme="minorHAnsi" w:hAnsiTheme="minorHAnsi" w:cstheme="minorHAnsi"/>
                <w:bCs/>
                <w:iCs/>
                <w:sz w:val="18"/>
                <w:szCs w:val="18"/>
              </w:rPr>
            </w:pPr>
            <w:r w:rsidRPr="002926D7">
              <w:rPr>
                <w:rFonts w:asciiTheme="minorHAnsi" w:hAnsiTheme="minorHAnsi" w:cstheme="minorHAnsi"/>
                <w:b/>
                <w:iCs/>
                <w:sz w:val="18"/>
                <w:szCs w:val="18"/>
              </w:rPr>
              <w:t>Indicator 1</w:t>
            </w:r>
            <w:r w:rsidR="0010636B" w:rsidRPr="002926D7">
              <w:rPr>
                <w:rFonts w:asciiTheme="minorHAnsi" w:hAnsiTheme="minorHAnsi" w:cstheme="minorHAnsi"/>
                <w:b/>
                <w:iCs/>
                <w:sz w:val="18"/>
                <w:szCs w:val="18"/>
              </w:rPr>
              <w:t>9</w:t>
            </w:r>
            <w:r w:rsidRPr="002926D7">
              <w:rPr>
                <w:rFonts w:asciiTheme="minorHAnsi" w:hAnsiTheme="minorHAnsi" w:cstheme="minorHAnsi"/>
                <w:b/>
                <w:iCs/>
                <w:sz w:val="18"/>
                <w:szCs w:val="18"/>
              </w:rPr>
              <w:t xml:space="preserve">: </w:t>
            </w:r>
            <w:r w:rsidRPr="002926D7">
              <w:rPr>
                <w:rFonts w:asciiTheme="minorHAnsi" w:hAnsiTheme="minorHAnsi" w:cstheme="minorHAnsi"/>
                <w:bCs/>
                <w:iCs/>
                <w:sz w:val="18"/>
                <w:szCs w:val="18"/>
              </w:rPr>
              <w:t>Number of grants supporting promotion of legal identity and legal empowerment, including the participation of Indigenous peoples and other remote/marginalized groups.</w:t>
            </w:r>
          </w:p>
        </w:tc>
        <w:tc>
          <w:tcPr>
            <w:tcW w:w="1292" w:type="dxa"/>
            <w:tcBorders>
              <w:top w:val="single" w:sz="4" w:space="0" w:color="auto"/>
              <w:left w:val="single" w:sz="4" w:space="0" w:color="auto"/>
              <w:bottom w:val="single" w:sz="4" w:space="0" w:color="auto"/>
              <w:right w:val="single" w:sz="4" w:space="0" w:color="auto"/>
            </w:tcBorders>
          </w:tcPr>
          <w:p w14:paraId="2D15508E" w14:textId="0930A340" w:rsidR="00C45730" w:rsidRPr="002926D7" w:rsidRDefault="00C45730" w:rsidP="002926D7">
            <w:pPr>
              <w:jc w:val="left"/>
              <w:rPr>
                <w:rFonts w:cstheme="minorHAnsi"/>
                <w:bCs/>
                <w:iCs/>
                <w:sz w:val="18"/>
                <w:szCs w:val="18"/>
              </w:rPr>
            </w:pPr>
            <w:r w:rsidRPr="002926D7">
              <w:rPr>
                <w:rFonts w:cstheme="minorHAnsi"/>
                <w:bCs/>
                <w:iCs/>
                <w:sz w:val="18"/>
                <w:szCs w:val="18"/>
              </w:rPr>
              <w:t>AMR</w:t>
            </w:r>
          </w:p>
        </w:tc>
        <w:tc>
          <w:tcPr>
            <w:tcW w:w="1707" w:type="dxa"/>
            <w:tcBorders>
              <w:top w:val="single" w:sz="4" w:space="0" w:color="auto"/>
              <w:left w:val="single" w:sz="4" w:space="0" w:color="auto"/>
              <w:bottom w:val="single" w:sz="4" w:space="0" w:color="auto"/>
              <w:right w:val="single" w:sz="4" w:space="0" w:color="auto"/>
            </w:tcBorders>
          </w:tcPr>
          <w:p w14:paraId="25C02789" w14:textId="29F3730B" w:rsidR="00C45730" w:rsidRPr="002926D7" w:rsidRDefault="00C45730" w:rsidP="002926D7">
            <w:pPr>
              <w:jc w:val="left"/>
              <w:rPr>
                <w:rFonts w:cstheme="minorHAnsi"/>
                <w:bCs/>
                <w:iCs/>
                <w:sz w:val="18"/>
                <w:szCs w:val="18"/>
              </w:rPr>
            </w:pPr>
            <w:r w:rsidRPr="002926D7">
              <w:rPr>
                <w:rFonts w:cstheme="minorHAnsi"/>
                <w:bCs/>
                <w:iCs/>
                <w:sz w:val="18"/>
                <w:szCs w:val="18"/>
              </w:rPr>
              <w:t>New indicator</w:t>
            </w:r>
          </w:p>
        </w:tc>
        <w:tc>
          <w:tcPr>
            <w:tcW w:w="1799" w:type="dxa"/>
            <w:tcBorders>
              <w:top w:val="single" w:sz="4" w:space="0" w:color="auto"/>
              <w:left w:val="single" w:sz="4" w:space="0" w:color="auto"/>
              <w:bottom w:val="single" w:sz="4" w:space="0" w:color="auto"/>
              <w:right w:val="single" w:sz="4" w:space="0" w:color="auto"/>
            </w:tcBorders>
          </w:tcPr>
          <w:p w14:paraId="57B98557" w14:textId="7B912796" w:rsidR="00C45730" w:rsidRPr="002926D7" w:rsidRDefault="00C45730" w:rsidP="002926D7">
            <w:pPr>
              <w:jc w:val="left"/>
              <w:rPr>
                <w:rFonts w:cstheme="minorHAnsi"/>
                <w:bCs/>
                <w:iCs/>
                <w:sz w:val="18"/>
                <w:szCs w:val="18"/>
              </w:rPr>
            </w:pPr>
            <w:r w:rsidRPr="002926D7">
              <w:rPr>
                <w:rFonts w:cstheme="minorHAnsi"/>
                <w:bCs/>
                <w:iCs/>
                <w:sz w:val="18"/>
                <w:szCs w:val="18"/>
              </w:rPr>
              <w:t>10% of grants awarded</w:t>
            </w:r>
          </w:p>
        </w:tc>
        <w:tc>
          <w:tcPr>
            <w:tcW w:w="1718" w:type="dxa"/>
            <w:tcBorders>
              <w:top w:val="single" w:sz="4" w:space="0" w:color="auto"/>
              <w:left w:val="single" w:sz="4" w:space="0" w:color="auto"/>
              <w:bottom w:val="single" w:sz="4" w:space="0" w:color="auto"/>
              <w:right w:val="single" w:sz="4" w:space="0" w:color="auto"/>
            </w:tcBorders>
          </w:tcPr>
          <w:p w14:paraId="033D3AE4" w14:textId="0AA8A759" w:rsidR="00C45730" w:rsidRPr="002926D7" w:rsidRDefault="00C45730" w:rsidP="002926D7">
            <w:pPr>
              <w:jc w:val="left"/>
              <w:rPr>
                <w:rFonts w:cstheme="minorHAnsi"/>
                <w:bCs/>
                <w:iCs/>
                <w:sz w:val="18"/>
                <w:szCs w:val="18"/>
              </w:rPr>
            </w:pPr>
            <w:r w:rsidRPr="002926D7">
              <w:rPr>
                <w:rFonts w:cstheme="minorHAnsi"/>
                <w:bCs/>
                <w:iCs/>
                <w:sz w:val="18"/>
                <w:szCs w:val="18"/>
              </w:rPr>
              <w:t>10% of grants awarded</w:t>
            </w:r>
          </w:p>
        </w:tc>
        <w:tc>
          <w:tcPr>
            <w:tcW w:w="1531" w:type="dxa"/>
            <w:tcBorders>
              <w:top w:val="single" w:sz="4" w:space="0" w:color="auto"/>
              <w:left w:val="single" w:sz="4" w:space="0" w:color="auto"/>
              <w:bottom w:val="single" w:sz="4" w:space="0" w:color="auto"/>
              <w:right w:val="single" w:sz="4" w:space="0" w:color="auto"/>
            </w:tcBorders>
          </w:tcPr>
          <w:p w14:paraId="5F08FFF6" w14:textId="36381AFF" w:rsidR="00C45730" w:rsidRPr="002926D7" w:rsidRDefault="00C45730" w:rsidP="002926D7">
            <w:pPr>
              <w:jc w:val="left"/>
              <w:rPr>
                <w:rFonts w:cs="Calibri"/>
                <w:sz w:val="18"/>
                <w:szCs w:val="18"/>
              </w:rPr>
            </w:pPr>
            <w:r w:rsidRPr="002926D7">
              <w:rPr>
                <w:rFonts w:cs="Calibri"/>
                <w:sz w:val="18"/>
                <w:szCs w:val="18"/>
              </w:rPr>
              <w:t>Grantee monitoring reports; SGP database</w:t>
            </w:r>
          </w:p>
        </w:tc>
        <w:tc>
          <w:tcPr>
            <w:tcW w:w="2155" w:type="dxa"/>
            <w:vMerge/>
            <w:tcBorders>
              <w:left w:val="single" w:sz="4" w:space="0" w:color="auto"/>
              <w:bottom w:val="single" w:sz="4" w:space="0" w:color="auto"/>
              <w:right w:val="single" w:sz="4" w:space="0" w:color="auto"/>
            </w:tcBorders>
          </w:tcPr>
          <w:p w14:paraId="775076FA" w14:textId="77777777" w:rsidR="00C45730" w:rsidRPr="002926D7" w:rsidRDefault="00C45730" w:rsidP="002926D7">
            <w:pPr>
              <w:jc w:val="left"/>
              <w:rPr>
                <w:rFonts w:cstheme="minorHAnsi"/>
                <w:iCs/>
                <w:sz w:val="18"/>
                <w:szCs w:val="18"/>
              </w:rPr>
            </w:pPr>
          </w:p>
        </w:tc>
      </w:tr>
      <w:tr w:rsidR="00C45730" w:rsidRPr="002926D7" w14:paraId="133E4FFF" w14:textId="77777777" w:rsidTr="00025B2D">
        <w:trPr>
          <w:trHeight w:val="440"/>
        </w:trPr>
        <w:tc>
          <w:tcPr>
            <w:tcW w:w="1525" w:type="dxa"/>
            <w:vMerge/>
            <w:tcBorders>
              <w:left w:val="single" w:sz="4" w:space="0" w:color="auto"/>
              <w:bottom w:val="single" w:sz="4" w:space="0" w:color="auto"/>
              <w:right w:val="single" w:sz="4" w:space="0" w:color="auto"/>
            </w:tcBorders>
            <w:vAlign w:val="center"/>
          </w:tcPr>
          <w:p w14:paraId="6FB9485F" w14:textId="77777777" w:rsidR="00C45730" w:rsidRPr="002926D7" w:rsidRDefault="00C45730" w:rsidP="002926D7">
            <w:pPr>
              <w:jc w:val="left"/>
              <w:rPr>
                <w:rFonts w:cstheme="minorHAnsi"/>
                <w:b/>
                <w:bCs/>
                <w:sz w:val="18"/>
                <w:szCs w:val="18"/>
              </w:rPr>
            </w:pPr>
          </w:p>
        </w:tc>
        <w:tc>
          <w:tcPr>
            <w:tcW w:w="2668" w:type="dxa"/>
            <w:tcBorders>
              <w:top w:val="single" w:sz="4" w:space="0" w:color="auto"/>
              <w:left w:val="single" w:sz="4" w:space="0" w:color="auto"/>
              <w:bottom w:val="single" w:sz="4" w:space="0" w:color="auto"/>
              <w:right w:val="single" w:sz="4" w:space="0" w:color="auto"/>
            </w:tcBorders>
          </w:tcPr>
          <w:p w14:paraId="321A4B3D" w14:textId="04D66BC3" w:rsidR="00C45730" w:rsidRPr="002926D7" w:rsidRDefault="00C45730" w:rsidP="002926D7">
            <w:pPr>
              <w:jc w:val="left"/>
              <w:rPr>
                <w:rFonts w:cstheme="minorHAnsi"/>
                <w:b/>
                <w:iCs/>
                <w:sz w:val="18"/>
                <w:szCs w:val="18"/>
              </w:rPr>
            </w:pPr>
            <w:r w:rsidRPr="002926D7">
              <w:rPr>
                <w:rFonts w:cstheme="minorHAnsi"/>
                <w:b/>
                <w:iCs/>
                <w:sz w:val="18"/>
                <w:szCs w:val="18"/>
              </w:rPr>
              <w:t xml:space="preserve">Indicator </w:t>
            </w:r>
            <w:r w:rsidR="0010636B" w:rsidRPr="002926D7">
              <w:rPr>
                <w:rFonts w:cstheme="minorHAnsi"/>
                <w:b/>
                <w:iCs/>
                <w:sz w:val="18"/>
                <w:szCs w:val="18"/>
              </w:rPr>
              <w:t>20</w:t>
            </w:r>
            <w:r w:rsidRPr="002926D7">
              <w:rPr>
                <w:rFonts w:cstheme="minorHAnsi"/>
                <w:b/>
                <w:iCs/>
                <w:sz w:val="18"/>
                <w:szCs w:val="18"/>
              </w:rPr>
              <w:t>:</w:t>
            </w:r>
            <w:r w:rsidRPr="002926D7">
              <w:rPr>
                <w:rFonts w:cstheme="minorHAnsi"/>
                <w:bCs/>
                <w:iCs/>
                <w:sz w:val="18"/>
                <w:szCs w:val="18"/>
              </w:rPr>
              <w:t xml:space="preserve"> </w:t>
            </w:r>
            <w:r w:rsidRPr="002926D7">
              <w:rPr>
                <w:rFonts w:cstheme="minorHAnsi"/>
                <w:bCs/>
                <w:sz w:val="18"/>
                <w:szCs w:val="18"/>
              </w:rPr>
              <w:t>Number of policy recommendations or advocacy initiatives related to land-based pollution as a result of SGP project.</w:t>
            </w:r>
          </w:p>
        </w:tc>
        <w:tc>
          <w:tcPr>
            <w:tcW w:w="1292" w:type="dxa"/>
            <w:tcBorders>
              <w:top w:val="single" w:sz="4" w:space="0" w:color="auto"/>
              <w:left w:val="single" w:sz="4" w:space="0" w:color="auto"/>
              <w:bottom w:val="single" w:sz="4" w:space="0" w:color="auto"/>
              <w:right w:val="single" w:sz="4" w:space="0" w:color="auto"/>
            </w:tcBorders>
          </w:tcPr>
          <w:p w14:paraId="35C53E33" w14:textId="6F37ADE9" w:rsidR="00C45730" w:rsidRPr="002926D7" w:rsidRDefault="00C45730" w:rsidP="002926D7">
            <w:pPr>
              <w:jc w:val="left"/>
              <w:rPr>
                <w:rFonts w:cstheme="minorHAnsi"/>
                <w:bCs/>
                <w:iCs/>
                <w:sz w:val="18"/>
                <w:szCs w:val="18"/>
              </w:rPr>
            </w:pPr>
            <w:r w:rsidRPr="002926D7">
              <w:rPr>
                <w:rFonts w:cstheme="minorHAnsi"/>
                <w:bCs/>
                <w:iCs/>
                <w:sz w:val="18"/>
                <w:szCs w:val="18"/>
              </w:rPr>
              <w:t>AMR</w:t>
            </w:r>
          </w:p>
        </w:tc>
        <w:tc>
          <w:tcPr>
            <w:tcW w:w="1707" w:type="dxa"/>
            <w:tcBorders>
              <w:top w:val="single" w:sz="4" w:space="0" w:color="auto"/>
              <w:left w:val="single" w:sz="4" w:space="0" w:color="auto"/>
              <w:bottom w:val="single" w:sz="4" w:space="0" w:color="auto"/>
              <w:right w:val="single" w:sz="4" w:space="0" w:color="auto"/>
            </w:tcBorders>
          </w:tcPr>
          <w:p w14:paraId="6AEFF89A" w14:textId="77777777" w:rsidR="00C45730" w:rsidRPr="002926D7" w:rsidRDefault="00C45730" w:rsidP="002926D7">
            <w:pPr>
              <w:jc w:val="left"/>
              <w:rPr>
                <w:rFonts w:cstheme="minorHAnsi"/>
                <w:bCs/>
                <w:iCs/>
                <w:sz w:val="18"/>
                <w:szCs w:val="18"/>
              </w:rPr>
            </w:pPr>
          </w:p>
        </w:tc>
        <w:tc>
          <w:tcPr>
            <w:tcW w:w="1799" w:type="dxa"/>
            <w:tcBorders>
              <w:top w:val="single" w:sz="4" w:space="0" w:color="auto"/>
              <w:left w:val="single" w:sz="4" w:space="0" w:color="auto"/>
              <w:bottom w:val="single" w:sz="4" w:space="0" w:color="auto"/>
              <w:right w:val="single" w:sz="4" w:space="0" w:color="auto"/>
            </w:tcBorders>
          </w:tcPr>
          <w:p w14:paraId="13211021" w14:textId="77777777" w:rsidR="00C45730" w:rsidRPr="002926D7" w:rsidRDefault="00C45730" w:rsidP="002926D7">
            <w:pPr>
              <w:jc w:val="left"/>
              <w:rPr>
                <w:rFonts w:cstheme="minorHAnsi"/>
                <w:bCs/>
                <w:iCs/>
                <w:sz w:val="18"/>
                <w:szCs w:val="18"/>
              </w:rPr>
            </w:pPr>
            <w:r w:rsidRPr="002926D7">
              <w:rPr>
                <w:rFonts w:cstheme="minorHAnsi"/>
                <w:iCs/>
                <w:sz w:val="18"/>
                <w:szCs w:val="18"/>
              </w:rPr>
              <w:t>2 policy recommendations</w:t>
            </w:r>
          </w:p>
        </w:tc>
        <w:tc>
          <w:tcPr>
            <w:tcW w:w="1718" w:type="dxa"/>
            <w:tcBorders>
              <w:top w:val="single" w:sz="4" w:space="0" w:color="auto"/>
              <w:left w:val="single" w:sz="4" w:space="0" w:color="auto"/>
              <w:bottom w:val="single" w:sz="4" w:space="0" w:color="auto"/>
              <w:right w:val="single" w:sz="4" w:space="0" w:color="auto"/>
            </w:tcBorders>
          </w:tcPr>
          <w:p w14:paraId="76746FEB" w14:textId="77777777" w:rsidR="00C45730" w:rsidRPr="002926D7" w:rsidRDefault="00C45730" w:rsidP="002926D7">
            <w:pPr>
              <w:jc w:val="left"/>
              <w:rPr>
                <w:rFonts w:cstheme="minorHAnsi"/>
                <w:iCs/>
                <w:sz w:val="18"/>
                <w:szCs w:val="18"/>
              </w:rPr>
            </w:pPr>
            <w:r w:rsidRPr="002926D7">
              <w:rPr>
                <w:rFonts w:cstheme="minorHAnsi"/>
                <w:iCs/>
                <w:sz w:val="18"/>
                <w:szCs w:val="18"/>
              </w:rPr>
              <w:t>4 policy recommendations</w:t>
            </w:r>
          </w:p>
        </w:tc>
        <w:tc>
          <w:tcPr>
            <w:tcW w:w="1531" w:type="dxa"/>
            <w:tcBorders>
              <w:top w:val="single" w:sz="4" w:space="0" w:color="auto"/>
              <w:left w:val="single" w:sz="4" w:space="0" w:color="auto"/>
              <w:bottom w:val="single" w:sz="4" w:space="0" w:color="auto"/>
              <w:right w:val="single" w:sz="4" w:space="0" w:color="auto"/>
            </w:tcBorders>
          </w:tcPr>
          <w:p w14:paraId="6BF67178" w14:textId="77777777" w:rsidR="00C45730" w:rsidRPr="002926D7" w:rsidRDefault="00C45730" w:rsidP="002926D7">
            <w:pPr>
              <w:jc w:val="left"/>
              <w:rPr>
                <w:rFonts w:cs="Calibri"/>
                <w:sz w:val="18"/>
                <w:szCs w:val="18"/>
              </w:rPr>
            </w:pPr>
            <w:r w:rsidRPr="002926D7">
              <w:rPr>
                <w:rFonts w:cs="Calibri"/>
                <w:sz w:val="18"/>
                <w:szCs w:val="18"/>
              </w:rPr>
              <w:t>Grantee monitoring reports; Impact reviews;</w:t>
            </w:r>
          </w:p>
        </w:tc>
        <w:tc>
          <w:tcPr>
            <w:tcW w:w="2155" w:type="dxa"/>
            <w:tcBorders>
              <w:left w:val="single" w:sz="4" w:space="0" w:color="auto"/>
              <w:bottom w:val="single" w:sz="4" w:space="0" w:color="auto"/>
              <w:right w:val="single" w:sz="4" w:space="0" w:color="auto"/>
            </w:tcBorders>
          </w:tcPr>
          <w:p w14:paraId="686C0665" w14:textId="77777777" w:rsidR="00C45730" w:rsidRPr="002926D7" w:rsidRDefault="00C45730" w:rsidP="002926D7">
            <w:pPr>
              <w:jc w:val="left"/>
              <w:rPr>
                <w:rFonts w:cstheme="minorHAnsi"/>
                <w:iCs/>
                <w:sz w:val="18"/>
                <w:szCs w:val="18"/>
              </w:rPr>
            </w:pPr>
            <w:r w:rsidRPr="002926D7">
              <w:rPr>
                <w:rFonts w:cstheme="minorHAnsi"/>
                <w:iCs/>
                <w:sz w:val="18"/>
                <w:szCs w:val="18"/>
              </w:rPr>
              <w:t>Sufficient level of public awareness and support for policies addressing land-based pollution.</w:t>
            </w:r>
          </w:p>
        </w:tc>
      </w:tr>
      <w:tr w:rsidR="00C45730" w:rsidRPr="002926D7" w14:paraId="254663A5" w14:textId="77777777" w:rsidTr="00025B2D">
        <w:trPr>
          <w:trHeight w:val="530"/>
        </w:trPr>
        <w:tc>
          <w:tcPr>
            <w:tcW w:w="1525" w:type="dxa"/>
            <w:tcBorders>
              <w:top w:val="single" w:sz="4" w:space="0" w:color="auto"/>
              <w:left w:val="single" w:sz="4" w:space="0" w:color="auto"/>
              <w:bottom w:val="single" w:sz="4" w:space="0" w:color="auto"/>
              <w:right w:val="single" w:sz="4" w:space="0" w:color="auto"/>
            </w:tcBorders>
            <w:hideMark/>
          </w:tcPr>
          <w:p w14:paraId="588FB46A" w14:textId="77777777" w:rsidR="00C45730" w:rsidRPr="002926D7" w:rsidRDefault="00C45730" w:rsidP="002926D7">
            <w:pPr>
              <w:jc w:val="left"/>
              <w:rPr>
                <w:rFonts w:cstheme="minorHAnsi"/>
                <w:b/>
                <w:bCs/>
                <w:sz w:val="18"/>
                <w:szCs w:val="18"/>
              </w:rPr>
            </w:pPr>
            <w:r w:rsidRPr="002926D7">
              <w:rPr>
                <w:rFonts w:cstheme="minorHAnsi"/>
                <w:b/>
                <w:bCs/>
                <w:sz w:val="18"/>
                <w:szCs w:val="18"/>
              </w:rPr>
              <w:t>Outputs to achieve Outcome 2.1</w:t>
            </w:r>
          </w:p>
        </w:tc>
        <w:tc>
          <w:tcPr>
            <w:tcW w:w="12870" w:type="dxa"/>
            <w:gridSpan w:val="7"/>
            <w:tcBorders>
              <w:top w:val="single" w:sz="4" w:space="0" w:color="auto"/>
              <w:left w:val="single" w:sz="4" w:space="0" w:color="auto"/>
              <w:bottom w:val="single" w:sz="4" w:space="0" w:color="auto"/>
              <w:right w:val="single" w:sz="4" w:space="0" w:color="auto"/>
            </w:tcBorders>
            <w:hideMark/>
          </w:tcPr>
          <w:p w14:paraId="1C092AFD" w14:textId="20F9A597" w:rsidR="00C45730" w:rsidRPr="002926D7" w:rsidRDefault="00C45730" w:rsidP="002926D7">
            <w:pPr>
              <w:pStyle w:val="Table"/>
              <w:ind w:left="0" w:right="180"/>
              <w:rPr>
                <w:rFonts w:asciiTheme="minorHAnsi" w:hAnsiTheme="minorHAnsi" w:cstheme="minorHAnsi"/>
                <w:sz w:val="18"/>
                <w:szCs w:val="18"/>
              </w:rPr>
            </w:pPr>
            <w:r w:rsidRPr="002926D7">
              <w:rPr>
                <w:rFonts w:asciiTheme="minorHAnsi" w:hAnsiTheme="minorHAnsi" w:cstheme="minorHAnsi"/>
                <w:sz w:val="18"/>
                <w:szCs w:val="18"/>
              </w:rPr>
              <w:t>Output 2.1.1. Capacities of CSOs/CBOs strengthened for implementation of landscape-seascape strategies</w:t>
            </w:r>
            <w:r w:rsidR="002938C8" w:rsidRPr="002926D7">
              <w:rPr>
                <w:rFonts w:asciiTheme="minorHAnsi" w:hAnsiTheme="minorHAnsi" w:cstheme="minorHAnsi"/>
                <w:sz w:val="18"/>
                <w:szCs w:val="18"/>
              </w:rPr>
              <w:t>, for grant-supporting activities</w:t>
            </w:r>
            <w:r w:rsidRPr="002926D7">
              <w:rPr>
                <w:rFonts w:asciiTheme="minorHAnsi" w:hAnsiTheme="minorHAnsi" w:cstheme="minorHAnsi"/>
                <w:sz w:val="18"/>
                <w:szCs w:val="18"/>
              </w:rPr>
              <w:t>.</w:t>
            </w:r>
          </w:p>
          <w:p w14:paraId="6CA2FCC1" w14:textId="0B4B2C8C" w:rsidR="00C45730" w:rsidRPr="002926D7" w:rsidRDefault="00C45730" w:rsidP="002926D7">
            <w:pPr>
              <w:pStyle w:val="Table"/>
              <w:ind w:left="0" w:right="180"/>
              <w:rPr>
                <w:rFonts w:asciiTheme="minorHAnsi" w:eastAsia="Calibri" w:hAnsiTheme="minorHAnsi" w:cstheme="minorHAnsi"/>
                <w:sz w:val="18"/>
                <w:szCs w:val="18"/>
              </w:rPr>
            </w:pPr>
            <w:r w:rsidRPr="002926D7">
              <w:rPr>
                <w:rFonts w:asciiTheme="minorHAnsi" w:hAnsiTheme="minorHAnsi" w:cstheme="minorHAnsi"/>
                <w:sz w:val="18"/>
                <w:szCs w:val="18"/>
              </w:rPr>
              <w:t xml:space="preserve">Output 2.1.2. Community level initiatives designed, financed, implemented, monitored and evaluated, </w:t>
            </w:r>
            <w:r w:rsidRPr="002926D7">
              <w:rPr>
                <w:rFonts w:asciiTheme="minorHAnsi" w:eastAsia="Calibri" w:hAnsiTheme="minorHAnsi" w:cstheme="minorHAnsi"/>
                <w:color w:val="000000" w:themeColor="text1"/>
                <w:sz w:val="18"/>
                <w:szCs w:val="18"/>
              </w:rPr>
              <w:t xml:space="preserve">under the following </w:t>
            </w:r>
            <w:r w:rsidRPr="002926D7">
              <w:rPr>
                <w:rFonts w:asciiTheme="minorHAnsi" w:eastAsia="Calibri" w:hAnsiTheme="minorHAnsi" w:cstheme="minorHAnsi"/>
                <w:i/>
                <w:color w:val="000000" w:themeColor="text1"/>
                <w:sz w:val="18"/>
                <w:szCs w:val="18"/>
              </w:rPr>
              <w:t xml:space="preserve">Strategic priorities: </w:t>
            </w:r>
            <w:r w:rsidRPr="002926D7">
              <w:rPr>
                <w:rFonts w:asciiTheme="minorHAnsi" w:eastAsia="Calibri" w:hAnsiTheme="minorHAnsi" w:cstheme="minorHAnsi"/>
                <w:sz w:val="18"/>
                <w:szCs w:val="18"/>
              </w:rPr>
              <w:t xml:space="preserve">(i) community- based management of threatened ecosystems and species, (ii)  sustainable agriculture and fisheries, and food security, (iii)  low-carbon energy access and co-benefits, </w:t>
            </w:r>
          </w:p>
          <w:p w14:paraId="52BF16DE" w14:textId="4F47F090" w:rsidR="00C45730" w:rsidRPr="002926D7" w:rsidRDefault="00C45730" w:rsidP="002926D7">
            <w:pPr>
              <w:jc w:val="left"/>
              <w:rPr>
                <w:rFonts w:asciiTheme="minorHAnsi" w:eastAsia="Calibri" w:hAnsiTheme="minorHAnsi" w:cstheme="minorHAnsi"/>
                <w:sz w:val="18"/>
                <w:szCs w:val="18"/>
              </w:rPr>
            </w:pPr>
            <w:r w:rsidRPr="002926D7">
              <w:rPr>
                <w:rFonts w:asciiTheme="minorHAnsi" w:eastAsia="Calibri" w:hAnsiTheme="minorHAnsi" w:cstheme="minorHAnsi"/>
                <w:sz w:val="18"/>
                <w:szCs w:val="18"/>
              </w:rPr>
              <w:t>(iv)  local to global coalitions for chemicals and waste management, (v) sustainable solutions in targeted urban landscapes.</w:t>
            </w:r>
          </w:p>
          <w:p w14:paraId="07DD36CB" w14:textId="77777777" w:rsidR="00C45730" w:rsidRPr="002926D7" w:rsidRDefault="00C45730" w:rsidP="002926D7">
            <w:pPr>
              <w:pStyle w:val="Table"/>
              <w:ind w:left="0" w:right="180"/>
              <w:rPr>
                <w:rFonts w:asciiTheme="minorHAnsi" w:hAnsiTheme="minorHAnsi" w:cstheme="minorHAnsi"/>
                <w:noProof/>
                <w:sz w:val="18"/>
                <w:szCs w:val="18"/>
              </w:rPr>
            </w:pPr>
            <w:r w:rsidRPr="002926D7">
              <w:rPr>
                <w:rFonts w:asciiTheme="minorHAnsi" w:hAnsiTheme="minorHAnsi" w:cstheme="minorHAnsi"/>
                <w:sz w:val="18"/>
                <w:szCs w:val="18"/>
              </w:rPr>
              <w:t>Output 2.1.3. Focused interventions for advancement of gender equality and women’s empowerment objectives.</w:t>
            </w:r>
          </w:p>
          <w:p w14:paraId="4C8BABB0" w14:textId="77777777" w:rsidR="00C45730" w:rsidRPr="002926D7" w:rsidRDefault="00C45730" w:rsidP="002926D7">
            <w:pPr>
              <w:pStyle w:val="Table"/>
              <w:ind w:left="0" w:right="180"/>
              <w:rPr>
                <w:rFonts w:asciiTheme="minorHAnsi" w:hAnsiTheme="minorHAnsi" w:cstheme="minorHAnsi"/>
                <w:noProof/>
                <w:sz w:val="18"/>
                <w:szCs w:val="18"/>
              </w:rPr>
            </w:pPr>
            <w:r w:rsidRPr="002926D7">
              <w:rPr>
                <w:rFonts w:asciiTheme="minorHAnsi" w:hAnsiTheme="minorHAnsi" w:cstheme="minorHAnsi"/>
                <w:noProof/>
                <w:sz w:val="18"/>
                <w:szCs w:val="18"/>
              </w:rPr>
              <w:t>Output 2.1.4 Focused interventions on leaving no one behind, including Indigenous Peoples, youth, persons with disabialities.</w:t>
            </w:r>
          </w:p>
        </w:tc>
      </w:tr>
      <w:tr w:rsidR="00C45730" w:rsidRPr="002926D7" w14:paraId="6426DCE3" w14:textId="77777777" w:rsidTr="00025B2D">
        <w:trPr>
          <w:trHeight w:val="620"/>
        </w:trPr>
        <w:tc>
          <w:tcPr>
            <w:tcW w:w="1525" w:type="dxa"/>
            <w:tcBorders>
              <w:top w:val="single" w:sz="4" w:space="0" w:color="auto"/>
              <w:left w:val="single" w:sz="4" w:space="0" w:color="auto"/>
              <w:bottom w:val="single" w:sz="4" w:space="0" w:color="auto"/>
              <w:right w:val="single" w:sz="4" w:space="0" w:color="auto"/>
            </w:tcBorders>
            <w:shd w:val="clear" w:color="auto" w:fill="E7E6E6"/>
            <w:hideMark/>
          </w:tcPr>
          <w:p w14:paraId="18696937" w14:textId="77777777" w:rsidR="00C45730" w:rsidRPr="002926D7" w:rsidRDefault="00C45730" w:rsidP="002926D7">
            <w:pPr>
              <w:jc w:val="left"/>
              <w:rPr>
                <w:rFonts w:cstheme="minorHAnsi"/>
                <w:b/>
                <w:bCs/>
                <w:sz w:val="18"/>
                <w:szCs w:val="18"/>
              </w:rPr>
            </w:pPr>
            <w:r w:rsidRPr="002926D7">
              <w:rPr>
                <w:rFonts w:cstheme="minorHAnsi"/>
                <w:b/>
                <w:bCs/>
                <w:sz w:val="18"/>
                <w:szCs w:val="18"/>
              </w:rPr>
              <w:t xml:space="preserve">Project component 3 </w:t>
            </w:r>
          </w:p>
        </w:tc>
        <w:tc>
          <w:tcPr>
            <w:tcW w:w="12870" w:type="dxa"/>
            <w:gridSpan w:val="7"/>
            <w:tcBorders>
              <w:top w:val="single" w:sz="4" w:space="0" w:color="auto"/>
              <w:left w:val="single" w:sz="4" w:space="0" w:color="auto"/>
              <w:bottom w:val="single" w:sz="4" w:space="0" w:color="auto"/>
              <w:right w:val="single" w:sz="4" w:space="0" w:color="auto"/>
            </w:tcBorders>
            <w:shd w:val="clear" w:color="auto" w:fill="E7E6E6"/>
            <w:hideMark/>
          </w:tcPr>
          <w:p w14:paraId="1EF62645" w14:textId="77777777" w:rsidR="00C45730" w:rsidRPr="002926D7" w:rsidRDefault="00C45730" w:rsidP="002926D7">
            <w:pPr>
              <w:jc w:val="left"/>
              <w:rPr>
                <w:rFonts w:cstheme="minorHAnsi"/>
                <w:b/>
                <w:bCs/>
                <w:i/>
                <w:iCs/>
                <w:sz w:val="18"/>
                <w:szCs w:val="18"/>
              </w:rPr>
            </w:pPr>
            <w:r w:rsidRPr="002926D7">
              <w:rPr>
                <w:rFonts w:cstheme="minorHAnsi"/>
                <w:b/>
                <w:bCs/>
                <w:sz w:val="18"/>
                <w:szCs w:val="18"/>
              </w:rPr>
              <w:t>Knowledge Management and Learning</w:t>
            </w:r>
          </w:p>
        </w:tc>
      </w:tr>
      <w:tr w:rsidR="00C45730" w:rsidRPr="002926D7" w14:paraId="47ABE6E1" w14:textId="77777777" w:rsidTr="00025B2D">
        <w:trPr>
          <w:trHeight w:val="530"/>
        </w:trPr>
        <w:tc>
          <w:tcPr>
            <w:tcW w:w="1525" w:type="dxa"/>
            <w:vMerge w:val="restart"/>
            <w:tcBorders>
              <w:left w:val="single" w:sz="4" w:space="0" w:color="auto"/>
              <w:right w:val="single" w:sz="4" w:space="0" w:color="auto"/>
            </w:tcBorders>
            <w:vAlign w:val="center"/>
            <w:hideMark/>
          </w:tcPr>
          <w:p w14:paraId="41F4D6AB" w14:textId="77777777" w:rsidR="00C45730" w:rsidRPr="002926D7" w:rsidRDefault="00C45730" w:rsidP="002926D7">
            <w:pPr>
              <w:jc w:val="left"/>
              <w:rPr>
                <w:rFonts w:cstheme="minorHAnsi"/>
                <w:b/>
                <w:bCs/>
                <w:sz w:val="18"/>
                <w:szCs w:val="18"/>
              </w:rPr>
            </w:pPr>
            <w:r w:rsidRPr="002926D7">
              <w:rPr>
                <w:rFonts w:cstheme="minorHAnsi"/>
                <w:b/>
                <w:bCs/>
                <w:sz w:val="18"/>
                <w:szCs w:val="18"/>
              </w:rPr>
              <w:t xml:space="preserve">Outcome 3.1. </w:t>
            </w:r>
            <w:r w:rsidRPr="002926D7">
              <w:rPr>
                <w:rFonts w:eastAsia="Calibri" w:cstheme="minorHAnsi"/>
                <w:bCs/>
                <w:color w:val="000000" w:themeColor="text1"/>
                <w:sz w:val="18"/>
                <w:szCs w:val="18"/>
              </w:rPr>
              <w:t>Sustainability and impact of community-led collective action enhanced through knowledge management and learning approaches across landscapes-seascapes and regions.</w:t>
            </w:r>
          </w:p>
        </w:tc>
        <w:tc>
          <w:tcPr>
            <w:tcW w:w="2668" w:type="dxa"/>
            <w:tcBorders>
              <w:top w:val="single" w:sz="4" w:space="0" w:color="auto"/>
              <w:left w:val="single" w:sz="4" w:space="0" w:color="auto"/>
              <w:bottom w:val="single" w:sz="4" w:space="0" w:color="auto"/>
              <w:right w:val="single" w:sz="4" w:space="0" w:color="auto"/>
            </w:tcBorders>
            <w:hideMark/>
          </w:tcPr>
          <w:p w14:paraId="68DC2EAB" w14:textId="30F0D283" w:rsidR="00C45730" w:rsidRPr="002926D7" w:rsidRDefault="00C45730" w:rsidP="002926D7">
            <w:pPr>
              <w:jc w:val="left"/>
              <w:rPr>
                <w:rFonts w:cstheme="minorHAnsi"/>
                <w:bCs/>
                <w:i/>
                <w:sz w:val="18"/>
                <w:szCs w:val="18"/>
              </w:rPr>
            </w:pPr>
            <w:r w:rsidRPr="002926D7">
              <w:rPr>
                <w:rFonts w:cstheme="minorHAnsi"/>
                <w:b/>
                <w:iCs/>
                <w:sz w:val="18"/>
                <w:szCs w:val="18"/>
              </w:rPr>
              <w:t xml:space="preserve">Indicator </w:t>
            </w:r>
            <w:r w:rsidR="0010636B" w:rsidRPr="002926D7">
              <w:rPr>
                <w:rFonts w:cstheme="minorHAnsi"/>
                <w:b/>
                <w:iCs/>
                <w:sz w:val="18"/>
                <w:szCs w:val="18"/>
              </w:rPr>
              <w:t>21</w:t>
            </w:r>
            <w:r w:rsidRPr="002926D7">
              <w:rPr>
                <w:rFonts w:cstheme="minorHAnsi"/>
                <w:bCs/>
                <w:iCs/>
                <w:sz w:val="18"/>
                <w:szCs w:val="18"/>
              </w:rPr>
              <w:t xml:space="preserve">: </w:t>
            </w:r>
            <w:r w:rsidRPr="002926D7">
              <w:rPr>
                <w:rFonts w:cstheme="minorHAnsi"/>
                <w:bCs/>
                <w:sz w:val="18"/>
                <w:szCs w:val="18"/>
              </w:rPr>
              <w:t>Number of countries undertaking South-South exchanges between communities, NGOs/CSOs, or other partners within or across countries.</w:t>
            </w:r>
          </w:p>
        </w:tc>
        <w:tc>
          <w:tcPr>
            <w:tcW w:w="1292" w:type="dxa"/>
            <w:tcBorders>
              <w:top w:val="single" w:sz="4" w:space="0" w:color="auto"/>
              <w:left w:val="single" w:sz="4" w:space="0" w:color="auto"/>
              <w:bottom w:val="single" w:sz="4" w:space="0" w:color="auto"/>
              <w:right w:val="single" w:sz="4" w:space="0" w:color="auto"/>
            </w:tcBorders>
            <w:hideMark/>
          </w:tcPr>
          <w:p w14:paraId="61F73A13" w14:textId="77777777" w:rsidR="00C45730" w:rsidRPr="002926D7" w:rsidRDefault="00C45730" w:rsidP="002926D7">
            <w:pPr>
              <w:jc w:val="left"/>
              <w:rPr>
                <w:rFonts w:cstheme="minorHAnsi"/>
                <w:bCs/>
                <w:sz w:val="18"/>
                <w:szCs w:val="18"/>
              </w:rPr>
            </w:pPr>
            <w:r w:rsidRPr="002926D7">
              <w:rPr>
                <w:rFonts w:cstheme="minorHAnsi"/>
                <w:bCs/>
                <w:sz w:val="18"/>
                <w:szCs w:val="18"/>
              </w:rPr>
              <w:t>AMR</w:t>
            </w:r>
          </w:p>
        </w:tc>
        <w:tc>
          <w:tcPr>
            <w:tcW w:w="1707" w:type="dxa"/>
            <w:tcBorders>
              <w:top w:val="single" w:sz="4" w:space="0" w:color="auto"/>
              <w:left w:val="single" w:sz="4" w:space="0" w:color="auto"/>
              <w:bottom w:val="single" w:sz="4" w:space="0" w:color="auto"/>
              <w:right w:val="single" w:sz="4" w:space="0" w:color="auto"/>
            </w:tcBorders>
            <w:hideMark/>
          </w:tcPr>
          <w:p w14:paraId="647BD094" w14:textId="77777777" w:rsidR="00C45730" w:rsidRPr="002926D7" w:rsidRDefault="00C45730" w:rsidP="002926D7">
            <w:pPr>
              <w:jc w:val="left"/>
              <w:rPr>
                <w:rFonts w:cstheme="minorHAnsi"/>
                <w:bCs/>
                <w:sz w:val="18"/>
                <w:szCs w:val="18"/>
              </w:rPr>
            </w:pPr>
            <w:r w:rsidRPr="002926D7">
              <w:rPr>
                <w:rFonts w:cstheme="minorHAnsi"/>
                <w:bCs/>
                <w:sz w:val="18"/>
                <w:szCs w:val="18"/>
              </w:rPr>
              <w:t>30</w:t>
            </w:r>
          </w:p>
          <w:p w14:paraId="7CFDAA42" w14:textId="77777777" w:rsidR="00C45730" w:rsidRPr="002926D7" w:rsidRDefault="00C45730" w:rsidP="002926D7">
            <w:pPr>
              <w:jc w:val="left"/>
              <w:rPr>
                <w:rFonts w:cstheme="minorHAnsi"/>
                <w:bCs/>
                <w:sz w:val="18"/>
                <w:szCs w:val="18"/>
              </w:rPr>
            </w:pPr>
            <w:r w:rsidRPr="002926D7">
              <w:rPr>
                <w:rFonts w:cstheme="minorHAnsi"/>
                <w:bCs/>
                <w:sz w:val="18"/>
                <w:szCs w:val="18"/>
              </w:rPr>
              <w:t>Source: 2023 AMR</w:t>
            </w:r>
          </w:p>
        </w:tc>
        <w:tc>
          <w:tcPr>
            <w:tcW w:w="1799" w:type="dxa"/>
            <w:tcBorders>
              <w:top w:val="single" w:sz="4" w:space="0" w:color="auto"/>
              <w:left w:val="single" w:sz="4" w:space="0" w:color="auto"/>
              <w:bottom w:val="single" w:sz="4" w:space="0" w:color="auto"/>
              <w:right w:val="single" w:sz="4" w:space="0" w:color="auto"/>
            </w:tcBorders>
            <w:hideMark/>
          </w:tcPr>
          <w:p w14:paraId="2A79A6C8" w14:textId="77777777" w:rsidR="00C45730" w:rsidRPr="002926D7" w:rsidRDefault="00C45730" w:rsidP="002926D7">
            <w:pPr>
              <w:jc w:val="left"/>
              <w:rPr>
                <w:rFonts w:cstheme="minorHAnsi"/>
                <w:bCs/>
                <w:sz w:val="18"/>
                <w:szCs w:val="18"/>
              </w:rPr>
            </w:pPr>
            <w:r w:rsidRPr="002926D7">
              <w:rPr>
                <w:rFonts w:cstheme="minorHAnsi"/>
                <w:bCs/>
                <w:sz w:val="18"/>
                <w:szCs w:val="18"/>
              </w:rPr>
              <w:t>10 SGP countries</w:t>
            </w:r>
          </w:p>
        </w:tc>
        <w:tc>
          <w:tcPr>
            <w:tcW w:w="1718" w:type="dxa"/>
            <w:tcBorders>
              <w:top w:val="single" w:sz="4" w:space="0" w:color="auto"/>
              <w:left w:val="single" w:sz="4" w:space="0" w:color="auto"/>
              <w:bottom w:val="single" w:sz="4" w:space="0" w:color="auto"/>
              <w:right w:val="single" w:sz="4" w:space="0" w:color="auto"/>
            </w:tcBorders>
            <w:hideMark/>
          </w:tcPr>
          <w:p w14:paraId="1800036D" w14:textId="77777777" w:rsidR="00C45730" w:rsidRPr="002926D7" w:rsidRDefault="00C45730" w:rsidP="002926D7">
            <w:pPr>
              <w:jc w:val="left"/>
              <w:rPr>
                <w:rFonts w:cstheme="minorHAnsi"/>
                <w:sz w:val="18"/>
                <w:szCs w:val="18"/>
              </w:rPr>
            </w:pPr>
            <w:r w:rsidRPr="002926D7">
              <w:rPr>
                <w:rFonts w:cstheme="minorHAnsi"/>
                <w:sz w:val="18"/>
                <w:szCs w:val="18"/>
              </w:rPr>
              <w:t>25 SGP countries (approx. 25% of the OP8 Part 1 portfolio)</w:t>
            </w:r>
          </w:p>
        </w:tc>
        <w:tc>
          <w:tcPr>
            <w:tcW w:w="1531" w:type="dxa"/>
            <w:tcBorders>
              <w:top w:val="single" w:sz="4" w:space="0" w:color="auto"/>
              <w:left w:val="single" w:sz="4" w:space="0" w:color="auto"/>
              <w:bottom w:val="single" w:sz="4" w:space="0" w:color="auto"/>
              <w:right w:val="single" w:sz="4" w:space="0" w:color="auto"/>
            </w:tcBorders>
            <w:hideMark/>
          </w:tcPr>
          <w:p w14:paraId="53902BFC" w14:textId="77777777" w:rsidR="00C45730" w:rsidRPr="002926D7" w:rsidRDefault="00C45730" w:rsidP="002926D7">
            <w:pPr>
              <w:jc w:val="left"/>
              <w:rPr>
                <w:rFonts w:cstheme="minorHAnsi"/>
                <w:sz w:val="18"/>
                <w:szCs w:val="18"/>
              </w:rPr>
            </w:pPr>
            <w:r w:rsidRPr="002926D7">
              <w:rPr>
                <w:rFonts w:cs="Calibri"/>
                <w:sz w:val="18"/>
                <w:szCs w:val="18"/>
              </w:rPr>
              <w:t>Grantee monitoring reports; Impact reviews; SGP database</w:t>
            </w:r>
          </w:p>
        </w:tc>
        <w:tc>
          <w:tcPr>
            <w:tcW w:w="2155" w:type="dxa"/>
            <w:vMerge w:val="restart"/>
            <w:tcBorders>
              <w:top w:val="single" w:sz="4" w:space="0" w:color="auto"/>
              <w:left w:val="single" w:sz="4" w:space="0" w:color="auto"/>
              <w:right w:val="single" w:sz="4" w:space="0" w:color="auto"/>
            </w:tcBorders>
            <w:hideMark/>
          </w:tcPr>
          <w:p w14:paraId="5CF45603" w14:textId="77777777" w:rsidR="00C45730" w:rsidRPr="002926D7" w:rsidRDefault="00C45730" w:rsidP="002926D7">
            <w:pPr>
              <w:pStyle w:val="Default"/>
              <w:rPr>
                <w:rFonts w:asciiTheme="minorHAnsi" w:hAnsiTheme="minorHAnsi" w:cstheme="minorHAnsi"/>
                <w:sz w:val="18"/>
                <w:szCs w:val="18"/>
              </w:rPr>
            </w:pPr>
            <w:r w:rsidRPr="002926D7">
              <w:rPr>
                <w:rFonts w:asciiTheme="minorHAnsi" w:hAnsiTheme="minorHAnsi" w:cstheme="minorHAnsi"/>
                <w:sz w:val="18"/>
                <w:szCs w:val="18"/>
              </w:rPr>
              <w:t xml:space="preserve">Government and stakeholders are actively engaged. </w:t>
            </w:r>
          </w:p>
          <w:p w14:paraId="24948769" w14:textId="77777777" w:rsidR="00C45730" w:rsidRPr="002926D7" w:rsidRDefault="00C45730" w:rsidP="002926D7">
            <w:pPr>
              <w:jc w:val="left"/>
              <w:rPr>
                <w:rFonts w:cstheme="minorHAnsi"/>
                <w:sz w:val="18"/>
                <w:szCs w:val="18"/>
              </w:rPr>
            </w:pPr>
          </w:p>
          <w:p w14:paraId="711B8435" w14:textId="77777777" w:rsidR="00C45730" w:rsidRPr="002926D7" w:rsidRDefault="00C45730" w:rsidP="002926D7">
            <w:pPr>
              <w:jc w:val="left"/>
              <w:rPr>
                <w:rFonts w:cstheme="minorHAnsi"/>
                <w:sz w:val="18"/>
                <w:szCs w:val="18"/>
              </w:rPr>
            </w:pPr>
            <w:r w:rsidRPr="002926D7">
              <w:rPr>
                <w:rFonts w:cstheme="minorHAnsi"/>
                <w:sz w:val="18"/>
                <w:szCs w:val="18"/>
              </w:rPr>
              <w:t>Stakeholders have capacity to generate clear outcomes and lessons learned.</w:t>
            </w:r>
          </w:p>
        </w:tc>
      </w:tr>
      <w:tr w:rsidR="00C45730" w:rsidRPr="002926D7" w14:paraId="6C3814C8" w14:textId="77777777" w:rsidTr="00025B2D">
        <w:trPr>
          <w:trHeight w:val="530"/>
        </w:trPr>
        <w:tc>
          <w:tcPr>
            <w:tcW w:w="1525" w:type="dxa"/>
            <w:vMerge/>
            <w:tcBorders>
              <w:left w:val="single" w:sz="4" w:space="0" w:color="auto"/>
              <w:right w:val="single" w:sz="4" w:space="0" w:color="auto"/>
            </w:tcBorders>
            <w:vAlign w:val="center"/>
            <w:hideMark/>
          </w:tcPr>
          <w:p w14:paraId="28C528DF" w14:textId="77777777" w:rsidR="00C45730" w:rsidRPr="002926D7" w:rsidRDefault="00C45730" w:rsidP="002926D7">
            <w:pPr>
              <w:jc w:val="left"/>
              <w:rPr>
                <w:rFonts w:cstheme="minorHAnsi"/>
                <w:b/>
                <w:bCs/>
                <w:sz w:val="18"/>
                <w:szCs w:val="18"/>
              </w:rPr>
            </w:pPr>
          </w:p>
        </w:tc>
        <w:tc>
          <w:tcPr>
            <w:tcW w:w="2668" w:type="dxa"/>
            <w:tcBorders>
              <w:top w:val="single" w:sz="4" w:space="0" w:color="auto"/>
              <w:left w:val="single" w:sz="4" w:space="0" w:color="auto"/>
              <w:bottom w:val="single" w:sz="4" w:space="0" w:color="auto"/>
              <w:right w:val="single" w:sz="4" w:space="0" w:color="auto"/>
            </w:tcBorders>
            <w:hideMark/>
          </w:tcPr>
          <w:p w14:paraId="2EBDB267" w14:textId="21C8A7AF" w:rsidR="00C45730" w:rsidRPr="002926D7" w:rsidRDefault="00C45730" w:rsidP="002926D7">
            <w:pPr>
              <w:jc w:val="left"/>
              <w:rPr>
                <w:rFonts w:cstheme="minorHAnsi"/>
                <w:bCs/>
                <w:i/>
                <w:sz w:val="18"/>
                <w:szCs w:val="18"/>
              </w:rPr>
            </w:pPr>
            <w:r w:rsidRPr="002926D7">
              <w:rPr>
                <w:rFonts w:cstheme="minorHAnsi"/>
                <w:b/>
                <w:iCs/>
                <w:sz w:val="18"/>
                <w:szCs w:val="18"/>
              </w:rPr>
              <w:t xml:space="preserve">Indicator </w:t>
            </w:r>
            <w:r w:rsidR="0010636B" w:rsidRPr="002926D7">
              <w:rPr>
                <w:rFonts w:cstheme="minorHAnsi"/>
                <w:b/>
                <w:iCs/>
                <w:sz w:val="18"/>
                <w:szCs w:val="18"/>
              </w:rPr>
              <w:t>22</w:t>
            </w:r>
            <w:r w:rsidRPr="002926D7">
              <w:rPr>
                <w:rFonts w:cstheme="minorHAnsi"/>
                <w:bCs/>
                <w:iCs/>
                <w:sz w:val="18"/>
                <w:szCs w:val="18"/>
              </w:rPr>
              <w:t xml:space="preserve">: </w:t>
            </w:r>
            <w:r w:rsidRPr="002926D7">
              <w:rPr>
                <w:rFonts w:cstheme="minorHAnsi"/>
                <w:bCs/>
                <w:sz w:val="18"/>
                <w:szCs w:val="18"/>
              </w:rPr>
              <w:t>Number of South-South exchanges to transfer knowledge, replicate technology, tools or approaches on global environmental issues.</w:t>
            </w:r>
          </w:p>
        </w:tc>
        <w:tc>
          <w:tcPr>
            <w:tcW w:w="1292" w:type="dxa"/>
            <w:tcBorders>
              <w:top w:val="single" w:sz="4" w:space="0" w:color="auto"/>
              <w:left w:val="single" w:sz="4" w:space="0" w:color="auto"/>
              <w:bottom w:val="single" w:sz="4" w:space="0" w:color="auto"/>
              <w:right w:val="single" w:sz="4" w:space="0" w:color="auto"/>
            </w:tcBorders>
            <w:hideMark/>
          </w:tcPr>
          <w:p w14:paraId="3E71E685" w14:textId="77777777" w:rsidR="00C45730" w:rsidRPr="002926D7" w:rsidRDefault="00C45730" w:rsidP="002926D7">
            <w:pPr>
              <w:jc w:val="left"/>
              <w:rPr>
                <w:rFonts w:cstheme="minorHAnsi"/>
                <w:bCs/>
                <w:sz w:val="18"/>
                <w:szCs w:val="18"/>
              </w:rPr>
            </w:pPr>
            <w:r w:rsidRPr="002926D7">
              <w:rPr>
                <w:rFonts w:cstheme="minorHAnsi"/>
                <w:bCs/>
                <w:sz w:val="18"/>
                <w:szCs w:val="18"/>
              </w:rPr>
              <w:t>AMR</w:t>
            </w:r>
          </w:p>
        </w:tc>
        <w:tc>
          <w:tcPr>
            <w:tcW w:w="1707" w:type="dxa"/>
            <w:tcBorders>
              <w:top w:val="single" w:sz="4" w:space="0" w:color="auto"/>
              <w:left w:val="single" w:sz="4" w:space="0" w:color="auto"/>
              <w:bottom w:val="single" w:sz="4" w:space="0" w:color="auto"/>
              <w:right w:val="single" w:sz="4" w:space="0" w:color="auto"/>
            </w:tcBorders>
            <w:hideMark/>
          </w:tcPr>
          <w:p w14:paraId="32A552A3" w14:textId="77777777" w:rsidR="00C45730" w:rsidRPr="002926D7" w:rsidRDefault="00C45730" w:rsidP="002926D7">
            <w:pPr>
              <w:jc w:val="left"/>
              <w:rPr>
                <w:rFonts w:cstheme="minorHAnsi"/>
                <w:bCs/>
                <w:sz w:val="18"/>
                <w:szCs w:val="18"/>
              </w:rPr>
            </w:pPr>
            <w:r w:rsidRPr="002926D7">
              <w:rPr>
                <w:rFonts w:cstheme="minorHAnsi"/>
                <w:bCs/>
                <w:sz w:val="18"/>
                <w:szCs w:val="18"/>
              </w:rPr>
              <w:t>54</w:t>
            </w:r>
          </w:p>
          <w:p w14:paraId="0B5FF449" w14:textId="77777777" w:rsidR="00C45730" w:rsidRPr="002926D7" w:rsidRDefault="00C45730" w:rsidP="002926D7">
            <w:pPr>
              <w:jc w:val="left"/>
              <w:rPr>
                <w:rFonts w:cstheme="minorHAnsi"/>
                <w:bCs/>
                <w:sz w:val="18"/>
                <w:szCs w:val="18"/>
              </w:rPr>
            </w:pPr>
            <w:r w:rsidRPr="002926D7">
              <w:rPr>
                <w:rFonts w:cstheme="minorHAnsi"/>
                <w:bCs/>
                <w:sz w:val="18"/>
                <w:szCs w:val="18"/>
              </w:rPr>
              <w:t>Source: 2023 AMR</w:t>
            </w:r>
          </w:p>
        </w:tc>
        <w:tc>
          <w:tcPr>
            <w:tcW w:w="1799" w:type="dxa"/>
            <w:tcBorders>
              <w:top w:val="single" w:sz="4" w:space="0" w:color="auto"/>
              <w:left w:val="single" w:sz="4" w:space="0" w:color="auto"/>
              <w:bottom w:val="single" w:sz="4" w:space="0" w:color="auto"/>
              <w:right w:val="single" w:sz="4" w:space="0" w:color="auto"/>
            </w:tcBorders>
            <w:hideMark/>
          </w:tcPr>
          <w:p w14:paraId="7B2B496A" w14:textId="77777777" w:rsidR="00C45730" w:rsidRPr="002926D7" w:rsidRDefault="00C45730" w:rsidP="002926D7">
            <w:pPr>
              <w:jc w:val="left"/>
              <w:rPr>
                <w:rFonts w:cstheme="minorHAnsi"/>
                <w:bCs/>
                <w:sz w:val="18"/>
                <w:szCs w:val="18"/>
              </w:rPr>
            </w:pPr>
            <w:r w:rsidRPr="002926D7">
              <w:rPr>
                <w:rFonts w:cstheme="minorHAnsi"/>
                <w:bCs/>
                <w:sz w:val="18"/>
                <w:szCs w:val="18"/>
              </w:rPr>
              <w:t>20 exchanges</w:t>
            </w:r>
          </w:p>
        </w:tc>
        <w:tc>
          <w:tcPr>
            <w:tcW w:w="1718" w:type="dxa"/>
            <w:tcBorders>
              <w:top w:val="single" w:sz="4" w:space="0" w:color="auto"/>
              <w:left w:val="single" w:sz="4" w:space="0" w:color="auto"/>
              <w:bottom w:val="single" w:sz="4" w:space="0" w:color="auto"/>
              <w:right w:val="single" w:sz="4" w:space="0" w:color="auto"/>
            </w:tcBorders>
            <w:hideMark/>
          </w:tcPr>
          <w:p w14:paraId="46AC70DA" w14:textId="77777777" w:rsidR="00C45730" w:rsidRPr="002926D7" w:rsidRDefault="00C45730" w:rsidP="002926D7">
            <w:pPr>
              <w:jc w:val="left"/>
              <w:rPr>
                <w:rFonts w:cstheme="minorHAnsi"/>
                <w:sz w:val="18"/>
                <w:szCs w:val="18"/>
              </w:rPr>
            </w:pPr>
            <w:r w:rsidRPr="002926D7">
              <w:rPr>
                <w:rFonts w:cstheme="minorHAnsi"/>
                <w:sz w:val="18"/>
                <w:szCs w:val="18"/>
              </w:rPr>
              <w:t>40 exchanges</w:t>
            </w:r>
          </w:p>
        </w:tc>
        <w:tc>
          <w:tcPr>
            <w:tcW w:w="1531" w:type="dxa"/>
            <w:tcBorders>
              <w:top w:val="single" w:sz="4" w:space="0" w:color="auto"/>
              <w:left w:val="single" w:sz="4" w:space="0" w:color="auto"/>
              <w:bottom w:val="single" w:sz="4" w:space="0" w:color="auto"/>
              <w:right w:val="single" w:sz="4" w:space="0" w:color="auto"/>
            </w:tcBorders>
            <w:hideMark/>
          </w:tcPr>
          <w:p w14:paraId="60723316" w14:textId="77777777" w:rsidR="00C45730" w:rsidRPr="002926D7" w:rsidRDefault="00C45730" w:rsidP="002926D7">
            <w:pPr>
              <w:jc w:val="left"/>
              <w:rPr>
                <w:rFonts w:cstheme="minorHAnsi"/>
                <w:sz w:val="18"/>
                <w:szCs w:val="18"/>
              </w:rPr>
            </w:pPr>
            <w:r w:rsidRPr="002926D7">
              <w:rPr>
                <w:rFonts w:cs="Calibri"/>
                <w:sz w:val="18"/>
                <w:szCs w:val="18"/>
              </w:rPr>
              <w:t>Grantee monitoring reports; Impact reviews; SGP database</w:t>
            </w:r>
          </w:p>
        </w:tc>
        <w:tc>
          <w:tcPr>
            <w:tcW w:w="2155" w:type="dxa"/>
            <w:vMerge/>
            <w:tcBorders>
              <w:left w:val="single" w:sz="4" w:space="0" w:color="auto"/>
              <w:bottom w:val="single" w:sz="4" w:space="0" w:color="auto"/>
              <w:right w:val="single" w:sz="4" w:space="0" w:color="auto"/>
            </w:tcBorders>
            <w:hideMark/>
          </w:tcPr>
          <w:p w14:paraId="181EAF4E" w14:textId="77777777" w:rsidR="00C45730" w:rsidRPr="002926D7" w:rsidRDefault="00C45730" w:rsidP="002926D7">
            <w:pPr>
              <w:jc w:val="left"/>
              <w:rPr>
                <w:rFonts w:cstheme="minorHAnsi"/>
                <w:sz w:val="18"/>
                <w:szCs w:val="18"/>
              </w:rPr>
            </w:pPr>
          </w:p>
        </w:tc>
      </w:tr>
      <w:tr w:rsidR="00C45730" w:rsidRPr="002926D7" w14:paraId="08156308" w14:textId="77777777" w:rsidTr="00025B2D">
        <w:trPr>
          <w:trHeight w:val="530"/>
        </w:trPr>
        <w:tc>
          <w:tcPr>
            <w:tcW w:w="1525" w:type="dxa"/>
            <w:vMerge/>
            <w:tcBorders>
              <w:left w:val="single" w:sz="4" w:space="0" w:color="auto"/>
              <w:right w:val="single" w:sz="4" w:space="0" w:color="auto"/>
            </w:tcBorders>
            <w:vAlign w:val="center"/>
          </w:tcPr>
          <w:p w14:paraId="3E822781" w14:textId="77777777" w:rsidR="00C45730" w:rsidRPr="002926D7" w:rsidRDefault="00C45730" w:rsidP="002926D7">
            <w:pPr>
              <w:jc w:val="left"/>
              <w:rPr>
                <w:rFonts w:cstheme="minorHAnsi"/>
                <w:b/>
                <w:bCs/>
                <w:sz w:val="18"/>
                <w:szCs w:val="18"/>
              </w:rPr>
            </w:pPr>
          </w:p>
        </w:tc>
        <w:tc>
          <w:tcPr>
            <w:tcW w:w="2668" w:type="dxa"/>
            <w:tcBorders>
              <w:top w:val="single" w:sz="4" w:space="0" w:color="auto"/>
              <w:left w:val="single" w:sz="4" w:space="0" w:color="auto"/>
              <w:bottom w:val="single" w:sz="4" w:space="0" w:color="auto"/>
              <w:right w:val="single" w:sz="4" w:space="0" w:color="auto"/>
            </w:tcBorders>
          </w:tcPr>
          <w:p w14:paraId="22325A9B" w14:textId="29D5B1FA" w:rsidR="00C45730" w:rsidRPr="002926D7" w:rsidRDefault="00C45730" w:rsidP="002926D7">
            <w:pPr>
              <w:jc w:val="left"/>
              <w:rPr>
                <w:rFonts w:cstheme="minorHAnsi"/>
                <w:iCs/>
                <w:sz w:val="18"/>
                <w:szCs w:val="18"/>
              </w:rPr>
            </w:pPr>
            <w:r w:rsidRPr="002926D7">
              <w:rPr>
                <w:rFonts w:cstheme="minorHAnsi"/>
                <w:b/>
                <w:iCs/>
                <w:sz w:val="18"/>
                <w:szCs w:val="18"/>
              </w:rPr>
              <w:t xml:space="preserve">Indicator </w:t>
            </w:r>
            <w:r w:rsidR="0010636B" w:rsidRPr="002926D7">
              <w:rPr>
                <w:rFonts w:cstheme="minorHAnsi"/>
                <w:b/>
                <w:iCs/>
                <w:sz w:val="18"/>
                <w:szCs w:val="18"/>
              </w:rPr>
              <w:t>23</w:t>
            </w:r>
            <w:r w:rsidRPr="002926D7">
              <w:rPr>
                <w:rFonts w:cstheme="minorHAnsi"/>
                <w:bCs/>
                <w:iCs/>
                <w:sz w:val="18"/>
                <w:szCs w:val="18"/>
              </w:rPr>
              <w:t xml:space="preserve">: </w:t>
            </w:r>
            <w:r w:rsidRPr="002926D7">
              <w:rPr>
                <w:rFonts w:cstheme="minorHAnsi"/>
                <w:iCs/>
                <w:sz w:val="18"/>
                <w:szCs w:val="18"/>
              </w:rPr>
              <w:t>Number of knowledge exchange/sharing events with participation of local communities</w:t>
            </w:r>
          </w:p>
        </w:tc>
        <w:tc>
          <w:tcPr>
            <w:tcW w:w="1292" w:type="dxa"/>
            <w:tcBorders>
              <w:top w:val="single" w:sz="4" w:space="0" w:color="auto"/>
              <w:left w:val="single" w:sz="4" w:space="0" w:color="auto"/>
              <w:bottom w:val="single" w:sz="4" w:space="0" w:color="auto"/>
              <w:right w:val="single" w:sz="4" w:space="0" w:color="auto"/>
            </w:tcBorders>
          </w:tcPr>
          <w:p w14:paraId="00CA9E84" w14:textId="77777777" w:rsidR="00C45730" w:rsidRPr="002926D7" w:rsidRDefault="00C45730" w:rsidP="002926D7">
            <w:pPr>
              <w:jc w:val="left"/>
              <w:rPr>
                <w:rFonts w:cstheme="minorHAnsi"/>
                <w:bCs/>
                <w:sz w:val="18"/>
                <w:szCs w:val="18"/>
              </w:rPr>
            </w:pPr>
          </w:p>
        </w:tc>
        <w:tc>
          <w:tcPr>
            <w:tcW w:w="1707" w:type="dxa"/>
            <w:tcBorders>
              <w:top w:val="single" w:sz="4" w:space="0" w:color="auto"/>
              <w:left w:val="single" w:sz="4" w:space="0" w:color="auto"/>
              <w:bottom w:val="single" w:sz="4" w:space="0" w:color="auto"/>
              <w:right w:val="single" w:sz="4" w:space="0" w:color="auto"/>
            </w:tcBorders>
          </w:tcPr>
          <w:p w14:paraId="782FD5E3" w14:textId="77777777" w:rsidR="00C45730" w:rsidRPr="002926D7" w:rsidRDefault="00C45730" w:rsidP="002926D7">
            <w:pPr>
              <w:jc w:val="left"/>
              <w:rPr>
                <w:rFonts w:cstheme="minorHAnsi"/>
                <w:bCs/>
                <w:sz w:val="18"/>
                <w:szCs w:val="18"/>
              </w:rPr>
            </w:pPr>
            <w:r w:rsidRPr="002926D7">
              <w:rPr>
                <w:rFonts w:cstheme="minorHAnsi"/>
                <w:bCs/>
                <w:sz w:val="18"/>
                <w:szCs w:val="18"/>
              </w:rPr>
              <w:t>462 (number of peer-to-peer exchange)</w:t>
            </w:r>
          </w:p>
          <w:p w14:paraId="5E2D5E8C" w14:textId="77777777" w:rsidR="00C45730" w:rsidRPr="002926D7" w:rsidRDefault="00C45730" w:rsidP="002926D7">
            <w:pPr>
              <w:jc w:val="left"/>
              <w:rPr>
                <w:rFonts w:cstheme="minorHAnsi"/>
                <w:bCs/>
                <w:sz w:val="18"/>
                <w:szCs w:val="18"/>
              </w:rPr>
            </w:pPr>
            <w:r w:rsidRPr="002926D7">
              <w:rPr>
                <w:rFonts w:cstheme="minorHAnsi"/>
                <w:bCs/>
                <w:sz w:val="18"/>
                <w:szCs w:val="18"/>
              </w:rPr>
              <w:t>Source: AMR 2023</w:t>
            </w:r>
          </w:p>
        </w:tc>
        <w:tc>
          <w:tcPr>
            <w:tcW w:w="1799" w:type="dxa"/>
            <w:tcBorders>
              <w:top w:val="single" w:sz="4" w:space="0" w:color="auto"/>
              <w:left w:val="single" w:sz="4" w:space="0" w:color="auto"/>
              <w:bottom w:val="single" w:sz="4" w:space="0" w:color="auto"/>
              <w:right w:val="single" w:sz="4" w:space="0" w:color="auto"/>
            </w:tcBorders>
          </w:tcPr>
          <w:p w14:paraId="0D911A9F" w14:textId="77777777" w:rsidR="00C45730" w:rsidRPr="002926D7" w:rsidRDefault="00C45730" w:rsidP="002926D7">
            <w:pPr>
              <w:jc w:val="left"/>
              <w:rPr>
                <w:rFonts w:cstheme="minorHAnsi"/>
                <w:bCs/>
                <w:sz w:val="18"/>
                <w:szCs w:val="18"/>
              </w:rPr>
            </w:pPr>
            <w:r w:rsidRPr="002926D7">
              <w:rPr>
                <w:rFonts w:cstheme="minorHAnsi"/>
                <w:bCs/>
                <w:sz w:val="18"/>
                <w:szCs w:val="18"/>
              </w:rPr>
              <w:t>150</w:t>
            </w:r>
          </w:p>
        </w:tc>
        <w:tc>
          <w:tcPr>
            <w:tcW w:w="1718" w:type="dxa"/>
            <w:tcBorders>
              <w:top w:val="single" w:sz="4" w:space="0" w:color="auto"/>
              <w:left w:val="single" w:sz="4" w:space="0" w:color="auto"/>
              <w:bottom w:val="single" w:sz="4" w:space="0" w:color="auto"/>
              <w:right w:val="single" w:sz="4" w:space="0" w:color="auto"/>
            </w:tcBorders>
          </w:tcPr>
          <w:p w14:paraId="12B6FF9C" w14:textId="77777777" w:rsidR="00C45730" w:rsidRPr="002926D7" w:rsidRDefault="00C45730" w:rsidP="002926D7">
            <w:pPr>
              <w:jc w:val="left"/>
              <w:rPr>
                <w:rFonts w:cstheme="minorHAnsi"/>
                <w:sz w:val="18"/>
                <w:szCs w:val="18"/>
              </w:rPr>
            </w:pPr>
            <w:r w:rsidRPr="002926D7">
              <w:rPr>
                <w:rFonts w:cstheme="minorHAnsi"/>
                <w:sz w:val="18"/>
                <w:szCs w:val="18"/>
              </w:rPr>
              <w:t>350</w:t>
            </w:r>
          </w:p>
        </w:tc>
        <w:tc>
          <w:tcPr>
            <w:tcW w:w="1531" w:type="dxa"/>
            <w:tcBorders>
              <w:top w:val="single" w:sz="4" w:space="0" w:color="auto"/>
              <w:left w:val="single" w:sz="4" w:space="0" w:color="auto"/>
              <w:bottom w:val="single" w:sz="4" w:space="0" w:color="auto"/>
              <w:right w:val="single" w:sz="4" w:space="0" w:color="auto"/>
            </w:tcBorders>
          </w:tcPr>
          <w:p w14:paraId="1178BFD8" w14:textId="77777777" w:rsidR="00C45730" w:rsidRPr="002926D7" w:rsidRDefault="00C45730" w:rsidP="002926D7">
            <w:pPr>
              <w:jc w:val="left"/>
              <w:rPr>
                <w:rFonts w:cs="Calibri"/>
                <w:sz w:val="18"/>
                <w:szCs w:val="18"/>
              </w:rPr>
            </w:pPr>
            <w:r w:rsidRPr="002926D7">
              <w:rPr>
                <w:rFonts w:cs="Calibri"/>
                <w:sz w:val="18"/>
                <w:szCs w:val="18"/>
              </w:rPr>
              <w:t>Grantee monitoring reports; Impact reviews</w:t>
            </w:r>
          </w:p>
        </w:tc>
        <w:tc>
          <w:tcPr>
            <w:tcW w:w="2155" w:type="dxa"/>
            <w:tcBorders>
              <w:left w:val="single" w:sz="4" w:space="0" w:color="auto"/>
              <w:bottom w:val="single" w:sz="4" w:space="0" w:color="auto"/>
              <w:right w:val="single" w:sz="4" w:space="0" w:color="auto"/>
            </w:tcBorders>
          </w:tcPr>
          <w:p w14:paraId="60646F79" w14:textId="77777777" w:rsidR="00C45730" w:rsidRPr="002926D7" w:rsidRDefault="00C45730" w:rsidP="002926D7">
            <w:pPr>
              <w:jc w:val="left"/>
              <w:rPr>
                <w:rFonts w:cstheme="minorHAnsi"/>
                <w:sz w:val="18"/>
                <w:szCs w:val="18"/>
              </w:rPr>
            </w:pPr>
            <w:r w:rsidRPr="002926D7">
              <w:rPr>
                <w:rFonts w:cstheme="minorHAnsi"/>
                <w:sz w:val="18"/>
                <w:szCs w:val="18"/>
              </w:rPr>
              <w:t>Effective communication channels are established to disseminate information.</w:t>
            </w:r>
          </w:p>
        </w:tc>
      </w:tr>
      <w:tr w:rsidR="00C45730" w:rsidRPr="002926D7" w14:paraId="04223859" w14:textId="77777777" w:rsidTr="00025B2D">
        <w:trPr>
          <w:trHeight w:val="530"/>
        </w:trPr>
        <w:tc>
          <w:tcPr>
            <w:tcW w:w="1525" w:type="dxa"/>
            <w:vMerge/>
            <w:tcBorders>
              <w:left w:val="single" w:sz="4" w:space="0" w:color="auto"/>
              <w:bottom w:val="single" w:sz="4" w:space="0" w:color="auto"/>
              <w:right w:val="single" w:sz="4" w:space="0" w:color="auto"/>
            </w:tcBorders>
            <w:vAlign w:val="center"/>
          </w:tcPr>
          <w:p w14:paraId="3784D6DD" w14:textId="77777777" w:rsidR="00C45730" w:rsidRPr="002926D7" w:rsidRDefault="00C45730" w:rsidP="002926D7">
            <w:pPr>
              <w:jc w:val="left"/>
              <w:rPr>
                <w:rFonts w:cstheme="minorHAnsi"/>
                <w:b/>
                <w:bCs/>
                <w:sz w:val="18"/>
                <w:szCs w:val="18"/>
              </w:rPr>
            </w:pPr>
          </w:p>
        </w:tc>
        <w:tc>
          <w:tcPr>
            <w:tcW w:w="2668" w:type="dxa"/>
            <w:tcBorders>
              <w:top w:val="single" w:sz="4" w:space="0" w:color="auto"/>
              <w:left w:val="single" w:sz="4" w:space="0" w:color="auto"/>
              <w:bottom w:val="single" w:sz="4" w:space="0" w:color="auto"/>
              <w:right w:val="single" w:sz="4" w:space="0" w:color="auto"/>
            </w:tcBorders>
          </w:tcPr>
          <w:p w14:paraId="7E33B585" w14:textId="06198FA7" w:rsidR="00C45730" w:rsidRPr="002926D7" w:rsidRDefault="00C45730" w:rsidP="002926D7">
            <w:pPr>
              <w:jc w:val="left"/>
              <w:rPr>
                <w:rFonts w:cstheme="minorHAnsi"/>
                <w:iCs/>
                <w:sz w:val="18"/>
                <w:szCs w:val="18"/>
              </w:rPr>
            </w:pPr>
            <w:r w:rsidRPr="002926D7">
              <w:rPr>
                <w:rFonts w:cstheme="minorHAnsi"/>
                <w:b/>
                <w:iCs/>
                <w:sz w:val="18"/>
                <w:szCs w:val="18"/>
              </w:rPr>
              <w:t xml:space="preserve">Indicator </w:t>
            </w:r>
            <w:r w:rsidR="0010636B" w:rsidRPr="002926D7">
              <w:rPr>
                <w:rFonts w:cstheme="minorHAnsi"/>
                <w:b/>
                <w:iCs/>
                <w:sz w:val="18"/>
                <w:szCs w:val="18"/>
              </w:rPr>
              <w:t>24</w:t>
            </w:r>
            <w:r w:rsidRPr="002926D7">
              <w:rPr>
                <w:rFonts w:cstheme="minorHAnsi"/>
                <w:bCs/>
                <w:iCs/>
                <w:sz w:val="18"/>
                <w:szCs w:val="18"/>
              </w:rPr>
              <w:t xml:space="preserve">: </w:t>
            </w:r>
            <w:r w:rsidRPr="002926D7">
              <w:rPr>
                <w:rFonts w:cstheme="minorHAnsi"/>
                <w:iCs/>
                <w:sz w:val="18"/>
                <w:szCs w:val="18"/>
              </w:rPr>
              <w:t>Number of countries with online knowledge repository developed as a result of SGP project</w:t>
            </w:r>
          </w:p>
        </w:tc>
        <w:tc>
          <w:tcPr>
            <w:tcW w:w="1292" w:type="dxa"/>
            <w:tcBorders>
              <w:top w:val="single" w:sz="4" w:space="0" w:color="auto"/>
              <w:left w:val="single" w:sz="4" w:space="0" w:color="auto"/>
              <w:bottom w:val="single" w:sz="4" w:space="0" w:color="auto"/>
              <w:right w:val="single" w:sz="4" w:space="0" w:color="auto"/>
            </w:tcBorders>
          </w:tcPr>
          <w:p w14:paraId="20C7BC55" w14:textId="77777777" w:rsidR="00C45730" w:rsidRPr="002926D7" w:rsidRDefault="00C45730" w:rsidP="002926D7">
            <w:pPr>
              <w:jc w:val="left"/>
              <w:rPr>
                <w:rFonts w:cstheme="minorHAnsi"/>
                <w:bCs/>
                <w:sz w:val="18"/>
                <w:szCs w:val="18"/>
              </w:rPr>
            </w:pPr>
          </w:p>
        </w:tc>
        <w:tc>
          <w:tcPr>
            <w:tcW w:w="1707" w:type="dxa"/>
            <w:tcBorders>
              <w:top w:val="single" w:sz="4" w:space="0" w:color="auto"/>
              <w:left w:val="single" w:sz="4" w:space="0" w:color="auto"/>
              <w:bottom w:val="single" w:sz="4" w:space="0" w:color="auto"/>
              <w:right w:val="single" w:sz="4" w:space="0" w:color="auto"/>
            </w:tcBorders>
          </w:tcPr>
          <w:p w14:paraId="2990DD06" w14:textId="77777777" w:rsidR="00C45730" w:rsidRPr="002926D7" w:rsidRDefault="00C45730" w:rsidP="002926D7">
            <w:pPr>
              <w:jc w:val="left"/>
              <w:rPr>
                <w:rFonts w:cstheme="minorHAnsi"/>
                <w:bCs/>
                <w:sz w:val="18"/>
                <w:szCs w:val="18"/>
              </w:rPr>
            </w:pPr>
          </w:p>
        </w:tc>
        <w:tc>
          <w:tcPr>
            <w:tcW w:w="1799" w:type="dxa"/>
            <w:tcBorders>
              <w:top w:val="single" w:sz="4" w:space="0" w:color="auto"/>
              <w:left w:val="single" w:sz="4" w:space="0" w:color="auto"/>
              <w:bottom w:val="single" w:sz="4" w:space="0" w:color="auto"/>
              <w:right w:val="single" w:sz="4" w:space="0" w:color="auto"/>
            </w:tcBorders>
          </w:tcPr>
          <w:p w14:paraId="357C0858" w14:textId="77777777" w:rsidR="00C45730" w:rsidRPr="002926D7" w:rsidRDefault="00C45730" w:rsidP="002926D7">
            <w:pPr>
              <w:jc w:val="left"/>
              <w:rPr>
                <w:rFonts w:cstheme="minorHAnsi"/>
                <w:bCs/>
                <w:sz w:val="18"/>
                <w:szCs w:val="18"/>
              </w:rPr>
            </w:pPr>
            <w:r w:rsidRPr="002926D7">
              <w:rPr>
                <w:rFonts w:cstheme="minorHAnsi"/>
                <w:bCs/>
                <w:sz w:val="18"/>
                <w:szCs w:val="18"/>
              </w:rPr>
              <w:t>10</w:t>
            </w:r>
          </w:p>
        </w:tc>
        <w:tc>
          <w:tcPr>
            <w:tcW w:w="1718" w:type="dxa"/>
            <w:tcBorders>
              <w:top w:val="single" w:sz="4" w:space="0" w:color="auto"/>
              <w:left w:val="single" w:sz="4" w:space="0" w:color="auto"/>
              <w:bottom w:val="single" w:sz="4" w:space="0" w:color="auto"/>
              <w:right w:val="single" w:sz="4" w:space="0" w:color="auto"/>
            </w:tcBorders>
          </w:tcPr>
          <w:p w14:paraId="7258F7A6" w14:textId="77777777" w:rsidR="00C45730" w:rsidRPr="002926D7" w:rsidRDefault="00C45730" w:rsidP="002926D7">
            <w:pPr>
              <w:jc w:val="left"/>
              <w:rPr>
                <w:rFonts w:cstheme="minorHAnsi"/>
                <w:sz w:val="18"/>
                <w:szCs w:val="18"/>
              </w:rPr>
            </w:pPr>
            <w:r w:rsidRPr="002926D7">
              <w:rPr>
                <w:rFonts w:cstheme="minorHAnsi"/>
                <w:sz w:val="18"/>
                <w:szCs w:val="18"/>
              </w:rPr>
              <w:t>20</w:t>
            </w:r>
          </w:p>
        </w:tc>
        <w:tc>
          <w:tcPr>
            <w:tcW w:w="1531" w:type="dxa"/>
            <w:tcBorders>
              <w:top w:val="single" w:sz="4" w:space="0" w:color="auto"/>
              <w:left w:val="single" w:sz="4" w:space="0" w:color="auto"/>
              <w:bottom w:val="single" w:sz="4" w:space="0" w:color="auto"/>
              <w:right w:val="single" w:sz="4" w:space="0" w:color="auto"/>
            </w:tcBorders>
          </w:tcPr>
          <w:p w14:paraId="5A2199C8" w14:textId="77777777" w:rsidR="00C45730" w:rsidRPr="002926D7" w:rsidRDefault="00C45730" w:rsidP="002926D7">
            <w:pPr>
              <w:jc w:val="left"/>
              <w:rPr>
                <w:rFonts w:cs="Calibri"/>
                <w:sz w:val="18"/>
                <w:szCs w:val="18"/>
              </w:rPr>
            </w:pPr>
            <w:r w:rsidRPr="002926D7">
              <w:rPr>
                <w:rFonts w:cs="Calibri"/>
                <w:sz w:val="18"/>
                <w:szCs w:val="18"/>
              </w:rPr>
              <w:t>Grantee monitoring reports; Impact reviews</w:t>
            </w:r>
          </w:p>
        </w:tc>
        <w:tc>
          <w:tcPr>
            <w:tcW w:w="2155" w:type="dxa"/>
            <w:tcBorders>
              <w:left w:val="single" w:sz="4" w:space="0" w:color="auto"/>
              <w:bottom w:val="single" w:sz="4" w:space="0" w:color="auto"/>
              <w:right w:val="single" w:sz="4" w:space="0" w:color="auto"/>
            </w:tcBorders>
          </w:tcPr>
          <w:p w14:paraId="11B11C76" w14:textId="717EDDFD" w:rsidR="00C45730" w:rsidRPr="002926D7" w:rsidRDefault="00C45730" w:rsidP="002926D7">
            <w:pPr>
              <w:pStyle w:val="Default"/>
              <w:rPr>
                <w:rFonts w:asciiTheme="minorHAnsi" w:hAnsiTheme="minorHAnsi" w:cstheme="minorHAnsi"/>
                <w:sz w:val="18"/>
                <w:szCs w:val="18"/>
              </w:rPr>
            </w:pPr>
            <w:r w:rsidRPr="002926D7">
              <w:rPr>
                <w:rFonts w:asciiTheme="minorHAnsi" w:hAnsiTheme="minorHAnsi" w:cstheme="minorHAnsi"/>
                <w:sz w:val="18"/>
                <w:szCs w:val="18"/>
              </w:rPr>
              <w:t xml:space="preserve">Stable access to internet. </w:t>
            </w:r>
          </w:p>
          <w:p w14:paraId="529DA07A" w14:textId="77777777" w:rsidR="00C45730" w:rsidRPr="002926D7" w:rsidRDefault="00C45730" w:rsidP="002926D7">
            <w:pPr>
              <w:jc w:val="left"/>
              <w:rPr>
                <w:rFonts w:cstheme="minorHAnsi"/>
                <w:sz w:val="18"/>
                <w:szCs w:val="18"/>
              </w:rPr>
            </w:pPr>
            <w:r w:rsidRPr="002926D7">
              <w:rPr>
                <w:rFonts w:cstheme="minorHAnsi"/>
                <w:sz w:val="18"/>
                <w:szCs w:val="18"/>
              </w:rPr>
              <w:t>Communities have access to adequate training and ongoing support to effectively use digital tools for documentation</w:t>
            </w:r>
          </w:p>
        </w:tc>
      </w:tr>
      <w:tr w:rsidR="00C45730" w:rsidRPr="002926D7" w14:paraId="2E331438" w14:textId="77777777" w:rsidTr="00025B2D">
        <w:trPr>
          <w:trHeight w:val="350"/>
        </w:trPr>
        <w:tc>
          <w:tcPr>
            <w:tcW w:w="1525" w:type="dxa"/>
            <w:tcBorders>
              <w:top w:val="single" w:sz="4" w:space="0" w:color="auto"/>
              <w:left w:val="single" w:sz="4" w:space="0" w:color="auto"/>
              <w:bottom w:val="single" w:sz="4" w:space="0" w:color="auto"/>
              <w:right w:val="single" w:sz="4" w:space="0" w:color="auto"/>
            </w:tcBorders>
            <w:hideMark/>
          </w:tcPr>
          <w:p w14:paraId="2FD86182" w14:textId="77777777" w:rsidR="00C45730" w:rsidRPr="002926D7" w:rsidRDefault="00C45730" w:rsidP="002926D7">
            <w:pPr>
              <w:jc w:val="left"/>
              <w:rPr>
                <w:rFonts w:cstheme="minorHAnsi"/>
                <w:b/>
                <w:bCs/>
                <w:sz w:val="18"/>
                <w:szCs w:val="18"/>
              </w:rPr>
            </w:pPr>
            <w:r w:rsidRPr="002926D7">
              <w:rPr>
                <w:rFonts w:cstheme="minorHAnsi"/>
                <w:b/>
                <w:bCs/>
                <w:sz w:val="18"/>
                <w:szCs w:val="18"/>
              </w:rPr>
              <w:t>Outputs to achieve Outcome 3.1</w:t>
            </w:r>
          </w:p>
        </w:tc>
        <w:tc>
          <w:tcPr>
            <w:tcW w:w="12870" w:type="dxa"/>
            <w:gridSpan w:val="7"/>
            <w:tcBorders>
              <w:top w:val="single" w:sz="4" w:space="0" w:color="auto"/>
              <w:left w:val="single" w:sz="4" w:space="0" w:color="auto"/>
              <w:bottom w:val="single" w:sz="4" w:space="0" w:color="auto"/>
              <w:right w:val="single" w:sz="4" w:space="0" w:color="auto"/>
            </w:tcBorders>
            <w:hideMark/>
          </w:tcPr>
          <w:p w14:paraId="1B219464" w14:textId="77777777" w:rsidR="00C45730" w:rsidRPr="002926D7" w:rsidRDefault="00C45730" w:rsidP="002926D7">
            <w:pPr>
              <w:jc w:val="left"/>
              <w:rPr>
                <w:rFonts w:cstheme="minorHAnsi"/>
                <w:iCs/>
                <w:sz w:val="18"/>
                <w:szCs w:val="18"/>
              </w:rPr>
            </w:pPr>
            <w:r w:rsidRPr="002926D7">
              <w:rPr>
                <w:rFonts w:cstheme="minorHAnsi"/>
                <w:bCs/>
                <w:iCs/>
                <w:sz w:val="18"/>
                <w:szCs w:val="18"/>
              </w:rPr>
              <w:t xml:space="preserve">Output </w:t>
            </w:r>
            <w:r w:rsidRPr="002926D7">
              <w:rPr>
                <w:rFonts w:eastAsia="Arial" w:cstheme="minorHAnsi"/>
                <w:iCs/>
                <w:sz w:val="18"/>
                <w:szCs w:val="18"/>
              </w:rPr>
              <w:t xml:space="preserve">3.1.1. </w:t>
            </w:r>
            <w:r w:rsidRPr="002926D7">
              <w:rPr>
                <w:rFonts w:eastAsia="Arial" w:cstheme="minorHAnsi"/>
                <w:iCs/>
                <w:noProof/>
                <w:sz w:val="18"/>
                <w:szCs w:val="18"/>
              </w:rPr>
              <w:t>Local</w:t>
            </w:r>
            <w:r w:rsidRPr="002926D7">
              <w:rPr>
                <w:rFonts w:eastAsia="Arial" w:cstheme="minorHAnsi"/>
                <w:iCs/>
                <w:sz w:val="18"/>
                <w:szCs w:val="18"/>
              </w:rPr>
              <w:t xml:space="preserve"> knowledge and lessons learned shared widely and systematically integrated into design of new projects with active participation of CSOs/CBOs and local communities.</w:t>
            </w:r>
          </w:p>
          <w:p w14:paraId="724683D6" w14:textId="77777777" w:rsidR="00C45730" w:rsidRPr="002926D7" w:rsidRDefault="00C45730" w:rsidP="002926D7">
            <w:pPr>
              <w:jc w:val="left"/>
              <w:rPr>
                <w:rFonts w:eastAsia="Arial" w:cstheme="minorHAnsi"/>
                <w:iCs/>
                <w:sz w:val="18"/>
                <w:szCs w:val="18"/>
              </w:rPr>
            </w:pPr>
            <w:r w:rsidRPr="002926D7">
              <w:rPr>
                <w:rFonts w:eastAsia="Arial" w:cstheme="minorHAnsi"/>
                <w:iCs/>
                <w:sz w:val="18"/>
                <w:szCs w:val="18"/>
              </w:rPr>
              <w:t>Output 3.1.2. Knowledge transfer and replication of appropriate technologies, tools, and approaches on global environmental issues, including through South-South exchanges across countries.</w:t>
            </w:r>
          </w:p>
          <w:p w14:paraId="163C9BD6" w14:textId="77777777" w:rsidR="00C45730" w:rsidRPr="002926D7" w:rsidRDefault="00C45730" w:rsidP="002926D7">
            <w:pPr>
              <w:pStyle w:val="Table"/>
              <w:ind w:left="0" w:right="180"/>
              <w:rPr>
                <w:rFonts w:asciiTheme="minorHAnsi" w:eastAsia="Calibri" w:hAnsiTheme="minorHAnsi" w:cstheme="minorHAnsi"/>
                <w:iCs/>
                <w:noProof/>
                <w:color w:val="000000" w:themeColor="text1"/>
                <w:sz w:val="18"/>
                <w:szCs w:val="18"/>
              </w:rPr>
            </w:pPr>
            <w:r w:rsidRPr="002926D7">
              <w:rPr>
                <w:rFonts w:asciiTheme="minorHAnsi" w:eastAsia="Arial" w:hAnsiTheme="minorHAnsi" w:cstheme="minorHAnsi"/>
                <w:iCs/>
                <w:sz w:val="18"/>
                <w:szCs w:val="18"/>
              </w:rPr>
              <w:lastRenderedPageBreak/>
              <w:t xml:space="preserve">Output 3.1.3 </w:t>
            </w:r>
            <w:r w:rsidRPr="002926D7">
              <w:rPr>
                <w:rFonts w:asciiTheme="minorHAnsi" w:eastAsia="Calibri" w:hAnsiTheme="minorHAnsi" w:cstheme="minorHAnsi"/>
                <w:iCs/>
                <w:color w:val="000000" w:themeColor="text1"/>
                <w:sz w:val="18"/>
                <w:szCs w:val="18"/>
              </w:rPr>
              <w:t xml:space="preserve">Local organizations </w:t>
            </w:r>
            <w:r w:rsidRPr="002926D7">
              <w:rPr>
                <w:rFonts w:asciiTheme="minorHAnsi" w:eastAsia="Calibri" w:hAnsiTheme="minorHAnsi" w:cstheme="minorHAnsi"/>
                <w:iCs/>
                <w:noProof/>
                <w:color w:val="000000" w:themeColor="text1"/>
                <w:sz w:val="18"/>
                <w:szCs w:val="18"/>
              </w:rPr>
              <w:t>mobilized</w:t>
            </w:r>
            <w:r w:rsidRPr="002926D7">
              <w:rPr>
                <w:rFonts w:asciiTheme="minorHAnsi" w:eastAsia="Calibri" w:hAnsiTheme="minorHAnsi" w:cstheme="minorHAnsi"/>
                <w:iCs/>
                <w:color w:val="000000" w:themeColor="text1"/>
                <w:sz w:val="18"/>
                <w:szCs w:val="18"/>
              </w:rPr>
              <w:t xml:space="preserve"> and </w:t>
            </w:r>
            <w:r w:rsidRPr="002926D7">
              <w:rPr>
                <w:rFonts w:asciiTheme="minorHAnsi" w:eastAsia="Calibri" w:hAnsiTheme="minorHAnsi" w:cstheme="minorHAnsi"/>
                <w:iCs/>
                <w:noProof/>
                <w:color w:val="000000" w:themeColor="text1"/>
                <w:sz w:val="18"/>
                <w:szCs w:val="18"/>
              </w:rPr>
              <w:t>strengthened through</w:t>
            </w:r>
            <w:r w:rsidRPr="002926D7">
              <w:rPr>
                <w:rFonts w:asciiTheme="minorHAnsi" w:eastAsia="Calibri" w:hAnsiTheme="minorHAnsi" w:cstheme="minorHAnsi"/>
                <w:iCs/>
                <w:color w:val="000000" w:themeColor="text1"/>
                <w:sz w:val="18"/>
                <w:szCs w:val="18"/>
              </w:rPr>
              <w:t xml:space="preserve"> learning by doing and knowledge</w:t>
            </w:r>
            <w:r w:rsidRPr="002926D7">
              <w:rPr>
                <w:rFonts w:asciiTheme="minorHAnsi" w:eastAsia="Calibri" w:hAnsiTheme="minorHAnsi" w:cstheme="minorHAnsi"/>
                <w:iCs/>
                <w:noProof/>
                <w:color w:val="000000" w:themeColor="text1"/>
                <w:sz w:val="18"/>
                <w:szCs w:val="18"/>
              </w:rPr>
              <w:t>-exchanges supporting local, sub-national</w:t>
            </w:r>
            <w:r w:rsidRPr="002926D7">
              <w:rPr>
                <w:rFonts w:asciiTheme="minorHAnsi" w:eastAsia="Calibri" w:hAnsiTheme="minorHAnsi" w:cstheme="minorHAnsi"/>
                <w:iCs/>
                <w:color w:val="000000" w:themeColor="text1"/>
                <w:sz w:val="18"/>
                <w:szCs w:val="18"/>
              </w:rPr>
              <w:t xml:space="preserve"> and </w:t>
            </w:r>
            <w:r w:rsidRPr="002926D7">
              <w:rPr>
                <w:rFonts w:asciiTheme="minorHAnsi" w:eastAsia="Calibri" w:hAnsiTheme="minorHAnsi" w:cstheme="minorHAnsi"/>
                <w:iCs/>
                <w:noProof/>
                <w:color w:val="000000" w:themeColor="text1"/>
                <w:sz w:val="18"/>
                <w:szCs w:val="18"/>
              </w:rPr>
              <w:t>national</w:t>
            </w:r>
            <w:r w:rsidRPr="002926D7">
              <w:rPr>
                <w:rFonts w:asciiTheme="minorHAnsi" w:eastAsia="Calibri" w:hAnsiTheme="minorHAnsi" w:cstheme="minorHAnsi"/>
                <w:iCs/>
                <w:color w:val="000000" w:themeColor="text1"/>
                <w:sz w:val="18"/>
                <w:szCs w:val="18"/>
              </w:rPr>
              <w:t xml:space="preserve"> peer-to</w:t>
            </w:r>
            <w:r w:rsidRPr="002926D7">
              <w:rPr>
                <w:rFonts w:asciiTheme="minorHAnsi" w:eastAsia="Calibri" w:hAnsiTheme="minorHAnsi" w:cstheme="minorHAnsi"/>
                <w:iCs/>
                <w:noProof/>
                <w:color w:val="000000" w:themeColor="text1"/>
                <w:sz w:val="18"/>
                <w:szCs w:val="18"/>
              </w:rPr>
              <w:t xml:space="preserve"> </w:t>
            </w:r>
            <w:r w:rsidRPr="002926D7">
              <w:rPr>
                <w:rFonts w:asciiTheme="minorHAnsi" w:eastAsia="Calibri" w:hAnsiTheme="minorHAnsi" w:cstheme="minorHAnsi"/>
                <w:iCs/>
                <w:color w:val="000000" w:themeColor="text1"/>
                <w:sz w:val="18"/>
                <w:szCs w:val="18"/>
              </w:rPr>
              <w:t xml:space="preserve">peer </w:t>
            </w:r>
            <w:r w:rsidRPr="002926D7">
              <w:rPr>
                <w:rFonts w:asciiTheme="minorHAnsi" w:eastAsia="Calibri" w:hAnsiTheme="minorHAnsi" w:cstheme="minorHAnsi"/>
                <w:iCs/>
                <w:noProof/>
                <w:color w:val="000000" w:themeColor="text1"/>
                <w:sz w:val="18"/>
                <w:szCs w:val="18"/>
              </w:rPr>
              <w:t xml:space="preserve">dialogue and stakeholder capacity development.  </w:t>
            </w:r>
          </w:p>
        </w:tc>
      </w:tr>
      <w:tr w:rsidR="00C45730" w:rsidRPr="002926D7" w14:paraId="6F2060C4" w14:textId="77777777" w:rsidTr="00025B2D">
        <w:trPr>
          <w:trHeight w:val="620"/>
        </w:trPr>
        <w:tc>
          <w:tcPr>
            <w:tcW w:w="1525" w:type="dxa"/>
            <w:tcBorders>
              <w:top w:val="single" w:sz="4" w:space="0" w:color="auto"/>
              <w:left w:val="single" w:sz="4" w:space="0" w:color="auto"/>
              <w:bottom w:val="single" w:sz="4" w:space="0" w:color="auto"/>
              <w:right w:val="single" w:sz="4" w:space="0" w:color="auto"/>
            </w:tcBorders>
            <w:shd w:val="clear" w:color="auto" w:fill="E7E6E6"/>
            <w:hideMark/>
          </w:tcPr>
          <w:p w14:paraId="789B7A03" w14:textId="77777777" w:rsidR="00C45730" w:rsidRPr="002926D7" w:rsidRDefault="00C45730" w:rsidP="002926D7">
            <w:pPr>
              <w:jc w:val="left"/>
              <w:rPr>
                <w:rFonts w:cstheme="minorHAnsi"/>
                <w:b/>
                <w:bCs/>
                <w:sz w:val="18"/>
                <w:szCs w:val="18"/>
              </w:rPr>
            </w:pPr>
            <w:r w:rsidRPr="002926D7">
              <w:rPr>
                <w:rFonts w:cstheme="minorHAnsi"/>
                <w:b/>
                <w:bCs/>
                <w:sz w:val="18"/>
                <w:szCs w:val="18"/>
              </w:rPr>
              <w:lastRenderedPageBreak/>
              <w:t xml:space="preserve">Project component </w:t>
            </w:r>
          </w:p>
        </w:tc>
        <w:tc>
          <w:tcPr>
            <w:tcW w:w="12870" w:type="dxa"/>
            <w:gridSpan w:val="7"/>
            <w:tcBorders>
              <w:top w:val="single" w:sz="4" w:space="0" w:color="auto"/>
              <w:left w:val="single" w:sz="4" w:space="0" w:color="auto"/>
              <w:bottom w:val="single" w:sz="4" w:space="0" w:color="auto"/>
              <w:right w:val="single" w:sz="4" w:space="0" w:color="auto"/>
            </w:tcBorders>
            <w:shd w:val="clear" w:color="auto" w:fill="E7E6E6"/>
            <w:hideMark/>
          </w:tcPr>
          <w:p w14:paraId="7FA4C4D7" w14:textId="77777777" w:rsidR="00C45730" w:rsidRPr="002926D7" w:rsidRDefault="00C45730" w:rsidP="002926D7">
            <w:pPr>
              <w:jc w:val="left"/>
              <w:rPr>
                <w:rFonts w:cstheme="minorHAnsi"/>
                <w:b/>
                <w:bCs/>
                <w:sz w:val="18"/>
                <w:szCs w:val="18"/>
              </w:rPr>
            </w:pPr>
            <w:r w:rsidRPr="002926D7">
              <w:rPr>
                <w:rFonts w:cstheme="minorHAnsi"/>
                <w:b/>
                <w:bCs/>
                <w:sz w:val="18"/>
                <w:szCs w:val="18"/>
              </w:rPr>
              <w:t xml:space="preserve">Monitoring &amp; Evaluation </w:t>
            </w:r>
          </w:p>
        </w:tc>
      </w:tr>
      <w:tr w:rsidR="00C45730" w:rsidRPr="002926D7" w14:paraId="37EFA835" w14:textId="77777777" w:rsidTr="00025B2D">
        <w:trPr>
          <w:trHeight w:val="1520"/>
        </w:trPr>
        <w:tc>
          <w:tcPr>
            <w:tcW w:w="1525" w:type="dxa"/>
            <w:vMerge w:val="restart"/>
            <w:tcBorders>
              <w:top w:val="single" w:sz="4" w:space="0" w:color="auto"/>
              <w:left w:val="single" w:sz="4" w:space="0" w:color="auto"/>
              <w:bottom w:val="single" w:sz="4" w:space="0" w:color="auto"/>
              <w:right w:val="single" w:sz="4" w:space="0" w:color="auto"/>
            </w:tcBorders>
            <w:hideMark/>
          </w:tcPr>
          <w:p w14:paraId="482D385D" w14:textId="77777777" w:rsidR="00C45730" w:rsidRPr="002926D7" w:rsidRDefault="00C45730" w:rsidP="002926D7">
            <w:pPr>
              <w:jc w:val="left"/>
              <w:rPr>
                <w:rFonts w:cstheme="minorHAnsi"/>
                <w:b/>
                <w:bCs/>
                <w:sz w:val="18"/>
                <w:szCs w:val="18"/>
              </w:rPr>
            </w:pPr>
            <w:r w:rsidRPr="002926D7">
              <w:rPr>
                <w:rFonts w:cstheme="minorHAnsi"/>
                <w:b/>
                <w:bCs/>
                <w:sz w:val="18"/>
                <w:szCs w:val="18"/>
              </w:rPr>
              <w:t xml:space="preserve">Outcome 4.1. </w:t>
            </w:r>
            <w:r w:rsidRPr="002926D7">
              <w:rPr>
                <w:rFonts w:eastAsia="Calibri" w:cstheme="minorHAnsi"/>
                <w:noProof/>
                <w:color w:val="000000" w:themeColor="text1"/>
                <w:sz w:val="18"/>
                <w:szCs w:val="18"/>
              </w:rPr>
              <w:t xml:space="preserve">Scale, durability and impact of locally-led community action strengthend </w:t>
            </w:r>
            <w:r w:rsidRPr="002926D7">
              <w:rPr>
                <w:rFonts w:eastAsia="Calibri" w:cstheme="minorHAnsi"/>
                <w:color w:val="000000" w:themeColor="text1"/>
                <w:sz w:val="18"/>
                <w:szCs w:val="18"/>
              </w:rPr>
              <w:t>through monitoring</w:t>
            </w:r>
            <w:r w:rsidRPr="002926D7">
              <w:rPr>
                <w:rFonts w:eastAsia="Calibri" w:cstheme="minorHAnsi"/>
                <w:noProof/>
                <w:color w:val="000000" w:themeColor="text1"/>
                <w:sz w:val="18"/>
                <w:szCs w:val="18"/>
              </w:rPr>
              <w:t>,</w:t>
            </w:r>
            <w:r w:rsidRPr="002926D7">
              <w:rPr>
                <w:rFonts w:eastAsia="Calibri" w:cstheme="minorHAnsi"/>
                <w:color w:val="000000" w:themeColor="text1"/>
                <w:sz w:val="18"/>
                <w:szCs w:val="18"/>
              </w:rPr>
              <w:t xml:space="preserve"> evaluation</w:t>
            </w:r>
            <w:r w:rsidRPr="002926D7">
              <w:rPr>
                <w:rFonts w:eastAsia="Calibri" w:cstheme="minorHAnsi"/>
                <w:noProof/>
                <w:color w:val="000000" w:themeColor="text1"/>
                <w:sz w:val="18"/>
                <w:szCs w:val="18"/>
              </w:rPr>
              <w:t xml:space="preserve"> and evidence-based learning.</w:t>
            </w:r>
          </w:p>
        </w:tc>
        <w:tc>
          <w:tcPr>
            <w:tcW w:w="2668" w:type="dxa"/>
            <w:tcBorders>
              <w:top w:val="single" w:sz="4" w:space="0" w:color="auto"/>
              <w:left w:val="single" w:sz="4" w:space="0" w:color="auto"/>
              <w:bottom w:val="single" w:sz="4" w:space="0" w:color="auto"/>
              <w:right w:val="single" w:sz="4" w:space="0" w:color="auto"/>
            </w:tcBorders>
          </w:tcPr>
          <w:p w14:paraId="09D816B0" w14:textId="1DA8A641" w:rsidR="00C45730" w:rsidRPr="002926D7" w:rsidRDefault="00C45730" w:rsidP="002926D7">
            <w:pPr>
              <w:jc w:val="left"/>
              <w:rPr>
                <w:rFonts w:cstheme="minorHAnsi"/>
                <w:bCs/>
                <w:sz w:val="18"/>
                <w:szCs w:val="18"/>
              </w:rPr>
            </w:pPr>
            <w:r w:rsidRPr="002926D7">
              <w:rPr>
                <w:rFonts w:cstheme="minorHAnsi"/>
                <w:b/>
                <w:iCs/>
                <w:sz w:val="18"/>
                <w:szCs w:val="18"/>
              </w:rPr>
              <w:t xml:space="preserve">Indicator </w:t>
            </w:r>
            <w:r w:rsidR="0010636B" w:rsidRPr="002926D7">
              <w:rPr>
                <w:rFonts w:cstheme="minorHAnsi"/>
                <w:b/>
                <w:iCs/>
                <w:sz w:val="18"/>
                <w:szCs w:val="18"/>
              </w:rPr>
              <w:t>25</w:t>
            </w:r>
            <w:r w:rsidRPr="002926D7">
              <w:rPr>
                <w:rFonts w:cstheme="minorHAnsi"/>
                <w:bCs/>
                <w:iCs/>
                <w:sz w:val="18"/>
                <w:szCs w:val="18"/>
              </w:rPr>
              <w:t xml:space="preserve">: </w:t>
            </w:r>
            <w:r w:rsidRPr="002926D7">
              <w:rPr>
                <w:rFonts w:cstheme="minorHAnsi"/>
                <w:iCs/>
                <w:sz w:val="18"/>
                <w:szCs w:val="18"/>
              </w:rPr>
              <w:t>Number of projects with meetings involving local CSOs/CBOs or communities to monitor project results, assess impacts, and identify lessons learned</w:t>
            </w:r>
          </w:p>
        </w:tc>
        <w:tc>
          <w:tcPr>
            <w:tcW w:w="1292" w:type="dxa"/>
            <w:tcBorders>
              <w:top w:val="single" w:sz="4" w:space="0" w:color="auto"/>
              <w:left w:val="single" w:sz="4" w:space="0" w:color="auto"/>
              <w:bottom w:val="single" w:sz="4" w:space="0" w:color="auto"/>
              <w:right w:val="single" w:sz="4" w:space="0" w:color="auto"/>
            </w:tcBorders>
          </w:tcPr>
          <w:p w14:paraId="41EB1BAE" w14:textId="77777777" w:rsidR="00C45730" w:rsidRPr="002926D7" w:rsidRDefault="00C45730" w:rsidP="002926D7">
            <w:pPr>
              <w:jc w:val="left"/>
              <w:rPr>
                <w:rFonts w:cstheme="minorHAnsi"/>
                <w:bCs/>
                <w:sz w:val="18"/>
                <w:szCs w:val="18"/>
              </w:rPr>
            </w:pPr>
            <w:r w:rsidRPr="002926D7">
              <w:rPr>
                <w:rFonts w:cstheme="minorHAnsi"/>
                <w:bCs/>
                <w:sz w:val="18"/>
                <w:szCs w:val="18"/>
              </w:rPr>
              <w:t>Grantee Monitoring Report</w:t>
            </w:r>
          </w:p>
          <w:p w14:paraId="7391AF76" w14:textId="77777777" w:rsidR="00C45730" w:rsidRPr="002926D7" w:rsidRDefault="00C45730" w:rsidP="002926D7">
            <w:pPr>
              <w:jc w:val="left"/>
              <w:rPr>
                <w:rFonts w:cstheme="minorHAnsi"/>
                <w:bCs/>
                <w:sz w:val="18"/>
                <w:szCs w:val="18"/>
              </w:rPr>
            </w:pPr>
            <w:r w:rsidRPr="002926D7">
              <w:rPr>
                <w:rFonts w:cstheme="minorHAnsi"/>
                <w:bCs/>
                <w:sz w:val="18"/>
                <w:szCs w:val="18"/>
              </w:rPr>
              <w:t>Impact reviews</w:t>
            </w:r>
          </w:p>
        </w:tc>
        <w:tc>
          <w:tcPr>
            <w:tcW w:w="1707" w:type="dxa"/>
            <w:tcBorders>
              <w:top w:val="single" w:sz="4" w:space="0" w:color="auto"/>
              <w:left w:val="single" w:sz="4" w:space="0" w:color="auto"/>
              <w:bottom w:val="single" w:sz="4" w:space="0" w:color="auto"/>
              <w:right w:val="single" w:sz="4" w:space="0" w:color="auto"/>
            </w:tcBorders>
          </w:tcPr>
          <w:p w14:paraId="3705261F" w14:textId="77777777" w:rsidR="00C45730" w:rsidRPr="002926D7" w:rsidRDefault="00C45730" w:rsidP="002926D7">
            <w:pPr>
              <w:jc w:val="left"/>
              <w:rPr>
                <w:rFonts w:cstheme="minorHAnsi"/>
                <w:bCs/>
                <w:sz w:val="18"/>
                <w:szCs w:val="18"/>
              </w:rPr>
            </w:pPr>
          </w:p>
        </w:tc>
        <w:tc>
          <w:tcPr>
            <w:tcW w:w="1799" w:type="dxa"/>
            <w:tcBorders>
              <w:top w:val="single" w:sz="4" w:space="0" w:color="auto"/>
              <w:left w:val="single" w:sz="4" w:space="0" w:color="auto"/>
              <w:bottom w:val="single" w:sz="4" w:space="0" w:color="auto"/>
              <w:right w:val="single" w:sz="4" w:space="0" w:color="auto"/>
            </w:tcBorders>
          </w:tcPr>
          <w:p w14:paraId="5B944E99" w14:textId="77777777" w:rsidR="00C45730" w:rsidRPr="002926D7" w:rsidRDefault="00C45730" w:rsidP="002926D7">
            <w:pPr>
              <w:jc w:val="left"/>
              <w:rPr>
                <w:rFonts w:cstheme="minorHAnsi"/>
                <w:bCs/>
                <w:sz w:val="18"/>
                <w:szCs w:val="18"/>
              </w:rPr>
            </w:pPr>
            <w:r w:rsidRPr="002926D7">
              <w:rPr>
                <w:rFonts w:cstheme="minorHAnsi"/>
                <w:sz w:val="18"/>
                <w:szCs w:val="18"/>
              </w:rPr>
              <w:t>50% of projects</w:t>
            </w:r>
          </w:p>
        </w:tc>
        <w:tc>
          <w:tcPr>
            <w:tcW w:w="1718" w:type="dxa"/>
            <w:tcBorders>
              <w:top w:val="single" w:sz="4" w:space="0" w:color="auto"/>
              <w:left w:val="single" w:sz="4" w:space="0" w:color="auto"/>
              <w:bottom w:val="single" w:sz="4" w:space="0" w:color="auto"/>
              <w:right w:val="single" w:sz="4" w:space="0" w:color="auto"/>
            </w:tcBorders>
          </w:tcPr>
          <w:p w14:paraId="63982D87" w14:textId="77777777" w:rsidR="00C45730" w:rsidRPr="002926D7" w:rsidRDefault="00C45730" w:rsidP="002926D7">
            <w:pPr>
              <w:jc w:val="left"/>
              <w:rPr>
                <w:rFonts w:cstheme="minorHAnsi"/>
                <w:sz w:val="18"/>
                <w:szCs w:val="18"/>
              </w:rPr>
            </w:pPr>
            <w:r w:rsidRPr="002926D7">
              <w:rPr>
                <w:rFonts w:cstheme="minorHAnsi"/>
                <w:sz w:val="18"/>
                <w:szCs w:val="18"/>
              </w:rPr>
              <w:t>80% of projects</w:t>
            </w:r>
          </w:p>
        </w:tc>
        <w:tc>
          <w:tcPr>
            <w:tcW w:w="1531" w:type="dxa"/>
            <w:tcBorders>
              <w:top w:val="single" w:sz="4" w:space="0" w:color="auto"/>
              <w:left w:val="single" w:sz="4" w:space="0" w:color="auto"/>
              <w:bottom w:val="single" w:sz="4" w:space="0" w:color="auto"/>
              <w:right w:val="single" w:sz="4" w:space="0" w:color="auto"/>
            </w:tcBorders>
          </w:tcPr>
          <w:p w14:paraId="60178E19" w14:textId="77777777" w:rsidR="00C45730" w:rsidRPr="002926D7" w:rsidRDefault="00C45730" w:rsidP="002926D7">
            <w:pPr>
              <w:jc w:val="left"/>
              <w:rPr>
                <w:rFonts w:cstheme="minorHAnsi"/>
                <w:sz w:val="18"/>
                <w:szCs w:val="18"/>
              </w:rPr>
            </w:pPr>
            <w:r w:rsidRPr="002926D7">
              <w:rPr>
                <w:rFonts w:cs="Calibri"/>
                <w:sz w:val="18"/>
                <w:szCs w:val="18"/>
              </w:rPr>
              <w:t>Grantee monitoring reports; Impact reviews</w:t>
            </w:r>
          </w:p>
        </w:tc>
        <w:tc>
          <w:tcPr>
            <w:tcW w:w="2155" w:type="dxa"/>
            <w:tcBorders>
              <w:top w:val="single" w:sz="4" w:space="0" w:color="auto"/>
              <w:left w:val="single" w:sz="4" w:space="0" w:color="auto"/>
              <w:right w:val="single" w:sz="4" w:space="0" w:color="auto"/>
            </w:tcBorders>
          </w:tcPr>
          <w:p w14:paraId="02B3512B" w14:textId="77777777" w:rsidR="00C45730" w:rsidRPr="002926D7" w:rsidRDefault="00C45730" w:rsidP="002926D7">
            <w:pPr>
              <w:jc w:val="left"/>
              <w:rPr>
                <w:rFonts w:cstheme="minorHAnsi"/>
                <w:sz w:val="18"/>
                <w:szCs w:val="18"/>
              </w:rPr>
            </w:pPr>
            <w:r w:rsidRPr="002926D7">
              <w:rPr>
                <w:rFonts w:cstheme="minorHAnsi"/>
                <w:sz w:val="18"/>
                <w:szCs w:val="18"/>
              </w:rPr>
              <w:t>Local stakeholders are open to adapting based on the lessons identified during meetings.</w:t>
            </w:r>
          </w:p>
          <w:p w14:paraId="343D8A4E" w14:textId="77777777" w:rsidR="00C45730" w:rsidRPr="002926D7" w:rsidRDefault="00C45730" w:rsidP="002926D7">
            <w:pPr>
              <w:jc w:val="left"/>
              <w:rPr>
                <w:rFonts w:cstheme="minorHAnsi"/>
                <w:sz w:val="18"/>
                <w:szCs w:val="18"/>
              </w:rPr>
            </w:pPr>
          </w:p>
        </w:tc>
      </w:tr>
      <w:tr w:rsidR="00C45730" w:rsidRPr="002926D7" w14:paraId="17CD0508" w14:textId="77777777" w:rsidTr="00025B2D">
        <w:trPr>
          <w:trHeight w:val="440"/>
        </w:trPr>
        <w:tc>
          <w:tcPr>
            <w:tcW w:w="1525" w:type="dxa"/>
            <w:vMerge/>
            <w:tcBorders>
              <w:top w:val="single" w:sz="4" w:space="0" w:color="auto"/>
              <w:left w:val="single" w:sz="4" w:space="0" w:color="auto"/>
              <w:bottom w:val="single" w:sz="4" w:space="0" w:color="auto"/>
              <w:right w:val="single" w:sz="4" w:space="0" w:color="auto"/>
            </w:tcBorders>
            <w:vAlign w:val="center"/>
            <w:hideMark/>
          </w:tcPr>
          <w:p w14:paraId="0014C9E2" w14:textId="77777777" w:rsidR="00C45730" w:rsidRPr="002926D7" w:rsidRDefault="00C45730" w:rsidP="002926D7">
            <w:pPr>
              <w:jc w:val="left"/>
              <w:rPr>
                <w:rFonts w:cstheme="minorHAnsi"/>
                <w:b/>
                <w:bCs/>
                <w:sz w:val="18"/>
                <w:szCs w:val="18"/>
              </w:rPr>
            </w:pPr>
          </w:p>
        </w:tc>
        <w:tc>
          <w:tcPr>
            <w:tcW w:w="2668" w:type="dxa"/>
            <w:tcBorders>
              <w:top w:val="single" w:sz="4" w:space="0" w:color="auto"/>
              <w:left w:val="single" w:sz="4" w:space="0" w:color="auto"/>
              <w:bottom w:val="single" w:sz="4" w:space="0" w:color="auto"/>
              <w:right w:val="single" w:sz="4" w:space="0" w:color="auto"/>
            </w:tcBorders>
            <w:hideMark/>
          </w:tcPr>
          <w:p w14:paraId="3891814C" w14:textId="69FEC202" w:rsidR="00C45730" w:rsidRPr="002926D7" w:rsidRDefault="00C45730" w:rsidP="002926D7">
            <w:pPr>
              <w:jc w:val="left"/>
              <w:rPr>
                <w:rFonts w:cstheme="minorHAnsi"/>
                <w:sz w:val="18"/>
                <w:szCs w:val="18"/>
              </w:rPr>
            </w:pPr>
            <w:r w:rsidRPr="002926D7">
              <w:rPr>
                <w:rFonts w:cstheme="minorHAnsi"/>
                <w:b/>
                <w:iCs/>
                <w:sz w:val="18"/>
                <w:szCs w:val="18"/>
              </w:rPr>
              <w:t xml:space="preserve">Indicator </w:t>
            </w:r>
            <w:r w:rsidR="0010636B" w:rsidRPr="002926D7">
              <w:rPr>
                <w:rFonts w:cstheme="minorHAnsi"/>
                <w:b/>
                <w:iCs/>
                <w:sz w:val="18"/>
                <w:szCs w:val="18"/>
              </w:rPr>
              <w:t>26</w:t>
            </w:r>
            <w:r w:rsidRPr="002926D7">
              <w:rPr>
                <w:rFonts w:cstheme="minorHAnsi"/>
                <w:bCs/>
                <w:iCs/>
                <w:sz w:val="18"/>
                <w:szCs w:val="18"/>
              </w:rPr>
              <w:t xml:space="preserve">: </w:t>
            </w:r>
            <w:r w:rsidRPr="002926D7">
              <w:rPr>
                <w:rFonts w:cstheme="minorHAnsi"/>
                <w:bCs/>
                <w:sz w:val="18"/>
                <w:szCs w:val="18"/>
              </w:rPr>
              <w:t>Number of country/cross-country impact reviews conducted with evidence of SGP impact and lessons learned.</w:t>
            </w:r>
          </w:p>
        </w:tc>
        <w:tc>
          <w:tcPr>
            <w:tcW w:w="1292" w:type="dxa"/>
            <w:tcBorders>
              <w:top w:val="single" w:sz="4" w:space="0" w:color="auto"/>
              <w:left w:val="single" w:sz="4" w:space="0" w:color="auto"/>
              <w:bottom w:val="single" w:sz="4" w:space="0" w:color="auto"/>
              <w:right w:val="single" w:sz="4" w:space="0" w:color="auto"/>
            </w:tcBorders>
            <w:hideMark/>
          </w:tcPr>
          <w:p w14:paraId="411A222B" w14:textId="77777777" w:rsidR="00C45730" w:rsidRPr="002926D7" w:rsidRDefault="00C45730" w:rsidP="002926D7">
            <w:pPr>
              <w:jc w:val="left"/>
              <w:rPr>
                <w:rFonts w:cstheme="minorHAnsi"/>
                <w:bCs/>
                <w:sz w:val="18"/>
                <w:szCs w:val="18"/>
              </w:rPr>
            </w:pPr>
            <w:r w:rsidRPr="002926D7">
              <w:rPr>
                <w:rFonts w:cstheme="minorHAnsi"/>
                <w:bCs/>
                <w:sz w:val="18"/>
                <w:szCs w:val="18"/>
              </w:rPr>
              <w:t>Impact reviews</w:t>
            </w:r>
          </w:p>
        </w:tc>
        <w:tc>
          <w:tcPr>
            <w:tcW w:w="1707" w:type="dxa"/>
            <w:tcBorders>
              <w:top w:val="single" w:sz="4" w:space="0" w:color="auto"/>
              <w:left w:val="single" w:sz="4" w:space="0" w:color="auto"/>
              <w:bottom w:val="single" w:sz="4" w:space="0" w:color="auto"/>
              <w:right w:val="single" w:sz="4" w:space="0" w:color="auto"/>
            </w:tcBorders>
            <w:hideMark/>
          </w:tcPr>
          <w:p w14:paraId="229D9FC5" w14:textId="77777777" w:rsidR="00C45730" w:rsidRPr="002926D7" w:rsidRDefault="00C45730" w:rsidP="002926D7">
            <w:pPr>
              <w:jc w:val="left"/>
              <w:rPr>
                <w:rFonts w:cstheme="minorHAnsi"/>
                <w:bCs/>
                <w:sz w:val="18"/>
                <w:szCs w:val="18"/>
              </w:rPr>
            </w:pPr>
            <w:r w:rsidRPr="002926D7">
              <w:rPr>
                <w:rFonts w:cstheme="minorHAnsi"/>
                <w:bCs/>
                <w:sz w:val="18"/>
                <w:szCs w:val="18"/>
              </w:rPr>
              <w:t>N/A</w:t>
            </w:r>
          </w:p>
        </w:tc>
        <w:tc>
          <w:tcPr>
            <w:tcW w:w="1799" w:type="dxa"/>
            <w:tcBorders>
              <w:top w:val="single" w:sz="4" w:space="0" w:color="auto"/>
              <w:left w:val="single" w:sz="4" w:space="0" w:color="auto"/>
              <w:bottom w:val="single" w:sz="4" w:space="0" w:color="auto"/>
              <w:right w:val="single" w:sz="4" w:space="0" w:color="auto"/>
            </w:tcBorders>
            <w:hideMark/>
          </w:tcPr>
          <w:p w14:paraId="1406FB5F" w14:textId="77777777" w:rsidR="00C45730" w:rsidRPr="002926D7" w:rsidRDefault="00C45730" w:rsidP="002926D7">
            <w:pPr>
              <w:jc w:val="left"/>
              <w:rPr>
                <w:rFonts w:cstheme="minorHAnsi"/>
                <w:bCs/>
                <w:sz w:val="18"/>
                <w:szCs w:val="18"/>
              </w:rPr>
            </w:pPr>
            <w:r w:rsidRPr="002926D7">
              <w:rPr>
                <w:rFonts w:cstheme="minorHAnsi"/>
                <w:bCs/>
                <w:sz w:val="18"/>
                <w:szCs w:val="18"/>
              </w:rPr>
              <w:t>1 impact review</w:t>
            </w:r>
          </w:p>
        </w:tc>
        <w:tc>
          <w:tcPr>
            <w:tcW w:w="1718" w:type="dxa"/>
            <w:tcBorders>
              <w:top w:val="single" w:sz="4" w:space="0" w:color="auto"/>
              <w:left w:val="single" w:sz="4" w:space="0" w:color="auto"/>
              <w:bottom w:val="single" w:sz="4" w:space="0" w:color="auto"/>
              <w:right w:val="single" w:sz="4" w:space="0" w:color="auto"/>
            </w:tcBorders>
            <w:hideMark/>
          </w:tcPr>
          <w:p w14:paraId="6AE624D4" w14:textId="77777777" w:rsidR="00C45730" w:rsidRPr="002926D7" w:rsidRDefault="00C45730" w:rsidP="002926D7">
            <w:pPr>
              <w:jc w:val="left"/>
              <w:rPr>
                <w:rFonts w:cstheme="minorHAnsi"/>
                <w:sz w:val="18"/>
                <w:szCs w:val="18"/>
              </w:rPr>
            </w:pPr>
            <w:r w:rsidRPr="002926D7">
              <w:rPr>
                <w:rFonts w:cstheme="minorHAnsi"/>
                <w:sz w:val="18"/>
                <w:szCs w:val="18"/>
              </w:rPr>
              <w:t>4 impact reviews (one per geographic region)</w:t>
            </w:r>
          </w:p>
        </w:tc>
        <w:tc>
          <w:tcPr>
            <w:tcW w:w="1531" w:type="dxa"/>
            <w:tcBorders>
              <w:top w:val="single" w:sz="4" w:space="0" w:color="auto"/>
              <w:left w:val="single" w:sz="4" w:space="0" w:color="auto"/>
              <w:bottom w:val="single" w:sz="4" w:space="0" w:color="auto"/>
              <w:right w:val="single" w:sz="4" w:space="0" w:color="auto"/>
            </w:tcBorders>
            <w:hideMark/>
          </w:tcPr>
          <w:p w14:paraId="1A1FD77F" w14:textId="77777777" w:rsidR="00C45730" w:rsidRPr="002926D7" w:rsidRDefault="00C45730" w:rsidP="002926D7">
            <w:pPr>
              <w:jc w:val="left"/>
              <w:rPr>
                <w:rFonts w:cstheme="minorHAnsi"/>
                <w:sz w:val="18"/>
                <w:szCs w:val="18"/>
              </w:rPr>
            </w:pPr>
            <w:r w:rsidRPr="002926D7">
              <w:rPr>
                <w:rFonts w:cs="Calibri"/>
                <w:sz w:val="18"/>
                <w:szCs w:val="18"/>
              </w:rPr>
              <w:t>Impact reviews</w:t>
            </w:r>
          </w:p>
        </w:tc>
        <w:tc>
          <w:tcPr>
            <w:tcW w:w="2155" w:type="dxa"/>
            <w:tcBorders>
              <w:left w:val="single" w:sz="4" w:space="0" w:color="auto"/>
              <w:bottom w:val="single" w:sz="4" w:space="0" w:color="auto"/>
              <w:right w:val="single" w:sz="4" w:space="0" w:color="auto"/>
            </w:tcBorders>
            <w:hideMark/>
          </w:tcPr>
          <w:p w14:paraId="529AEDFD" w14:textId="77777777" w:rsidR="00C45730" w:rsidRPr="002926D7" w:rsidRDefault="00C45730" w:rsidP="002926D7">
            <w:pPr>
              <w:pStyle w:val="Default"/>
              <w:rPr>
                <w:rFonts w:asciiTheme="minorHAnsi" w:hAnsiTheme="minorHAnsi" w:cstheme="minorHAnsi"/>
                <w:sz w:val="18"/>
                <w:szCs w:val="18"/>
              </w:rPr>
            </w:pPr>
            <w:r w:rsidRPr="002926D7">
              <w:rPr>
                <w:rFonts w:asciiTheme="minorHAnsi" w:hAnsiTheme="minorHAnsi" w:cstheme="minorHAnsi"/>
                <w:sz w:val="18"/>
                <w:szCs w:val="18"/>
              </w:rPr>
              <w:t xml:space="preserve">Adequate availability of resources. M&amp;E capacities built across global, country and project levels. </w:t>
            </w:r>
          </w:p>
          <w:p w14:paraId="1CA8EE5C" w14:textId="77777777" w:rsidR="00C45730" w:rsidRPr="002926D7" w:rsidRDefault="00C45730" w:rsidP="002926D7">
            <w:pPr>
              <w:jc w:val="left"/>
              <w:rPr>
                <w:rFonts w:cstheme="minorHAnsi"/>
                <w:sz w:val="18"/>
                <w:szCs w:val="18"/>
              </w:rPr>
            </w:pPr>
            <w:r w:rsidRPr="002926D7">
              <w:rPr>
                <w:rFonts w:cstheme="minorHAnsi"/>
                <w:sz w:val="18"/>
                <w:szCs w:val="18"/>
              </w:rPr>
              <w:t>Mechanisms of quality assurance and methodologically-sound thought production in place.</w:t>
            </w:r>
          </w:p>
        </w:tc>
      </w:tr>
      <w:tr w:rsidR="00C45730" w:rsidRPr="002926D7" w14:paraId="5778FB4B" w14:textId="77777777" w:rsidTr="00025B2D">
        <w:trPr>
          <w:trHeight w:val="683"/>
        </w:trPr>
        <w:tc>
          <w:tcPr>
            <w:tcW w:w="1525" w:type="dxa"/>
            <w:tcBorders>
              <w:top w:val="single" w:sz="4" w:space="0" w:color="auto"/>
              <w:left w:val="single" w:sz="4" w:space="0" w:color="auto"/>
              <w:bottom w:val="single" w:sz="4" w:space="0" w:color="auto"/>
              <w:right w:val="single" w:sz="4" w:space="0" w:color="auto"/>
            </w:tcBorders>
            <w:hideMark/>
          </w:tcPr>
          <w:p w14:paraId="2F46D3EE" w14:textId="77777777" w:rsidR="00C45730" w:rsidRPr="002926D7" w:rsidRDefault="00C45730" w:rsidP="002926D7">
            <w:pPr>
              <w:jc w:val="left"/>
              <w:rPr>
                <w:rFonts w:cstheme="minorHAnsi"/>
                <w:b/>
                <w:bCs/>
                <w:sz w:val="18"/>
                <w:szCs w:val="18"/>
              </w:rPr>
            </w:pPr>
            <w:r w:rsidRPr="002926D7">
              <w:rPr>
                <w:rFonts w:cstheme="minorHAnsi"/>
                <w:b/>
                <w:bCs/>
                <w:sz w:val="18"/>
                <w:szCs w:val="18"/>
              </w:rPr>
              <w:t>Outputs to achieve Outcome 4.1</w:t>
            </w:r>
          </w:p>
        </w:tc>
        <w:tc>
          <w:tcPr>
            <w:tcW w:w="12870" w:type="dxa"/>
            <w:gridSpan w:val="7"/>
            <w:tcBorders>
              <w:top w:val="single" w:sz="4" w:space="0" w:color="auto"/>
              <w:left w:val="single" w:sz="4" w:space="0" w:color="auto"/>
              <w:bottom w:val="single" w:sz="4" w:space="0" w:color="auto"/>
              <w:right w:val="single" w:sz="4" w:space="0" w:color="auto"/>
            </w:tcBorders>
            <w:hideMark/>
          </w:tcPr>
          <w:p w14:paraId="4B3D2B00" w14:textId="77777777" w:rsidR="00C45730" w:rsidRPr="002926D7" w:rsidRDefault="00C45730" w:rsidP="002926D7">
            <w:pPr>
              <w:jc w:val="left"/>
              <w:rPr>
                <w:sz w:val="18"/>
                <w:szCs w:val="18"/>
              </w:rPr>
            </w:pPr>
            <w:r w:rsidRPr="002926D7">
              <w:rPr>
                <w:noProof/>
                <w:sz w:val="18"/>
                <w:szCs w:val="18"/>
              </w:rPr>
              <w:t xml:space="preserve">4.1.1. </w:t>
            </w:r>
            <w:r w:rsidRPr="002926D7">
              <w:rPr>
                <w:sz w:val="18"/>
                <w:szCs w:val="18"/>
              </w:rPr>
              <w:t xml:space="preserve">Participatory monitoring of project implementation, including through digital means, enabling timely adaptive measures and codification of results </w:t>
            </w:r>
            <w:r w:rsidRPr="002926D7">
              <w:rPr>
                <w:noProof/>
                <w:sz w:val="18"/>
                <w:szCs w:val="18"/>
              </w:rPr>
              <w:t xml:space="preserve"> </w:t>
            </w:r>
            <w:r w:rsidRPr="002926D7">
              <w:rPr>
                <w:sz w:val="18"/>
                <w:szCs w:val="18"/>
              </w:rPr>
              <w:t>and lessons.</w:t>
            </w:r>
          </w:p>
          <w:p w14:paraId="04A77B2A" w14:textId="77777777" w:rsidR="00C45730" w:rsidRPr="002926D7" w:rsidRDefault="00C45730" w:rsidP="002926D7">
            <w:pPr>
              <w:pStyle w:val="Table"/>
              <w:ind w:left="0" w:right="180"/>
              <w:rPr>
                <w:rFonts w:asciiTheme="minorHAnsi" w:hAnsiTheme="minorHAnsi" w:cstheme="minorBidi"/>
                <w:noProof/>
                <w:sz w:val="18"/>
                <w:szCs w:val="18"/>
              </w:rPr>
            </w:pPr>
            <w:r w:rsidRPr="002926D7">
              <w:rPr>
                <w:rFonts w:asciiTheme="minorHAnsi" w:hAnsiTheme="minorHAnsi" w:cstheme="minorBidi"/>
                <w:noProof/>
                <w:sz w:val="18"/>
                <w:szCs w:val="18"/>
              </w:rPr>
              <w:t>4.1.2 CSOs/ CBOs and local communities are supported in continuous learnings  and improvements in analyzing opportunities, risks and drivers of success and failures to achieve results across landscapes- seascapes and regions.</w:t>
            </w:r>
          </w:p>
          <w:p w14:paraId="282CBDC5" w14:textId="77777777" w:rsidR="00C45730" w:rsidRPr="002926D7" w:rsidRDefault="00C45730" w:rsidP="002926D7">
            <w:pPr>
              <w:jc w:val="left"/>
              <w:rPr>
                <w:rFonts w:cstheme="minorHAnsi"/>
                <w:bCs/>
                <w:iCs/>
                <w:sz w:val="18"/>
                <w:szCs w:val="18"/>
              </w:rPr>
            </w:pPr>
            <w:r w:rsidRPr="002926D7">
              <w:rPr>
                <w:rFonts w:cstheme="minorHAnsi"/>
                <w:noProof/>
                <w:sz w:val="18"/>
                <w:szCs w:val="18"/>
              </w:rPr>
              <w:t xml:space="preserve">4.1.3. </w:t>
            </w:r>
            <w:r w:rsidRPr="002926D7">
              <w:rPr>
                <w:rFonts w:cstheme="minorHAnsi"/>
                <w:sz w:val="18"/>
                <w:szCs w:val="18"/>
              </w:rPr>
              <w:t>Evaluate impact of local initiatives to address environmental and socio-economic concerns of communities and generate evidential basis to inform project. development by CSOs/ CBOs.</w:t>
            </w:r>
          </w:p>
        </w:tc>
      </w:tr>
      <w:bookmarkEnd w:id="131"/>
    </w:tbl>
    <w:p w14:paraId="69120E79" w14:textId="77777777" w:rsidR="00AA2363" w:rsidRPr="002926D7" w:rsidRDefault="00AA2363" w:rsidP="002926D7">
      <w:pPr>
        <w:rPr>
          <w:sz w:val="10"/>
          <w:szCs w:val="14"/>
        </w:rPr>
      </w:pPr>
    </w:p>
    <w:p w14:paraId="5D5DB1E3" w14:textId="77777777" w:rsidR="008E6B98" w:rsidRPr="002926D7" w:rsidRDefault="008E6B98" w:rsidP="002926D7">
      <w:pPr>
        <w:jc w:val="left"/>
      </w:pPr>
    </w:p>
    <w:bookmarkEnd w:id="130"/>
    <w:p w14:paraId="403AC3C4" w14:textId="6D87343B" w:rsidR="003F56BF" w:rsidRPr="002926D7" w:rsidRDefault="003F56BF" w:rsidP="002926D7">
      <w:pPr>
        <w:sectPr w:rsidR="003F56BF" w:rsidRPr="002926D7" w:rsidSect="00294901">
          <w:pgSz w:w="15840" w:h="12240" w:orient="landscape" w:code="1"/>
          <w:pgMar w:top="720" w:right="720" w:bottom="720" w:left="720" w:header="720" w:footer="432" w:gutter="0"/>
          <w:cols w:space="708"/>
          <w:titlePg/>
          <w:docGrid w:linePitch="360"/>
        </w:sectPr>
      </w:pPr>
    </w:p>
    <w:p w14:paraId="297501E2" w14:textId="77777777" w:rsidR="0053408E" w:rsidRPr="002926D7" w:rsidRDefault="0053408E" w:rsidP="002926D7">
      <w:pPr>
        <w:pStyle w:val="Heading1"/>
        <w:spacing w:before="0" w:after="60"/>
        <w:rPr>
          <w:rFonts w:ascii="Calibri" w:hAnsi="Calibri"/>
          <w:szCs w:val="28"/>
        </w:rPr>
      </w:pPr>
      <w:bookmarkStart w:id="132" w:name="_Toc151386982"/>
      <w:bookmarkStart w:id="133" w:name="_Toc207800914"/>
      <w:bookmarkStart w:id="134" w:name="_Toc407785522"/>
      <w:bookmarkEnd w:id="125"/>
      <w:r w:rsidRPr="002926D7">
        <w:rPr>
          <w:rFonts w:ascii="Calibri" w:hAnsi="Calibri"/>
          <w:szCs w:val="28"/>
        </w:rPr>
        <w:lastRenderedPageBreak/>
        <w:t>Monitoring and Evaluation (M&amp;E) Plan</w:t>
      </w:r>
      <w:bookmarkEnd w:id="132"/>
    </w:p>
    <w:p w14:paraId="70C0693E" w14:textId="77777777" w:rsidR="00206C78" w:rsidRPr="002926D7" w:rsidRDefault="00206C78" w:rsidP="002926D7">
      <w:pPr>
        <w:jc w:val="left"/>
        <w:rPr>
          <w:rFonts w:cs="Calibri"/>
          <w:szCs w:val="20"/>
        </w:rPr>
      </w:pPr>
    </w:p>
    <w:p w14:paraId="281B3D1F" w14:textId="05FEA786" w:rsidR="00E17230" w:rsidRPr="002926D7" w:rsidRDefault="00E17230" w:rsidP="002926D7">
      <w:pPr>
        <w:rPr>
          <w:rFonts w:asciiTheme="minorHAnsi" w:hAnsiTheme="minorHAnsi" w:cstheme="minorHAnsi"/>
          <w:szCs w:val="20"/>
        </w:rPr>
      </w:pPr>
      <w:r w:rsidRPr="002926D7">
        <w:rPr>
          <w:rFonts w:asciiTheme="minorHAnsi" w:hAnsiTheme="minorHAnsi" w:cstheme="minorHAnsi"/>
          <w:b/>
          <w:szCs w:val="20"/>
        </w:rPr>
        <w:t>An emphasis on building on OP7 gains while introducing new metrics</w:t>
      </w:r>
    </w:p>
    <w:p w14:paraId="241C715B" w14:textId="77777777" w:rsidR="00E17230" w:rsidRPr="002926D7" w:rsidRDefault="00E17230" w:rsidP="002926D7">
      <w:pPr>
        <w:rPr>
          <w:rFonts w:asciiTheme="minorHAnsi" w:hAnsiTheme="minorHAnsi" w:cstheme="minorHAnsi"/>
          <w:szCs w:val="20"/>
        </w:rPr>
      </w:pPr>
    </w:p>
    <w:p w14:paraId="56BAAEE2" w14:textId="77777777" w:rsidR="00E17230" w:rsidRPr="002926D7" w:rsidRDefault="00E17230" w:rsidP="002926D7">
      <w:pPr>
        <w:numPr>
          <w:ilvl w:val="0"/>
          <w:numId w:val="8"/>
        </w:numPr>
        <w:ind w:left="0" w:firstLine="0"/>
        <w:rPr>
          <w:rFonts w:asciiTheme="minorHAnsi" w:hAnsiTheme="minorHAnsi" w:cstheme="minorHAnsi"/>
          <w:szCs w:val="20"/>
        </w:rPr>
      </w:pPr>
      <w:r w:rsidRPr="002926D7">
        <w:rPr>
          <w:rFonts w:asciiTheme="minorHAnsi" w:hAnsiTheme="minorHAnsi" w:cstheme="minorHAnsi"/>
          <w:szCs w:val="20"/>
        </w:rPr>
        <w:t xml:space="preserve">Strengthening results management, monitoring and evaluation (M&amp;E) is a key priority for the Small Grants Programme (SGP) during its Eighth Operational Phase. In line with positive endorsement by the </w:t>
      </w:r>
      <w:hyperlink r:id="rId22" w:history="1">
        <w:r w:rsidRPr="002926D7">
          <w:rPr>
            <w:rStyle w:val="Hyperlink"/>
            <w:rFonts w:asciiTheme="minorHAnsi" w:hAnsiTheme="minorHAnsi" w:cstheme="minorHAnsi"/>
            <w:szCs w:val="20"/>
          </w:rPr>
          <w:t>Third Joint Evaluation</w:t>
        </w:r>
      </w:hyperlink>
      <w:r w:rsidRPr="002926D7">
        <w:rPr>
          <w:rFonts w:asciiTheme="minorHAnsi" w:hAnsiTheme="minorHAnsi" w:cstheme="minorHAnsi"/>
          <w:szCs w:val="20"/>
        </w:rPr>
        <w:t>, SGP’s OP8 results build upon improvements made in OP7 results architecture and management system while adding more granularity to grantee level monitoring and measuring additional socio-economic co-benefits. Overall, there will be a continued emphasis of monitoring programme and project cycle effectiveness, funding delivery rates, results-driven implementation, integration of corporate standards in programming, involvement of stakeholders (partners/NSCs), and financing. With a key objective to measure and manage the efficiency, impact, and sustainability of SGP initiatives- monitoring in OP8 will further develop learning-based approaches supporting scaling up of successes and generating knowledge from failures as well.</w:t>
      </w:r>
    </w:p>
    <w:p w14:paraId="28339E86" w14:textId="77777777" w:rsidR="00E17230" w:rsidRPr="002926D7" w:rsidRDefault="00E17230" w:rsidP="002926D7">
      <w:pPr>
        <w:rPr>
          <w:rFonts w:asciiTheme="minorHAnsi" w:hAnsiTheme="minorHAnsi" w:cstheme="minorHAnsi"/>
          <w:szCs w:val="20"/>
        </w:rPr>
      </w:pPr>
    </w:p>
    <w:p w14:paraId="20619CFB" w14:textId="77777777" w:rsidR="00E17230" w:rsidRPr="002926D7" w:rsidRDefault="00E17230" w:rsidP="002926D7">
      <w:pPr>
        <w:numPr>
          <w:ilvl w:val="0"/>
          <w:numId w:val="8"/>
        </w:numPr>
        <w:ind w:left="0" w:firstLine="0"/>
        <w:rPr>
          <w:rFonts w:asciiTheme="minorHAnsi" w:hAnsiTheme="minorHAnsi" w:cstheme="minorHAnsi"/>
          <w:szCs w:val="20"/>
        </w:rPr>
      </w:pPr>
      <w:r w:rsidRPr="002926D7">
        <w:rPr>
          <w:rFonts w:asciiTheme="minorHAnsi" w:hAnsiTheme="minorHAnsi" w:cstheme="minorHAnsi"/>
          <w:szCs w:val="20"/>
        </w:rPr>
        <w:t>SGP will continue to employ the multi-tiered approach that addresses distinct requirements at project, country, and global levels. This approach also responds to differentiated capacities, resources, and infrastructure of various countries in the portfolio, including LDCs and SIDS. Each country possesses unique contextual realities that influence its ability to engage in and benefit from SGP initiatives. A multi-tiered approach, therefore, allows SGP to be responsive to the varying contexts of its country programmes, all the while ensuring aggregated global effectiveness, efficiency and impact of the Programme.</w:t>
      </w:r>
    </w:p>
    <w:p w14:paraId="5BD0092C" w14:textId="77777777" w:rsidR="00E17230" w:rsidRPr="002926D7" w:rsidRDefault="00E17230" w:rsidP="002926D7">
      <w:pPr>
        <w:pStyle w:val="ListParagraph"/>
        <w:rPr>
          <w:rFonts w:asciiTheme="minorHAnsi" w:hAnsiTheme="minorHAnsi" w:cstheme="minorHAnsi"/>
          <w:szCs w:val="20"/>
        </w:rPr>
      </w:pPr>
    </w:p>
    <w:p w14:paraId="6F028D65" w14:textId="5AF6EBBC" w:rsidR="00E17230" w:rsidRPr="002926D7" w:rsidRDefault="00E17230" w:rsidP="002926D7">
      <w:pPr>
        <w:numPr>
          <w:ilvl w:val="0"/>
          <w:numId w:val="8"/>
        </w:numPr>
        <w:ind w:left="0" w:firstLine="0"/>
        <w:rPr>
          <w:rFonts w:asciiTheme="minorHAnsi" w:hAnsiTheme="minorHAnsi" w:cstheme="minorHAnsi"/>
          <w:szCs w:val="20"/>
        </w:rPr>
      </w:pPr>
      <w:r w:rsidRPr="002926D7">
        <w:rPr>
          <w:rFonts w:asciiTheme="minorHAnsi" w:hAnsiTheme="minorHAnsi" w:cstheme="minorHAnsi"/>
          <w:szCs w:val="20"/>
        </w:rPr>
        <w:t>The M&amp;E system will continue to be operationalized in an integrated manner across projects, country and global levels . At the project level, a streamlined roster of indicators will be used to capture results gains while introducing new metrics. At the country level, country programme teams and the NSC will support monitoring of project grants with an emphasis on evidential mechanisms. At the global level, SGP will employ a consistent approach to aggregate and track cumulative progress across 99 countries over time against the OP8 results management framework.</w:t>
      </w:r>
    </w:p>
    <w:p w14:paraId="4FF74DCE" w14:textId="77777777" w:rsidR="00E17230" w:rsidRPr="002926D7" w:rsidRDefault="00E17230" w:rsidP="002926D7">
      <w:pPr>
        <w:pStyle w:val="ListParagraph"/>
        <w:rPr>
          <w:rFonts w:asciiTheme="minorHAnsi" w:hAnsiTheme="minorHAnsi" w:cstheme="minorHAnsi"/>
          <w:szCs w:val="20"/>
        </w:rPr>
      </w:pPr>
    </w:p>
    <w:p w14:paraId="3DBEB06A" w14:textId="77777777" w:rsidR="00E17230" w:rsidRPr="002926D7" w:rsidRDefault="00E17230" w:rsidP="002926D7">
      <w:pPr>
        <w:numPr>
          <w:ilvl w:val="0"/>
          <w:numId w:val="8"/>
        </w:numPr>
        <w:ind w:left="0" w:firstLine="0"/>
        <w:rPr>
          <w:rFonts w:asciiTheme="minorHAnsi" w:hAnsiTheme="minorHAnsi" w:cstheme="minorHAnsi"/>
          <w:szCs w:val="20"/>
        </w:rPr>
      </w:pPr>
      <w:r w:rsidRPr="002926D7">
        <w:rPr>
          <w:rFonts w:asciiTheme="minorHAnsi" w:hAnsiTheme="minorHAnsi" w:cstheme="minorHAnsi"/>
          <w:szCs w:val="20"/>
        </w:rPr>
        <w:t>In OP8,</w:t>
      </w:r>
      <w:r w:rsidRPr="002926D7">
        <w:rPr>
          <w:rFonts w:asciiTheme="minorHAnsi" w:hAnsiTheme="minorHAnsi" w:cstheme="minorHAnsi"/>
          <w:b/>
          <w:bCs/>
          <w:szCs w:val="20"/>
        </w:rPr>
        <w:t xml:space="preserve"> </w:t>
      </w:r>
      <w:r w:rsidRPr="002926D7">
        <w:rPr>
          <w:rFonts w:asciiTheme="minorHAnsi" w:hAnsiTheme="minorHAnsi" w:cstheme="minorHAnsi"/>
          <w:szCs w:val="20"/>
        </w:rPr>
        <w:t xml:space="preserve">there is a dedicated outcome on M&amp;E: </w:t>
      </w:r>
      <w:r w:rsidRPr="002926D7">
        <w:rPr>
          <w:rFonts w:asciiTheme="minorHAnsi" w:hAnsiTheme="minorHAnsi" w:cstheme="minorHAnsi"/>
          <w:b/>
          <w:bCs/>
          <w:i/>
          <w:iCs/>
          <w:szCs w:val="20"/>
        </w:rPr>
        <w:t>Outcome 4.1. Scale, durability and impact of locally led community action strengthened through monitoring, evaluation and evidence-based learning</w:t>
      </w:r>
      <w:r w:rsidRPr="002926D7">
        <w:rPr>
          <w:rFonts w:asciiTheme="minorHAnsi" w:hAnsiTheme="minorHAnsi" w:cstheme="minorHAnsi"/>
          <w:szCs w:val="20"/>
        </w:rPr>
        <w:t>. The outputs under the Monitoring &amp; Evaluation outcome are integrated with and feed into the other outcomes of the programme. The M&amp;E outputs include: 4.1.1. Participatory monitoring of project implementation, including through digital means, enabling timely adaptive measures and codification of results and lessons; 4.1.2. CSOs/ CBOs and local communities are supported in continuous learnings and improvements in analyzing opportunities, risks and drivers of success and failures to achieve results across landscapes-seascapes and regions; and 4.1.3. Evaluate impact of local initiatives to address environmental and socio-economic concerns of communities and generate evidential basis to inform project development by CSOs/ CBOs. These</w:t>
      </w:r>
      <w:r w:rsidRPr="002926D7">
        <w:rPr>
          <w:rFonts w:asciiTheme="minorHAnsi" w:eastAsia="Calibri" w:hAnsiTheme="minorHAnsi" w:cstheme="minorHAnsi"/>
          <w:color w:val="000000" w:themeColor="text1"/>
          <w:szCs w:val="20"/>
        </w:rPr>
        <w:t xml:space="preserve"> outputs aim at strengthening CSOs’/CBOs’ capacities to manage towards results, increased and shared evidence-based knowledge, and assess the socio-ecological impacts of local actors’ initiatives within the landscape-seascape investment programmes. </w:t>
      </w:r>
    </w:p>
    <w:p w14:paraId="48F2BCD6" w14:textId="77777777" w:rsidR="00E17230" w:rsidRPr="002926D7" w:rsidRDefault="00E17230" w:rsidP="002926D7">
      <w:pPr>
        <w:rPr>
          <w:rFonts w:asciiTheme="minorHAnsi" w:hAnsiTheme="minorHAnsi" w:cstheme="minorHAnsi"/>
          <w:szCs w:val="20"/>
        </w:rPr>
      </w:pPr>
    </w:p>
    <w:p w14:paraId="74510CDB" w14:textId="77777777" w:rsidR="00E17230" w:rsidRPr="002926D7" w:rsidRDefault="00E17230" w:rsidP="002926D7">
      <w:pPr>
        <w:rPr>
          <w:rFonts w:asciiTheme="minorHAnsi" w:hAnsiTheme="minorHAnsi" w:cstheme="minorHAnsi"/>
          <w:szCs w:val="20"/>
        </w:rPr>
      </w:pPr>
      <w:r w:rsidRPr="002926D7">
        <w:rPr>
          <w:rFonts w:asciiTheme="minorHAnsi" w:hAnsiTheme="minorHAnsi" w:cstheme="minorHAnsi"/>
          <w:b/>
          <w:szCs w:val="20"/>
        </w:rPr>
        <w:t>Alignment with GEF Core indicators</w:t>
      </w:r>
    </w:p>
    <w:p w14:paraId="64671D0D" w14:textId="77777777" w:rsidR="00E17230" w:rsidRPr="002926D7" w:rsidRDefault="00E17230" w:rsidP="002926D7">
      <w:pPr>
        <w:pStyle w:val="ListParagraph"/>
        <w:rPr>
          <w:rFonts w:asciiTheme="minorHAnsi" w:hAnsiTheme="minorHAnsi" w:cstheme="minorHAnsi"/>
          <w:szCs w:val="20"/>
        </w:rPr>
      </w:pPr>
    </w:p>
    <w:p w14:paraId="6FD556DF" w14:textId="77777777" w:rsidR="00E17230" w:rsidRPr="002926D7" w:rsidRDefault="00E17230" w:rsidP="002926D7">
      <w:pPr>
        <w:numPr>
          <w:ilvl w:val="0"/>
          <w:numId w:val="8"/>
        </w:numPr>
        <w:ind w:left="0" w:firstLine="0"/>
        <w:rPr>
          <w:rFonts w:asciiTheme="minorHAnsi" w:hAnsiTheme="minorHAnsi" w:cstheme="minorHAnsi"/>
          <w:szCs w:val="20"/>
        </w:rPr>
      </w:pPr>
      <w:r w:rsidRPr="002926D7">
        <w:rPr>
          <w:rFonts w:asciiTheme="minorHAnsi" w:hAnsiTheme="minorHAnsi" w:cstheme="minorHAnsi"/>
          <w:szCs w:val="20"/>
        </w:rPr>
        <w:t xml:space="preserve">In OP8, SGP places greater emphasis on promoting strategic and results-based investments at the local level, in alignment with GEF-8 </w:t>
      </w:r>
      <w:r w:rsidRPr="002926D7">
        <w:rPr>
          <w:rFonts w:asciiTheme="minorHAnsi" w:hAnsiTheme="minorHAnsi" w:cstheme="minorHAnsi"/>
          <w:color w:val="000000" w:themeColor="text1"/>
          <w:szCs w:val="20"/>
        </w:rPr>
        <w:t>results framework. Its</w:t>
      </w:r>
      <w:r w:rsidRPr="002926D7">
        <w:rPr>
          <w:rFonts w:asciiTheme="minorHAnsi" w:hAnsiTheme="minorHAnsi" w:cstheme="minorHAnsi"/>
          <w:szCs w:val="20"/>
        </w:rPr>
        <w:t xml:space="preserve"> priorities are closely aligned to those of the GEF-8 Programming Directions Paper and its outcomes to meet the GEF-8 targets. To capture global environmental benefits, SGP is aligned with 6 of the 11 GEF-8 core indicators, </w:t>
      </w:r>
      <w:r w:rsidRPr="002926D7">
        <w:rPr>
          <w:rFonts w:asciiTheme="minorHAnsi" w:hAnsiTheme="minorHAnsi" w:cstheme="minorHAnsi"/>
          <w:color w:val="000000" w:themeColor="text1"/>
          <w:szCs w:val="20"/>
        </w:rPr>
        <w:t>in line with the agreed</w:t>
      </w:r>
      <w:hyperlink r:id="rId23" w:history="1">
        <w:r w:rsidRPr="002926D7">
          <w:rPr>
            <w:rStyle w:val="Hyperlink"/>
            <w:rFonts w:asciiTheme="minorHAnsi" w:hAnsiTheme="minorHAnsi" w:cstheme="minorHAnsi"/>
            <w:szCs w:val="20"/>
          </w:rPr>
          <w:t xml:space="preserve"> guidelines</w:t>
        </w:r>
      </w:hyperlink>
      <w:r w:rsidRPr="002926D7">
        <w:rPr>
          <w:rFonts w:asciiTheme="minorHAnsi" w:hAnsiTheme="minorHAnsi" w:cstheme="minorHAnsi"/>
          <w:color w:val="000000" w:themeColor="text1"/>
          <w:szCs w:val="20"/>
        </w:rPr>
        <w:t>.</w:t>
      </w:r>
      <w:r w:rsidRPr="002926D7">
        <w:rPr>
          <w:rFonts w:asciiTheme="minorHAnsi" w:hAnsiTheme="minorHAnsi" w:cstheme="minorHAnsi"/>
          <w:szCs w:val="20"/>
        </w:rPr>
        <w:t xml:space="preserve"> These indicators programmatically align with SGP’s work and possess technical suitability to apply specific tools at the community level. </w:t>
      </w:r>
    </w:p>
    <w:p w14:paraId="568503BA" w14:textId="77777777" w:rsidR="00E17230" w:rsidRPr="002926D7" w:rsidRDefault="00E17230" w:rsidP="002926D7">
      <w:pPr>
        <w:rPr>
          <w:rFonts w:asciiTheme="minorHAnsi" w:hAnsiTheme="minorHAnsi" w:cstheme="minorHAnsi"/>
          <w:szCs w:val="20"/>
        </w:rPr>
      </w:pPr>
    </w:p>
    <w:p w14:paraId="7C8B8F4F" w14:textId="77777777" w:rsidR="00E17230" w:rsidRPr="002926D7" w:rsidRDefault="00E17230" w:rsidP="002926D7">
      <w:pPr>
        <w:rPr>
          <w:rFonts w:asciiTheme="minorHAnsi" w:hAnsiTheme="minorHAnsi" w:cstheme="minorHAnsi"/>
          <w:szCs w:val="20"/>
        </w:rPr>
      </w:pPr>
      <w:r w:rsidRPr="002926D7">
        <w:rPr>
          <w:rFonts w:asciiTheme="minorHAnsi" w:hAnsiTheme="minorHAnsi" w:cstheme="minorHAnsi"/>
          <w:b/>
          <w:szCs w:val="20"/>
        </w:rPr>
        <w:t>Enhanced Socio-economic indicators</w:t>
      </w:r>
    </w:p>
    <w:p w14:paraId="1105C9E8" w14:textId="77777777" w:rsidR="00E17230" w:rsidRPr="002926D7" w:rsidRDefault="00E17230" w:rsidP="002926D7">
      <w:pPr>
        <w:pStyle w:val="ListParagraph"/>
        <w:rPr>
          <w:rFonts w:asciiTheme="minorHAnsi" w:hAnsiTheme="minorHAnsi" w:cstheme="minorHAnsi"/>
          <w:szCs w:val="20"/>
        </w:rPr>
      </w:pPr>
    </w:p>
    <w:p w14:paraId="73577A70" w14:textId="7EE1362A" w:rsidR="00E17230" w:rsidRPr="002926D7" w:rsidRDefault="00E17230" w:rsidP="002926D7">
      <w:pPr>
        <w:numPr>
          <w:ilvl w:val="0"/>
          <w:numId w:val="8"/>
        </w:numPr>
        <w:ind w:left="0" w:firstLine="0"/>
        <w:rPr>
          <w:rFonts w:asciiTheme="minorHAnsi" w:hAnsiTheme="minorHAnsi" w:cstheme="minorHAnsi"/>
          <w:szCs w:val="20"/>
        </w:rPr>
      </w:pPr>
      <w:r w:rsidRPr="002926D7">
        <w:rPr>
          <w:rFonts w:asciiTheme="minorHAnsi" w:hAnsiTheme="minorHAnsi" w:cstheme="minorHAnsi"/>
          <w:szCs w:val="20"/>
        </w:rPr>
        <w:t xml:space="preserve">SGP will continue to support local CSOs/CBOs, particularly those representing marginalized and vulnerable groups, including women, Indigenous Peoples, persons with disabilities, elderly, and the youth, to design and </w:t>
      </w:r>
      <w:r w:rsidRPr="002926D7">
        <w:rPr>
          <w:rFonts w:asciiTheme="minorHAnsi" w:hAnsiTheme="minorHAnsi" w:cstheme="minorHAnsi"/>
          <w:szCs w:val="20"/>
        </w:rPr>
        <w:lastRenderedPageBreak/>
        <w:t>implement projects producing global environmental benefits coupled with socioeconomic co-benefits to local communities. In this regard, SGP will further enhance its measurement system for socio-economic indicators to facilitate the tracking of deeper socio-economic impact due to SGP interventions. In OP8, socio-economic indicators will stay mandatory for each SGP project.</w:t>
      </w:r>
    </w:p>
    <w:p w14:paraId="08F62B3C" w14:textId="565338C9" w:rsidR="00E17230" w:rsidRPr="002926D7" w:rsidRDefault="00E17230" w:rsidP="002926D7">
      <w:pPr>
        <w:pStyle w:val="ListParagraph"/>
        <w:numPr>
          <w:ilvl w:val="0"/>
          <w:numId w:val="35"/>
        </w:numPr>
        <w:spacing w:before="120"/>
        <w:rPr>
          <w:rFonts w:asciiTheme="minorHAnsi" w:hAnsiTheme="minorHAnsi" w:cstheme="minorHAnsi"/>
          <w:szCs w:val="20"/>
        </w:rPr>
      </w:pPr>
      <w:r w:rsidRPr="002926D7">
        <w:rPr>
          <w:rFonts w:asciiTheme="minorHAnsi" w:hAnsiTheme="minorHAnsi" w:cstheme="minorHAnsi"/>
          <w:szCs w:val="20"/>
        </w:rPr>
        <w:t xml:space="preserve">The scope of socio-economic measurement will be expanded with an inclusion of economic indicators, particularly on livelihoods creation and strengthening. This will include (i.) </w:t>
      </w:r>
      <w:r w:rsidRPr="002926D7">
        <w:rPr>
          <w:rFonts w:asciiTheme="minorHAnsi" w:hAnsiTheme="minorHAnsi" w:cstheme="minorHAnsi"/>
          <w:i/>
          <w:iCs/>
          <w:szCs w:val="20"/>
          <w:u w:val="single"/>
        </w:rPr>
        <w:t>Livelihood support</w:t>
      </w:r>
      <w:r w:rsidRPr="002926D7">
        <w:rPr>
          <w:rFonts w:asciiTheme="minorHAnsi" w:hAnsiTheme="minorHAnsi" w:cstheme="minorHAnsi"/>
          <w:i/>
          <w:iCs/>
          <w:szCs w:val="20"/>
        </w:rPr>
        <w:t>:</w:t>
      </w:r>
      <w:r w:rsidRPr="002926D7">
        <w:rPr>
          <w:rFonts w:asciiTheme="minorHAnsi" w:hAnsiTheme="minorHAnsi" w:cstheme="minorHAnsi"/>
          <w:szCs w:val="20"/>
        </w:rPr>
        <w:t xml:space="preserve"> measuring projects that directly or indirectly create or strengthen livelihoods through SGP interventions, particularly for vulnerable groups (ii.) </w:t>
      </w:r>
      <w:r w:rsidRPr="002926D7">
        <w:rPr>
          <w:rFonts w:asciiTheme="minorHAnsi" w:hAnsiTheme="minorHAnsi" w:cstheme="minorHAnsi"/>
          <w:i/>
          <w:iCs/>
          <w:szCs w:val="20"/>
          <w:u w:val="single"/>
        </w:rPr>
        <w:t>Skills Development and entrepreneurship</w:t>
      </w:r>
      <w:r w:rsidRPr="002926D7">
        <w:rPr>
          <w:rFonts w:asciiTheme="minorHAnsi" w:hAnsiTheme="minorHAnsi" w:cstheme="minorHAnsi"/>
          <w:szCs w:val="20"/>
        </w:rPr>
        <w:t xml:space="preserve">: measure projects that support development of new skills or have successfully initiated micro-enterprises and businesses as a result of SGP interventions. This goes beyond the tracking of basic training numbers, focusing on the sustainable application of acquired skills for economic activities and the entrepreneurial spirit within communities. (iii.) </w:t>
      </w:r>
      <w:r w:rsidRPr="002926D7">
        <w:rPr>
          <w:rFonts w:asciiTheme="minorHAnsi" w:hAnsiTheme="minorHAnsi" w:cstheme="minorHAnsi"/>
          <w:i/>
          <w:iCs/>
          <w:szCs w:val="20"/>
          <w:u w:val="single"/>
        </w:rPr>
        <w:t>Natural resource-based livelihoods</w:t>
      </w:r>
      <w:r w:rsidRPr="002926D7">
        <w:rPr>
          <w:rFonts w:asciiTheme="minorHAnsi" w:hAnsiTheme="minorHAnsi" w:cstheme="minorHAnsi"/>
          <w:szCs w:val="20"/>
        </w:rPr>
        <w:t>: Track the development and enhancement of livelihoods based on sustainable natural resource management. For example, the number of community-based enterprises engaged in eco-friendly practices, agroecological farming, or sustainable fisheries.</w:t>
      </w:r>
    </w:p>
    <w:p w14:paraId="66E553DE" w14:textId="77777777" w:rsidR="00E17230" w:rsidRPr="002926D7" w:rsidRDefault="00E17230" w:rsidP="002926D7">
      <w:pPr>
        <w:pStyle w:val="ListParagraph"/>
        <w:numPr>
          <w:ilvl w:val="0"/>
          <w:numId w:val="35"/>
        </w:numPr>
        <w:spacing w:before="120"/>
        <w:rPr>
          <w:rFonts w:asciiTheme="minorHAnsi" w:hAnsiTheme="minorHAnsi" w:cstheme="minorHAnsi"/>
          <w:szCs w:val="20"/>
        </w:rPr>
      </w:pPr>
      <w:r w:rsidRPr="002926D7">
        <w:rPr>
          <w:rFonts w:asciiTheme="minorHAnsi" w:hAnsiTheme="minorHAnsi" w:cstheme="minorHAnsi"/>
          <w:szCs w:val="20"/>
        </w:rPr>
        <w:t xml:space="preserve">Addition transformation-based measurements for involvement with marginalized groups will be introduced. These include: (i.) </w:t>
      </w:r>
      <w:r w:rsidRPr="002926D7">
        <w:rPr>
          <w:rFonts w:asciiTheme="minorHAnsi" w:hAnsiTheme="minorHAnsi" w:cstheme="minorHAnsi"/>
          <w:i/>
          <w:iCs/>
          <w:szCs w:val="20"/>
          <w:u w:val="single"/>
        </w:rPr>
        <w:t>Empowerment and decision-making</w:t>
      </w:r>
      <w:r w:rsidRPr="002926D7">
        <w:rPr>
          <w:rFonts w:asciiTheme="minorHAnsi" w:hAnsiTheme="minorHAnsi" w:cstheme="minorHAnsi"/>
          <w:szCs w:val="20"/>
        </w:rPr>
        <w:t xml:space="preserve">: Assess the extent to which marginalized groups, such as women, Indigenous Peoples, youth, and persons with disabilities, are actively participating in community decision-making processes .(ii.) </w:t>
      </w:r>
      <w:r w:rsidRPr="002926D7">
        <w:rPr>
          <w:rFonts w:asciiTheme="minorHAnsi" w:hAnsiTheme="minorHAnsi" w:cstheme="minorHAnsi"/>
          <w:i/>
          <w:iCs/>
          <w:szCs w:val="20"/>
          <w:u w:val="single"/>
        </w:rPr>
        <w:t>Community resilience</w:t>
      </w:r>
      <w:r w:rsidRPr="002926D7">
        <w:rPr>
          <w:rFonts w:asciiTheme="minorHAnsi" w:hAnsiTheme="minorHAnsi" w:cstheme="minorHAnsi"/>
          <w:szCs w:val="20"/>
        </w:rPr>
        <w:t xml:space="preserve">: Measure the community's resilience to socio-economic and environmental changes, such as establishment of community-managed funds and successful adaptation strategies. (iii.) </w:t>
      </w:r>
      <w:r w:rsidRPr="002926D7">
        <w:rPr>
          <w:rFonts w:asciiTheme="minorHAnsi" w:hAnsiTheme="minorHAnsi" w:cstheme="minorHAnsi"/>
          <w:i/>
          <w:iCs/>
          <w:szCs w:val="20"/>
          <w:u w:val="single"/>
        </w:rPr>
        <w:t>Community-led initiatives</w:t>
      </w:r>
      <w:r w:rsidRPr="002926D7">
        <w:rPr>
          <w:rFonts w:asciiTheme="minorHAnsi" w:hAnsiTheme="minorHAnsi" w:cstheme="minorHAnsi"/>
          <w:szCs w:val="20"/>
        </w:rPr>
        <w:t>: Track the number of community-led initiatives that have expanded beyond the project's scope, demonstrating sustainability and the ability of communities to take charge of their development.</w:t>
      </w:r>
    </w:p>
    <w:p w14:paraId="06CF58E6" w14:textId="77777777" w:rsidR="00E17230" w:rsidRPr="002926D7" w:rsidRDefault="00E17230" w:rsidP="002926D7">
      <w:pPr>
        <w:pStyle w:val="ListParagraph"/>
        <w:rPr>
          <w:rFonts w:asciiTheme="minorHAnsi" w:hAnsiTheme="minorHAnsi" w:cstheme="minorHAnsi"/>
          <w:szCs w:val="20"/>
        </w:rPr>
      </w:pPr>
    </w:p>
    <w:p w14:paraId="7C5E8D06" w14:textId="7A602ADB" w:rsidR="005B78A4" w:rsidRPr="002926D7" w:rsidRDefault="005B78A4" w:rsidP="002926D7">
      <w:pPr>
        <w:numPr>
          <w:ilvl w:val="0"/>
          <w:numId w:val="8"/>
        </w:numPr>
        <w:ind w:left="0" w:firstLine="0"/>
        <w:rPr>
          <w:rFonts w:asciiTheme="minorHAnsi" w:hAnsiTheme="minorHAnsi" w:cstheme="minorHAnsi"/>
          <w:szCs w:val="20"/>
        </w:rPr>
      </w:pPr>
      <w:r w:rsidRPr="002926D7">
        <w:rPr>
          <w:rFonts w:asciiTheme="minorHAnsi" w:hAnsiTheme="minorHAnsi" w:cstheme="minorHAnsi"/>
          <w:szCs w:val="20"/>
        </w:rPr>
        <w:t>Aligned with the GEF-8 Results Indicators for the SGP 2.0, the OP8-Part 1 results framework includes the following indicators for capturing socioeconomic impacts:</w:t>
      </w:r>
    </w:p>
    <w:p w14:paraId="192844D2" w14:textId="77777777" w:rsidR="005B78A4" w:rsidRPr="002926D7" w:rsidRDefault="005B78A4" w:rsidP="002926D7">
      <w:pPr>
        <w:pStyle w:val="Footer"/>
        <w:numPr>
          <w:ilvl w:val="0"/>
          <w:numId w:val="41"/>
        </w:numPr>
        <w:tabs>
          <w:tab w:val="clear" w:pos="4153"/>
          <w:tab w:val="clear" w:pos="8306"/>
          <w:tab w:val="center" w:pos="4320"/>
          <w:tab w:val="right" w:pos="8640"/>
        </w:tabs>
        <w:spacing w:before="60"/>
        <w:ind w:right="187"/>
        <w:rPr>
          <w:color w:val="212529"/>
        </w:rPr>
      </w:pPr>
      <w:r w:rsidRPr="002926D7">
        <w:rPr>
          <w:color w:val="212529"/>
        </w:rPr>
        <w:t>Indicator 8: Number of representatives from social inclusion group (indigenous peoples, women, youth, persons with disability, farmers, other marginalized groups) meaningfully engaged in multi-stakeholder dialogue platforms.</w:t>
      </w:r>
    </w:p>
    <w:p w14:paraId="38E4E7A2" w14:textId="77777777" w:rsidR="005B78A4" w:rsidRPr="002926D7" w:rsidRDefault="005B78A4" w:rsidP="002926D7">
      <w:pPr>
        <w:pStyle w:val="Footer"/>
        <w:numPr>
          <w:ilvl w:val="0"/>
          <w:numId w:val="41"/>
        </w:numPr>
        <w:tabs>
          <w:tab w:val="clear" w:pos="4153"/>
          <w:tab w:val="clear" w:pos="8306"/>
          <w:tab w:val="center" w:pos="4320"/>
          <w:tab w:val="right" w:pos="8640"/>
        </w:tabs>
        <w:spacing w:before="60"/>
        <w:ind w:right="187"/>
        <w:rPr>
          <w:color w:val="212529"/>
        </w:rPr>
      </w:pPr>
      <w:r w:rsidRPr="002926D7">
        <w:rPr>
          <w:color w:val="212529"/>
        </w:rPr>
        <w:t>Indicator 9: Number of SGP countries supporting legal identity and legal empowerment issues.</w:t>
      </w:r>
    </w:p>
    <w:p w14:paraId="4097064C" w14:textId="77777777" w:rsidR="005B78A4" w:rsidRPr="002926D7" w:rsidRDefault="005B78A4" w:rsidP="002926D7">
      <w:pPr>
        <w:pStyle w:val="Footer"/>
        <w:numPr>
          <w:ilvl w:val="0"/>
          <w:numId w:val="41"/>
        </w:numPr>
        <w:tabs>
          <w:tab w:val="clear" w:pos="4153"/>
          <w:tab w:val="clear" w:pos="8306"/>
          <w:tab w:val="center" w:pos="4320"/>
          <w:tab w:val="right" w:pos="8640"/>
        </w:tabs>
        <w:spacing w:before="60"/>
        <w:ind w:right="187"/>
        <w:rPr>
          <w:color w:val="212529"/>
        </w:rPr>
      </w:pPr>
      <w:r w:rsidRPr="002926D7">
        <w:rPr>
          <w:color w:val="212529"/>
        </w:rPr>
        <w:t>Indicator 14: Number of community-based sustainable solutions in urban landscapes (e.g., transport, biodiversity conservation, chemical and waste management, energy efficiency, watershed protection, etc.).</w:t>
      </w:r>
    </w:p>
    <w:p w14:paraId="7CD96048" w14:textId="77777777" w:rsidR="005B78A4" w:rsidRPr="002926D7" w:rsidRDefault="005B78A4" w:rsidP="002926D7">
      <w:pPr>
        <w:pStyle w:val="Footer"/>
        <w:numPr>
          <w:ilvl w:val="0"/>
          <w:numId w:val="41"/>
        </w:numPr>
        <w:tabs>
          <w:tab w:val="clear" w:pos="4153"/>
          <w:tab w:val="clear" w:pos="8306"/>
          <w:tab w:val="center" w:pos="4320"/>
          <w:tab w:val="right" w:pos="8640"/>
        </w:tabs>
        <w:spacing w:before="60"/>
        <w:ind w:right="187"/>
        <w:rPr>
          <w:color w:val="212529"/>
        </w:rPr>
      </w:pPr>
      <w:r w:rsidRPr="002926D7">
        <w:rPr>
          <w:color w:val="212529"/>
        </w:rPr>
        <w:t>Indicator 16: Number of projects with focused interventions promoting gender equality and women’s empowerment.</w:t>
      </w:r>
    </w:p>
    <w:p w14:paraId="3A4F9FB8" w14:textId="77777777" w:rsidR="005B78A4" w:rsidRPr="002926D7" w:rsidRDefault="005B78A4" w:rsidP="002926D7">
      <w:pPr>
        <w:pStyle w:val="Footer"/>
        <w:numPr>
          <w:ilvl w:val="0"/>
          <w:numId w:val="41"/>
        </w:numPr>
        <w:tabs>
          <w:tab w:val="clear" w:pos="4153"/>
          <w:tab w:val="clear" w:pos="8306"/>
          <w:tab w:val="center" w:pos="4320"/>
          <w:tab w:val="right" w:pos="8640"/>
        </w:tabs>
        <w:spacing w:before="60"/>
        <w:ind w:right="187"/>
        <w:rPr>
          <w:color w:val="212529"/>
        </w:rPr>
      </w:pPr>
      <w:r w:rsidRPr="002926D7">
        <w:rPr>
          <w:color w:val="212529"/>
        </w:rPr>
        <w:t>Indicator 17: Number of SGP countries that demonstrate models of engaging (a) Indigenous Peoples, (b) youth, and (c), persons with disabilities.</w:t>
      </w:r>
    </w:p>
    <w:p w14:paraId="1BAF2F89" w14:textId="77777777" w:rsidR="005B78A4" w:rsidRPr="002926D7" w:rsidRDefault="005B78A4" w:rsidP="002926D7">
      <w:pPr>
        <w:pStyle w:val="Footer"/>
        <w:numPr>
          <w:ilvl w:val="0"/>
          <w:numId w:val="41"/>
        </w:numPr>
        <w:tabs>
          <w:tab w:val="clear" w:pos="4153"/>
          <w:tab w:val="clear" w:pos="8306"/>
          <w:tab w:val="center" w:pos="4320"/>
          <w:tab w:val="right" w:pos="8640"/>
        </w:tabs>
        <w:spacing w:before="60"/>
        <w:ind w:right="187"/>
        <w:rPr>
          <w:color w:val="212529"/>
        </w:rPr>
      </w:pPr>
      <w:r w:rsidRPr="002926D7">
        <w:rPr>
          <w:color w:val="212529"/>
        </w:rPr>
        <w:t>Indicator 18: Amount of grant funding of total grant portfolio accessed by: (a) women and/or women’s groups; (b) youth and/or youth-led groups; (c) Indigenous peoples’ Groups.</w:t>
      </w:r>
    </w:p>
    <w:p w14:paraId="5B51E360" w14:textId="2ABF5E82" w:rsidR="005B78A4" w:rsidRPr="002926D7" w:rsidRDefault="005B78A4" w:rsidP="002926D7">
      <w:pPr>
        <w:pStyle w:val="Footer"/>
        <w:numPr>
          <w:ilvl w:val="0"/>
          <w:numId w:val="41"/>
        </w:numPr>
        <w:tabs>
          <w:tab w:val="clear" w:pos="4153"/>
          <w:tab w:val="clear" w:pos="8306"/>
          <w:tab w:val="center" w:pos="4320"/>
          <w:tab w:val="right" w:pos="8640"/>
        </w:tabs>
        <w:spacing w:before="60"/>
        <w:ind w:right="187"/>
        <w:rPr>
          <w:color w:val="212529"/>
        </w:rPr>
      </w:pPr>
      <w:r w:rsidRPr="002926D7">
        <w:rPr>
          <w:color w:val="212529"/>
        </w:rPr>
        <w:t>Indicator 19: Number of grants supporting promotion of legal identity and legal empowerment, including the participation of Indigenous peoples and other remote/marginalized groups.</w:t>
      </w:r>
    </w:p>
    <w:p w14:paraId="03FF8359" w14:textId="77777777" w:rsidR="005B78A4" w:rsidRPr="002926D7" w:rsidRDefault="005B78A4" w:rsidP="002926D7">
      <w:pPr>
        <w:pStyle w:val="ListParagraph"/>
        <w:rPr>
          <w:rFonts w:asciiTheme="minorHAnsi" w:hAnsiTheme="minorHAnsi" w:cstheme="minorHAnsi"/>
          <w:szCs w:val="20"/>
        </w:rPr>
      </w:pPr>
    </w:p>
    <w:p w14:paraId="5B921C96" w14:textId="77777777" w:rsidR="00E17230" w:rsidRPr="002926D7" w:rsidRDefault="00E17230" w:rsidP="002926D7">
      <w:pPr>
        <w:rPr>
          <w:rFonts w:asciiTheme="minorHAnsi" w:hAnsiTheme="minorHAnsi" w:cstheme="minorHAnsi"/>
          <w:b/>
          <w:szCs w:val="20"/>
        </w:rPr>
      </w:pPr>
      <w:r w:rsidRPr="002926D7">
        <w:rPr>
          <w:rFonts w:asciiTheme="minorHAnsi" w:hAnsiTheme="minorHAnsi" w:cstheme="minorHAnsi"/>
          <w:b/>
          <w:szCs w:val="20"/>
        </w:rPr>
        <w:t>Measuring benefits accrued to KM, Capacity development and M&amp;E</w:t>
      </w:r>
    </w:p>
    <w:p w14:paraId="0F5F86B4" w14:textId="77777777" w:rsidR="00E17230" w:rsidRPr="002926D7" w:rsidRDefault="00E17230" w:rsidP="002926D7">
      <w:pPr>
        <w:rPr>
          <w:rFonts w:asciiTheme="minorHAnsi" w:hAnsiTheme="minorHAnsi" w:cstheme="minorHAnsi"/>
          <w:szCs w:val="20"/>
        </w:rPr>
      </w:pPr>
    </w:p>
    <w:p w14:paraId="6DB54700" w14:textId="77777777" w:rsidR="00E17230" w:rsidRPr="002926D7" w:rsidRDefault="00E17230" w:rsidP="002926D7">
      <w:pPr>
        <w:numPr>
          <w:ilvl w:val="0"/>
          <w:numId w:val="8"/>
        </w:numPr>
        <w:ind w:left="0" w:firstLine="0"/>
        <w:rPr>
          <w:rFonts w:asciiTheme="minorHAnsi" w:hAnsiTheme="minorHAnsi" w:cstheme="minorHAnsi"/>
          <w:szCs w:val="20"/>
        </w:rPr>
      </w:pPr>
      <w:r w:rsidRPr="002926D7">
        <w:rPr>
          <w:rFonts w:asciiTheme="minorHAnsi" w:hAnsiTheme="minorHAnsi" w:cstheme="minorHAnsi"/>
          <w:szCs w:val="20"/>
        </w:rPr>
        <w:t xml:space="preserve">Guided by </w:t>
      </w:r>
      <w:hyperlink r:id="rId24" w:history="1">
        <w:r w:rsidRPr="002926D7">
          <w:rPr>
            <w:rStyle w:val="Hyperlink"/>
            <w:rFonts w:asciiTheme="minorHAnsi" w:hAnsiTheme="minorHAnsi" w:cstheme="minorHAnsi"/>
            <w:szCs w:val="20"/>
          </w:rPr>
          <w:t>Third Joint Evaluation</w:t>
        </w:r>
      </w:hyperlink>
      <w:r w:rsidRPr="002926D7">
        <w:rPr>
          <w:rFonts w:asciiTheme="minorHAnsi" w:hAnsiTheme="minorHAnsi" w:cstheme="minorHAnsi"/>
          <w:szCs w:val="20"/>
        </w:rPr>
        <w:t xml:space="preserve">, an emphasis will be made to assess results attributable to capacity-building, monitoring and evaluation, as well as communications and knowledge management activities. The implementation of these activities increases the effectiveness, efficiency and impact of grantmaking processes. The Annual Monitoring Process will pilot an approach to capture benefits due to enabling services noted here.  </w:t>
      </w:r>
    </w:p>
    <w:p w14:paraId="4D6828D4" w14:textId="77777777" w:rsidR="00E17230" w:rsidRPr="002926D7" w:rsidRDefault="00E17230" w:rsidP="002926D7">
      <w:pPr>
        <w:rPr>
          <w:rFonts w:asciiTheme="minorHAnsi" w:hAnsiTheme="minorHAnsi" w:cstheme="minorHAnsi"/>
          <w:szCs w:val="20"/>
        </w:rPr>
      </w:pPr>
    </w:p>
    <w:p w14:paraId="7570EA81" w14:textId="77777777" w:rsidR="00E17230" w:rsidRPr="002926D7" w:rsidRDefault="00E17230" w:rsidP="002926D7">
      <w:pPr>
        <w:numPr>
          <w:ilvl w:val="0"/>
          <w:numId w:val="8"/>
        </w:numPr>
        <w:ind w:left="0" w:firstLine="0"/>
        <w:rPr>
          <w:rFonts w:asciiTheme="minorHAnsi" w:hAnsiTheme="minorHAnsi" w:cstheme="minorHAnsi"/>
          <w:szCs w:val="20"/>
        </w:rPr>
      </w:pPr>
      <w:r w:rsidRPr="002926D7">
        <w:rPr>
          <w:rFonts w:asciiTheme="minorHAnsi" w:hAnsiTheme="minorHAnsi" w:cstheme="minorHAnsi"/>
          <w:szCs w:val="20"/>
        </w:rPr>
        <w:t xml:space="preserve">Specifically, </w:t>
      </w:r>
      <w:r w:rsidRPr="002926D7">
        <w:rPr>
          <w:rFonts w:asciiTheme="minorHAnsi" w:hAnsiTheme="minorHAnsi" w:cstheme="minorHAnsi"/>
          <w:i/>
          <w:iCs/>
          <w:szCs w:val="20"/>
          <w:u w:val="single"/>
        </w:rPr>
        <w:t>Capacity development</w:t>
      </w:r>
      <w:r w:rsidRPr="002926D7">
        <w:rPr>
          <w:rFonts w:asciiTheme="minorHAnsi" w:hAnsiTheme="minorHAnsi" w:cstheme="minorHAnsi"/>
          <w:szCs w:val="20"/>
        </w:rPr>
        <w:t xml:space="preserve"> is a nuanced process which requires time to demonstrate tangible results. Therefore, the measurement focus will be to assess gains made from technical capacity, facilitating partner </w:t>
      </w:r>
      <w:r w:rsidRPr="002926D7">
        <w:rPr>
          <w:rFonts w:asciiTheme="minorHAnsi" w:hAnsiTheme="minorHAnsi" w:cstheme="minorHAnsi"/>
          <w:szCs w:val="20"/>
        </w:rPr>
        <w:lastRenderedPageBreak/>
        <w:t xml:space="preserve">meetings, strategic planning and management of the project, building consensus and promoting dialogue amongst stakeholders, knowledge management, and developing monitoring and learning tools. On </w:t>
      </w:r>
      <w:r w:rsidRPr="002926D7">
        <w:rPr>
          <w:rFonts w:asciiTheme="minorHAnsi" w:hAnsiTheme="minorHAnsi" w:cstheme="minorHAnsi"/>
          <w:i/>
          <w:iCs/>
          <w:szCs w:val="20"/>
          <w:u w:val="single"/>
        </w:rPr>
        <w:t>M&amp;E</w:t>
      </w:r>
      <w:r w:rsidRPr="002926D7">
        <w:rPr>
          <w:rFonts w:asciiTheme="minorHAnsi" w:hAnsiTheme="minorHAnsi" w:cstheme="minorHAnsi"/>
          <w:szCs w:val="20"/>
        </w:rPr>
        <w:t xml:space="preserve">, with observational data and learning gathered from field missions, conducting regular project monitoring supports in systematically capturing signs of project challenges for improved implementation and adaptive management of the programme. On </w:t>
      </w:r>
      <w:r w:rsidRPr="002926D7">
        <w:rPr>
          <w:rFonts w:asciiTheme="minorHAnsi" w:hAnsiTheme="minorHAnsi" w:cstheme="minorHAnsi"/>
          <w:i/>
          <w:iCs/>
          <w:szCs w:val="20"/>
          <w:u w:val="single"/>
        </w:rPr>
        <w:t>KM and communications</w:t>
      </w:r>
      <w:r w:rsidRPr="002926D7">
        <w:rPr>
          <w:rFonts w:asciiTheme="minorHAnsi" w:hAnsiTheme="minorHAnsi" w:cstheme="minorHAnsi"/>
          <w:szCs w:val="20"/>
        </w:rPr>
        <w:t xml:space="preserve">, the knowledge obtained from project experiences and lessons learned are disseminated through stakeholder networks and platforms at local, national, regional, and global levels, which facilitates the replication and upscaling of successful initiatives. </w:t>
      </w:r>
    </w:p>
    <w:p w14:paraId="07E14DB4" w14:textId="77777777" w:rsidR="00E17230" w:rsidRPr="002926D7" w:rsidRDefault="00E17230" w:rsidP="002926D7">
      <w:pPr>
        <w:pStyle w:val="ListParagraph"/>
        <w:rPr>
          <w:rFonts w:asciiTheme="minorHAnsi" w:hAnsiTheme="minorHAnsi" w:cstheme="minorHAnsi"/>
          <w:szCs w:val="20"/>
        </w:rPr>
      </w:pPr>
    </w:p>
    <w:p w14:paraId="0D1A592A" w14:textId="77777777" w:rsidR="00E17230" w:rsidRPr="002926D7" w:rsidRDefault="00E17230" w:rsidP="002926D7">
      <w:pPr>
        <w:numPr>
          <w:ilvl w:val="0"/>
          <w:numId w:val="8"/>
        </w:numPr>
        <w:ind w:left="0" w:firstLine="0"/>
        <w:rPr>
          <w:rFonts w:asciiTheme="minorHAnsi" w:hAnsiTheme="minorHAnsi" w:cstheme="minorHAnsi"/>
          <w:szCs w:val="20"/>
        </w:rPr>
      </w:pPr>
      <w:r w:rsidRPr="002926D7">
        <w:rPr>
          <w:rFonts w:asciiTheme="minorHAnsi" w:hAnsiTheme="minorHAnsi" w:cstheme="minorHAnsi"/>
          <w:szCs w:val="20"/>
        </w:rPr>
        <w:t xml:space="preserve">New results management tools such as outcome mapping will be applied to understand the changes in behavior of local communities due to such enabling services. SGP will enhance the systematic documentation of project information, promoting standardized inputs from grantee and country levels, as well as ensuring timely and regular updates. </w:t>
      </w:r>
    </w:p>
    <w:p w14:paraId="46DB6079" w14:textId="77777777" w:rsidR="00E17230" w:rsidRPr="002926D7" w:rsidRDefault="00E17230" w:rsidP="002926D7">
      <w:pPr>
        <w:pStyle w:val="ListParagraph"/>
        <w:rPr>
          <w:rFonts w:asciiTheme="minorHAnsi" w:hAnsiTheme="minorHAnsi" w:cstheme="minorHAnsi"/>
          <w:b/>
          <w:szCs w:val="20"/>
        </w:rPr>
      </w:pPr>
    </w:p>
    <w:p w14:paraId="5B9656CF" w14:textId="77777777" w:rsidR="00E17230" w:rsidRPr="002926D7" w:rsidRDefault="00E17230" w:rsidP="002926D7">
      <w:pPr>
        <w:rPr>
          <w:rFonts w:asciiTheme="minorHAnsi" w:hAnsiTheme="minorHAnsi" w:cstheme="minorHAnsi"/>
          <w:szCs w:val="20"/>
        </w:rPr>
      </w:pPr>
      <w:r w:rsidRPr="002926D7">
        <w:rPr>
          <w:rFonts w:asciiTheme="minorHAnsi" w:hAnsiTheme="minorHAnsi" w:cstheme="minorHAnsi"/>
          <w:b/>
          <w:szCs w:val="20"/>
        </w:rPr>
        <w:t>Sustainability</w:t>
      </w:r>
    </w:p>
    <w:p w14:paraId="318D1EC3" w14:textId="77777777" w:rsidR="00E17230" w:rsidRPr="002926D7" w:rsidRDefault="00E17230" w:rsidP="002926D7">
      <w:pPr>
        <w:pStyle w:val="ListParagraph"/>
        <w:rPr>
          <w:rFonts w:asciiTheme="minorHAnsi" w:hAnsiTheme="minorHAnsi" w:cstheme="minorHAnsi"/>
          <w:szCs w:val="20"/>
        </w:rPr>
      </w:pPr>
    </w:p>
    <w:p w14:paraId="22F0D17F" w14:textId="77777777" w:rsidR="00E17230" w:rsidRPr="002926D7" w:rsidRDefault="00E17230" w:rsidP="002926D7">
      <w:pPr>
        <w:numPr>
          <w:ilvl w:val="0"/>
          <w:numId w:val="8"/>
        </w:numPr>
        <w:ind w:left="0" w:firstLine="0"/>
        <w:rPr>
          <w:rFonts w:asciiTheme="minorHAnsi" w:hAnsiTheme="minorHAnsi" w:cstheme="minorHAnsi"/>
          <w:szCs w:val="20"/>
        </w:rPr>
      </w:pPr>
      <w:r w:rsidRPr="002926D7">
        <w:rPr>
          <w:rFonts w:asciiTheme="minorHAnsi" w:hAnsiTheme="minorHAnsi" w:cstheme="minorHAnsi"/>
          <w:szCs w:val="20"/>
        </w:rPr>
        <w:t xml:space="preserve">SGP will also implement sustainability measurement which assesses the extent to which a project’s outcomes demonstrate durability and its potential to achieve the expected long-term impact, as well as whether the organizations continue to operate in the environmental space after the SGP grant is concluded. With an emphasis on further integration of SGP country teams with UNDP country offices, sustainability of results will be maintained through linkage with relevant national policies and programmes, as well as by scaling up through larger donor and government-led programmes and projects. An enhanced and comprehensive approach to measuring sustainability will be piloted across the following dimensions: (i.) </w:t>
      </w:r>
      <w:r w:rsidRPr="002926D7">
        <w:rPr>
          <w:rFonts w:asciiTheme="minorHAnsi" w:hAnsiTheme="minorHAnsi" w:cstheme="minorHAnsi"/>
          <w:i/>
          <w:iCs/>
          <w:szCs w:val="20"/>
          <w:u w:val="single"/>
        </w:rPr>
        <w:t>Results sustainability</w:t>
      </w:r>
      <w:r w:rsidRPr="002926D7">
        <w:rPr>
          <w:rFonts w:asciiTheme="minorHAnsi" w:hAnsiTheme="minorHAnsi" w:cstheme="minorHAnsi"/>
          <w:szCs w:val="20"/>
        </w:rPr>
        <w:t xml:space="preserve">: Assess project’s influence on policy frameworks and the depth of community engagement and empowerment. (ii.) </w:t>
      </w:r>
      <w:r w:rsidRPr="002926D7">
        <w:rPr>
          <w:rFonts w:asciiTheme="minorHAnsi" w:hAnsiTheme="minorHAnsi" w:cstheme="minorHAnsi"/>
          <w:i/>
          <w:iCs/>
          <w:szCs w:val="20"/>
          <w:u w:val="single"/>
        </w:rPr>
        <w:t>Grantee sustainability</w:t>
      </w:r>
      <w:r w:rsidRPr="002926D7">
        <w:rPr>
          <w:rFonts w:asciiTheme="minorHAnsi" w:hAnsiTheme="minorHAnsi" w:cstheme="minorHAnsi"/>
          <w:szCs w:val="20"/>
        </w:rPr>
        <w:t xml:space="preserve">: Examine grantee’s ability to continue operation after SGP grant cycle has ended. </w:t>
      </w:r>
    </w:p>
    <w:p w14:paraId="55133218" w14:textId="77777777" w:rsidR="00E17230" w:rsidRPr="002926D7" w:rsidRDefault="00E17230" w:rsidP="002926D7">
      <w:pPr>
        <w:rPr>
          <w:rFonts w:asciiTheme="minorHAnsi" w:hAnsiTheme="minorHAnsi" w:cstheme="minorHAnsi"/>
          <w:szCs w:val="20"/>
        </w:rPr>
      </w:pPr>
    </w:p>
    <w:p w14:paraId="6F15A60F" w14:textId="77777777" w:rsidR="00E17230" w:rsidRPr="002926D7" w:rsidRDefault="00E17230" w:rsidP="002926D7">
      <w:pPr>
        <w:rPr>
          <w:rFonts w:asciiTheme="minorHAnsi" w:hAnsiTheme="minorHAnsi" w:cstheme="minorHAnsi"/>
          <w:szCs w:val="20"/>
        </w:rPr>
      </w:pPr>
      <w:r w:rsidRPr="002926D7">
        <w:rPr>
          <w:rFonts w:asciiTheme="minorHAnsi" w:hAnsiTheme="minorHAnsi" w:cstheme="minorHAnsi"/>
          <w:b/>
          <w:szCs w:val="20"/>
        </w:rPr>
        <w:t>Synergy with UNDP and GEF Policies</w:t>
      </w:r>
    </w:p>
    <w:p w14:paraId="2C908509" w14:textId="77777777" w:rsidR="00E17230" w:rsidRPr="002926D7" w:rsidRDefault="00E17230" w:rsidP="002926D7">
      <w:pPr>
        <w:pStyle w:val="ListParagraph"/>
        <w:rPr>
          <w:rFonts w:asciiTheme="minorHAnsi" w:hAnsiTheme="minorHAnsi" w:cstheme="minorHAnsi"/>
          <w:szCs w:val="20"/>
        </w:rPr>
      </w:pPr>
    </w:p>
    <w:p w14:paraId="3516C1E3" w14:textId="77777777" w:rsidR="00E17230" w:rsidRPr="002926D7" w:rsidRDefault="00E17230" w:rsidP="002926D7">
      <w:pPr>
        <w:numPr>
          <w:ilvl w:val="0"/>
          <w:numId w:val="8"/>
        </w:numPr>
        <w:ind w:left="0" w:firstLine="0"/>
        <w:rPr>
          <w:rFonts w:asciiTheme="minorHAnsi" w:hAnsiTheme="minorHAnsi" w:cstheme="minorHAnsi"/>
          <w:szCs w:val="20"/>
        </w:rPr>
      </w:pPr>
      <w:r w:rsidRPr="002926D7">
        <w:rPr>
          <w:rFonts w:asciiTheme="minorHAnsi" w:hAnsiTheme="minorHAnsi" w:cstheme="minorHAnsi"/>
          <w:szCs w:val="20"/>
        </w:rPr>
        <w:t xml:space="preserve">Results management aligns the efforts of SGP with those of UNDP country office and synergizes with the GEF results architecture, facilitating the upscaling and replication of SGP’s environmental and socio-economic outcomes. SGP Country Programme Strategies (CPS) for OP8 will reflect a synergy with UNDP Country Programme Document (CPD), which in turn is linked to UNDP Strategic Plan and related Integrated Results and Resources Framework (2022-2025). This approach will foster the alignment of results and increase the awareness of UNDP country team’s work, facilitating a mutual exchange of evidential lessons and experiences. In OP8, SGP places emphasis on strengthening connections within UNDP and with GEF infrastructure on the ground including GEF OFPs, other GEF partnership entities, and key national partners. The regular reporting of results from the Country Programme serves as a tool for continuous collaboration. </w:t>
      </w:r>
    </w:p>
    <w:p w14:paraId="4518F2C3" w14:textId="77777777" w:rsidR="00E17230" w:rsidRPr="002926D7" w:rsidRDefault="00E17230" w:rsidP="002926D7">
      <w:pPr>
        <w:pStyle w:val="ListParagraph"/>
        <w:rPr>
          <w:rFonts w:asciiTheme="minorHAnsi" w:hAnsiTheme="minorHAnsi" w:cstheme="minorHAnsi"/>
          <w:szCs w:val="20"/>
        </w:rPr>
      </w:pPr>
    </w:p>
    <w:p w14:paraId="7E4CD173" w14:textId="77777777" w:rsidR="00E17230" w:rsidRPr="002926D7" w:rsidRDefault="00E17230" w:rsidP="002926D7">
      <w:pPr>
        <w:numPr>
          <w:ilvl w:val="0"/>
          <w:numId w:val="8"/>
        </w:numPr>
        <w:ind w:left="0" w:firstLine="0"/>
        <w:rPr>
          <w:rFonts w:asciiTheme="minorHAnsi" w:hAnsiTheme="minorHAnsi" w:cstheme="minorHAnsi"/>
          <w:szCs w:val="20"/>
        </w:rPr>
      </w:pPr>
      <w:r w:rsidRPr="002926D7">
        <w:rPr>
          <w:rFonts w:asciiTheme="minorHAnsi" w:hAnsiTheme="minorHAnsi" w:cstheme="minorHAnsi"/>
          <w:szCs w:val="20"/>
        </w:rPr>
        <w:t>In line with directives of 2.0, UNDP stands ready to collaborate with results monitoring and evaluation as a tool of harmonization among the SGP GEF agencies, facilitating a wider understanding of programmatic impact and operational performance. In close coordination with GEF Secretariat, frameworks can be clarified with necessary flexibility for adaptive management, synchronized results, and a knowledge-oriented approach that builds upon investments aligned with evaluation findings. A common M&amp;E, KM and communication approach in collaboration with civil societies, along with the sharing of high-quality data and evidence, is integral to achieving scale and cohesion by the programme as a whole.</w:t>
      </w:r>
    </w:p>
    <w:p w14:paraId="640C2562" w14:textId="77777777" w:rsidR="00E17230" w:rsidRPr="002926D7" w:rsidRDefault="00E17230" w:rsidP="002926D7">
      <w:pPr>
        <w:pStyle w:val="ListParagraph"/>
        <w:rPr>
          <w:rFonts w:asciiTheme="minorHAnsi" w:hAnsiTheme="minorHAnsi" w:cstheme="minorHAnsi"/>
          <w:b/>
          <w:szCs w:val="20"/>
        </w:rPr>
      </w:pPr>
    </w:p>
    <w:p w14:paraId="2955F302" w14:textId="77777777" w:rsidR="00E17230" w:rsidRPr="002926D7" w:rsidRDefault="00E17230" w:rsidP="002926D7">
      <w:pPr>
        <w:rPr>
          <w:rFonts w:asciiTheme="minorHAnsi" w:hAnsiTheme="minorHAnsi" w:cstheme="minorHAnsi"/>
          <w:szCs w:val="20"/>
        </w:rPr>
      </w:pPr>
      <w:r w:rsidRPr="002926D7">
        <w:rPr>
          <w:rFonts w:asciiTheme="minorHAnsi" w:hAnsiTheme="minorHAnsi" w:cstheme="minorHAnsi"/>
          <w:b/>
          <w:szCs w:val="20"/>
        </w:rPr>
        <w:t>Quality assurance</w:t>
      </w:r>
    </w:p>
    <w:p w14:paraId="61585CEE" w14:textId="77777777" w:rsidR="00E17230" w:rsidRPr="002926D7" w:rsidRDefault="00E17230" w:rsidP="002926D7">
      <w:pPr>
        <w:pStyle w:val="ListParagraph"/>
        <w:rPr>
          <w:rFonts w:asciiTheme="minorHAnsi" w:hAnsiTheme="minorHAnsi" w:cstheme="minorHAnsi"/>
          <w:szCs w:val="20"/>
        </w:rPr>
      </w:pPr>
    </w:p>
    <w:p w14:paraId="71FBE31C" w14:textId="2C4D798A" w:rsidR="00E17230" w:rsidRPr="002926D7" w:rsidRDefault="00E17230" w:rsidP="002926D7">
      <w:pPr>
        <w:numPr>
          <w:ilvl w:val="0"/>
          <w:numId w:val="8"/>
        </w:numPr>
        <w:ind w:left="0" w:firstLine="0"/>
        <w:rPr>
          <w:rFonts w:asciiTheme="minorHAnsi" w:hAnsiTheme="minorHAnsi" w:cstheme="minorHAnsi"/>
          <w:szCs w:val="20"/>
        </w:rPr>
      </w:pPr>
      <w:r w:rsidRPr="002926D7">
        <w:rPr>
          <w:rFonts w:asciiTheme="minorHAnsi" w:hAnsiTheme="minorHAnsi" w:cstheme="minorHAnsi"/>
          <w:szCs w:val="20"/>
        </w:rPr>
        <w:t>Quality assurance (QA) is a crucial part of SGP’s results management approach. Generating, aggregating and reporting on data based on strong technical definitions, methodological basis, and standardized procedures will be continued in line with OP7 practices- all the while adding to the evidential basis for integrated results across operational phases.  In OP8, the QA effort  will be further enhanced with the following components:</w:t>
      </w:r>
    </w:p>
    <w:p w14:paraId="0045CD00" w14:textId="0C4B495F" w:rsidR="00E17230" w:rsidRPr="002926D7" w:rsidRDefault="00E17230" w:rsidP="002926D7">
      <w:pPr>
        <w:numPr>
          <w:ilvl w:val="0"/>
          <w:numId w:val="33"/>
        </w:numPr>
        <w:spacing w:before="120"/>
        <w:rPr>
          <w:rFonts w:asciiTheme="minorHAnsi" w:hAnsiTheme="minorHAnsi" w:cstheme="minorHAnsi"/>
          <w:szCs w:val="20"/>
        </w:rPr>
      </w:pPr>
      <w:r w:rsidRPr="002926D7">
        <w:rPr>
          <w:rFonts w:asciiTheme="minorHAnsi" w:hAnsiTheme="minorHAnsi" w:cstheme="minorHAnsi"/>
          <w:i/>
          <w:iCs/>
          <w:szCs w:val="20"/>
          <w:u w:val="single"/>
        </w:rPr>
        <w:lastRenderedPageBreak/>
        <w:t>Digital technology integration</w:t>
      </w:r>
      <w:r w:rsidRPr="002926D7">
        <w:rPr>
          <w:rFonts w:asciiTheme="minorHAnsi" w:hAnsiTheme="minorHAnsi" w:cstheme="minorHAnsi"/>
          <w:szCs w:val="20"/>
        </w:rPr>
        <w:t xml:space="preserve">: To enhance the cost-efficiency of monitoring processes, SGP will pilot the use of digital technology for remote monitoring. This will include using some of the innovations made in COVID-19 pandemic phase in using photo stories, videos and web-based applications to virtually interact with grantees. </w:t>
      </w:r>
    </w:p>
    <w:p w14:paraId="4DF7D2A8" w14:textId="77777777" w:rsidR="00E17230" w:rsidRPr="002926D7" w:rsidRDefault="00E17230" w:rsidP="002926D7">
      <w:pPr>
        <w:numPr>
          <w:ilvl w:val="0"/>
          <w:numId w:val="33"/>
        </w:numPr>
        <w:spacing w:before="120"/>
        <w:rPr>
          <w:rFonts w:asciiTheme="minorHAnsi" w:hAnsiTheme="minorHAnsi" w:cstheme="minorHAnsi"/>
          <w:szCs w:val="20"/>
        </w:rPr>
      </w:pPr>
      <w:r w:rsidRPr="002926D7">
        <w:rPr>
          <w:rFonts w:asciiTheme="minorHAnsi" w:hAnsiTheme="minorHAnsi" w:cstheme="minorHAnsi"/>
          <w:i/>
          <w:iCs/>
          <w:szCs w:val="20"/>
          <w:u w:val="single"/>
        </w:rPr>
        <w:t>Community engagement and continuous capacity building initiatives</w:t>
      </w:r>
      <w:r w:rsidRPr="002926D7">
        <w:rPr>
          <w:rFonts w:asciiTheme="minorHAnsi" w:hAnsiTheme="minorHAnsi" w:cstheme="minorHAnsi"/>
          <w:szCs w:val="20"/>
        </w:rPr>
        <w:t xml:space="preserve">: SGP will implement continuous capacity building initiatives to empower grantees. This will involve providing ongoing training sessions, workshops, and resources to ensure that grantees are well-equipped for effective data collection and reporting. Overall, an emphasis on more inclusive and participatory monitoring and quality assurance processes which involve local communities more in monitoring and evaluating project outcomes will be initiated. </w:t>
      </w:r>
    </w:p>
    <w:p w14:paraId="37595418" w14:textId="77777777" w:rsidR="00E17230" w:rsidRPr="002926D7" w:rsidRDefault="00E17230" w:rsidP="002926D7">
      <w:pPr>
        <w:rPr>
          <w:rFonts w:asciiTheme="minorHAnsi" w:hAnsiTheme="minorHAnsi" w:cstheme="minorHAnsi"/>
          <w:szCs w:val="20"/>
        </w:rPr>
      </w:pPr>
    </w:p>
    <w:p w14:paraId="78FBE71F" w14:textId="77777777" w:rsidR="00E17230" w:rsidRPr="002926D7" w:rsidRDefault="00E17230" w:rsidP="002926D7">
      <w:pPr>
        <w:rPr>
          <w:rFonts w:asciiTheme="minorHAnsi" w:hAnsiTheme="minorHAnsi" w:cstheme="minorHAnsi"/>
          <w:b/>
          <w:bCs/>
          <w:szCs w:val="20"/>
        </w:rPr>
      </w:pPr>
      <w:r w:rsidRPr="002926D7">
        <w:rPr>
          <w:rFonts w:asciiTheme="minorHAnsi" w:hAnsiTheme="minorHAnsi" w:cstheme="minorHAnsi"/>
          <w:b/>
          <w:bCs/>
          <w:szCs w:val="20"/>
        </w:rPr>
        <w:t>OP8 M&amp;E Procedures</w:t>
      </w:r>
    </w:p>
    <w:p w14:paraId="72DE7842" w14:textId="77777777" w:rsidR="00E17230" w:rsidRPr="002926D7" w:rsidRDefault="00E17230" w:rsidP="002926D7">
      <w:pPr>
        <w:rPr>
          <w:rFonts w:asciiTheme="minorHAnsi" w:hAnsiTheme="minorHAnsi" w:cstheme="minorHAnsi"/>
          <w:szCs w:val="20"/>
        </w:rPr>
      </w:pPr>
    </w:p>
    <w:p w14:paraId="502D3AB3" w14:textId="68E1B762" w:rsidR="00E17230" w:rsidRPr="002926D7" w:rsidRDefault="00E17230" w:rsidP="002926D7">
      <w:pPr>
        <w:numPr>
          <w:ilvl w:val="0"/>
          <w:numId w:val="8"/>
        </w:numPr>
        <w:ind w:left="0" w:firstLine="0"/>
        <w:rPr>
          <w:rFonts w:asciiTheme="minorHAnsi" w:hAnsiTheme="minorHAnsi" w:cstheme="minorHAnsi"/>
          <w:szCs w:val="20"/>
        </w:rPr>
      </w:pPr>
      <w:r w:rsidRPr="002926D7">
        <w:rPr>
          <w:rFonts w:asciiTheme="minorHAnsi" w:hAnsiTheme="minorHAnsi" w:cstheme="minorHAnsi"/>
          <w:szCs w:val="20"/>
        </w:rPr>
        <w:t>In OP8, SGP will carry out a set of M&amp;E procedures which will actively deploy UNDP Country offices and SGP National Coordinators (called as SGP country teams in note below) and SGP National Steering Committees.</w:t>
      </w:r>
    </w:p>
    <w:p w14:paraId="7231B44C" w14:textId="77777777" w:rsidR="00E17230" w:rsidRPr="002926D7" w:rsidRDefault="00E17230" w:rsidP="002926D7">
      <w:pPr>
        <w:pStyle w:val="Default"/>
        <w:numPr>
          <w:ilvl w:val="0"/>
          <w:numId w:val="34"/>
        </w:numPr>
        <w:spacing w:before="120"/>
        <w:jc w:val="both"/>
        <w:rPr>
          <w:rFonts w:asciiTheme="minorHAnsi" w:hAnsiTheme="minorHAnsi" w:cstheme="minorHAnsi"/>
          <w:sz w:val="20"/>
          <w:szCs w:val="20"/>
        </w:rPr>
      </w:pPr>
      <w:r w:rsidRPr="002926D7">
        <w:rPr>
          <w:rFonts w:asciiTheme="minorHAnsi" w:hAnsiTheme="minorHAnsi" w:cstheme="minorHAnsi"/>
          <w:sz w:val="20"/>
          <w:szCs w:val="20"/>
        </w:rPr>
        <w:t xml:space="preserve">SGP focuses on participatory M&amp;E with grantee ownership. The SGP country team typically </w:t>
      </w:r>
      <w:r w:rsidRPr="002926D7">
        <w:rPr>
          <w:rFonts w:asciiTheme="minorHAnsi" w:hAnsiTheme="minorHAnsi" w:cstheme="minorHAnsi"/>
          <w:i/>
          <w:iCs/>
          <w:sz w:val="20"/>
          <w:szCs w:val="20"/>
          <w:u w:val="single"/>
        </w:rPr>
        <w:t>organizes a workshop at the inception of a grant distribution cycle</w:t>
      </w:r>
      <w:r w:rsidRPr="002926D7">
        <w:rPr>
          <w:rFonts w:asciiTheme="minorHAnsi" w:hAnsiTheme="minorHAnsi" w:cstheme="minorHAnsi"/>
          <w:sz w:val="20"/>
          <w:szCs w:val="20"/>
        </w:rPr>
        <w:t xml:space="preserve"> to convene the cohort of grantees with the objective to: (i) build common understanding and capacities to undertake quality M&amp;E activities; (ii) create early synergies between grantees for deeper impact, including broader adoption; (iii) enable a forum of learning from both success and failures. Such workshops will support in familiarizing stakeholders with the programme's strategy, discuss contextual changes, clarify team roles, review the results framework and monitoring plan, and review financial reporting procedures. </w:t>
      </w:r>
    </w:p>
    <w:p w14:paraId="77DECE8D" w14:textId="77777777" w:rsidR="00E17230" w:rsidRPr="002926D7" w:rsidRDefault="00E17230" w:rsidP="002926D7">
      <w:pPr>
        <w:pStyle w:val="Default"/>
        <w:numPr>
          <w:ilvl w:val="0"/>
          <w:numId w:val="34"/>
        </w:numPr>
        <w:spacing w:before="120"/>
        <w:jc w:val="both"/>
        <w:rPr>
          <w:rFonts w:asciiTheme="minorHAnsi" w:hAnsiTheme="minorHAnsi" w:cstheme="minorHAnsi"/>
          <w:sz w:val="20"/>
          <w:szCs w:val="20"/>
        </w:rPr>
      </w:pPr>
      <w:r w:rsidRPr="002926D7">
        <w:rPr>
          <w:rFonts w:asciiTheme="minorHAnsi" w:hAnsiTheme="minorHAnsi" w:cstheme="minorHAnsi"/>
          <w:sz w:val="20"/>
          <w:szCs w:val="20"/>
        </w:rPr>
        <w:t xml:space="preserve">The </w:t>
      </w:r>
      <w:r w:rsidRPr="002926D7">
        <w:rPr>
          <w:rFonts w:asciiTheme="minorHAnsi" w:hAnsiTheme="minorHAnsi" w:cstheme="minorHAnsi"/>
          <w:i/>
          <w:iCs/>
          <w:sz w:val="20"/>
          <w:szCs w:val="20"/>
          <w:u w:val="single"/>
        </w:rPr>
        <w:t>GEF Core Indicators</w:t>
      </w:r>
      <w:r w:rsidRPr="002926D7">
        <w:rPr>
          <w:rFonts w:asciiTheme="minorHAnsi" w:hAnsiTheme="minorHAnsi" w:cstheme="minorHAnsi"/>
          <w:sz w:val="20"/>
          <w:szCs w:val="20"/>
        </w:rPr>
        <w:t xml:space="preserve"> will be employed to monitor global environmental benefits with relevant data collected at each project levels while ensuring a robust evidential basis. </w:t>
      </w:r>
    </w:p>
    <w:p w14:paraId="39A6FCAC" w14:textId="77777777" w:rsidR="00E17230" w:rsidRPr="002926D7" w:rsidRDefault="00E17230" w:rsidP="002926D7">
      <w:pPr>
        <w:pStyle w:val="Default"/>
        <w:numPr>
          <w:ilvl w:val="0"/>
          <w:numId w:val="34"/>
        </w:numPr>
        <w:spacing w:before="120"/>
        <w:jc w:val="both"/>
        <w:rPr>
          <w:rFonts w:asciiTheme="minorHAnsi" w:hAnsiTheme="minorHAnsi" w:cstheme="minorHAnsi"/>
          <w:sz w:val="20"/>
          <w:szCs w:val="20"/>
        </w:rPr>
      </w:pPr>
      <w:r w:rsidRPr="002926D7">
        <w:rPr>
          <w:rFonts w:asciiTheme="minorHAnsi" w:hAnsiTheme="minorHAnsi" w:cstheme="minorHAnsi"/>
          <w:sz w:val="20"/>
          <w:szCs w:val="20"/>
        </w:rPr>
        <w:t xml:space="preserve">At the project level, a measurement system exists to harmonize reporting across the SGP portfolio. Each of the SGP projects picks from a roster of project indicators, including both global environmental and socio-economic indicators, and report results as guided by the SGP M&amp;E guidelines, and the Project Framework for OP8. </w:t>
      </w:r>
    </w:p>
    <w:p w14:paraId="5638194A" w14:textId="77777777" w:rsidR="00E17230" w:rsidRPr="002926D7" w:rsidRDefault="00E17230" w:rsidP="002926D7">
      <w:pPr>
        <w:pStyle w:val="Default"/>
        <w:numPr>
          <w:ilvl w:val="0"/>
          <w:numId w:val="34"/>
        </w:numPr>
        <w:spacing w:before="120"/>
        <w:jc w:val="both"/>
        <w:rPr>
          <w:rFonts w:asciiTheme="minorHAnsi" w:hAnsiTheme="minorHAnsi" w:cstheme="minorHAnsi"/>
          <w:sz w:val="20"/>
          <w:szCs w:val="20"/>
        </w:rPr>
      </w:pPr>
      <w:r w:rsidRPr="002926D7">
        <w:rPr>
          <w:rFonts w:asciiTheme="minorHAnsi" w:hAnsiTheme="minorHAnsi" w:cstheme="minorHAnsi"/>
          <w:sz w:val="20"/>
          <w:szCs w:val="20"/>
        </w:rPr>
        <w:t xml:space="preserve">At country level, SGP country programme teams, as well as the NSC, undertake monitoring of grant portfolio on an ongoing basis. Close and regular collaboration are undertaken between NC and NSCs on M&amp;E activities at the country level. Periodic reviews and monitoring of the Country Programme Strategy implementation is undertaken during the operational phase. This enables (i) verifiable and structured adjustments to the CPS to take place, including any course correction in terms of ongoing projects and advice on the selection of new projects; (ii) noting early results for broader adoption and partnership development; and (iii) identification of risks. Regular updates to all information on SGP database is also made as part of country level work. </w:t>
      </w:r>
    </w:p>
    <w:p w14:paraId="6A9F9D48" w14:textId="77777777" w:rsidR="00E17230" w:rsidRPr="002926D7" w:rsidRDefault="00E17230" w:rsidP="002926D7">
      <w:pPr>
        <w:pStyle w:val="Default"/>
        <w:numPr>
          <w:ilvl w:val="0"/>
          <w:numId w:val="34"/>
        </w:numPr>
        <w:spacing w:before="120"/>
        <w:jc w:val="both"/>
        <w:rPr>
          <w:rFonts w:asciiTheme="minorHAnsi" w:hAnsiTheme="minorHAnsi" w:cstheme="minorHAnsi"/>
          <w:sz w:val="20"/>
          <w:szCs w:val="20"/>
        </w:rPr>
      </w:pPr>
      <w:r w:rsidRPr="002926D7">
        <w:rPr>
          <w:rFonts w:asciiTheme="minorHAnsi" w:hAnsiTheme="minorHAnsi" w:cstheme="minorHAnsi"/>
          <w:sz w:val="20"/>
          <w:szCs w:val="20"/>
        </w:rPr>
        <w:t>The programme will continue to provide annual monitoring report along with the new introduction of programme implementation reports (PIRs)- meeting necessary accountability requirements along with a basis to undertake adaptive management, examine lessons learned and explore scaling-up opportunities.</w:t>
      </w:r>
    </w:p>
    <w:p w14:paraId="39B02F4D" w14:textId="60521A4C" w:rsidR="00551649" w:rsidRPr="002926D7" w:rsidRDefault="00E17230" w:rsidP="002926D7">
      <w:pPr>
        <w:pStyle w:val="Default"/>
        <w:numPr>
          <w:ilvl w:val="0"/>
          <w:numId w:val="34"/>
        </w:numPr>
        <w:spacing w:before="120"/>
        <w:jc w:val="both"/>
        <w:rPr>
          <w:rFonts w:asciiTheme="minorHAnsi" w:hAnsiTheme="minorHAnsi" w:cstheme="minorHAnsi"/>
          <w:sz w:val="20"/>
          <w:szCs w:val="20"/>
        </w:rPr>
        <w:sectPr w:rsidR="00551649" w:rsidRPr="002926D7" w:rsidSect="00294901">
          <w:headerReference w:type="default" r:id="rId25"/>
          <w:footerReference w:type="default" r:id="rId26"/>
          <w:pgSz w:w="12240" w:h="15840" w:code="1"/>
          <w:pgMar w:top="1440" w:right="1440" w:bottom="1440" w:left="1440" w:header="720" w:footer="432" w:gutter="0"/>
          <w:cols w:space="708"/>
          <w:titlePg/>
          <w:docGrid w:linePitch="360"/>
        </w:sectPr>
      </w:pPr>
      <w:r w:rsidRPr="002926D7">
        <w:rPr>
          <w:rFonts w:asciiTheme="minorHAnsi" w:hAnsiTheme="minorHAnsi" w:cstheme="minorHAnsi"/>
          <w:sz w:val="20"/>
          <w:szCs w:val="20"/>
        </w:rPr>
        <w:t>Besides an Independent Joint Evaluation of the Programme, a Mid-term Review (MTR) will be conducted by the programme's midpoint, and a Terminal Evaluation (TE) will be carried out upon completion of major programme outputs</w:t>
      </w:r>
      <w:r w:rsidR="0EF5A594" w:rsidRPr="002926D7">
        <w:rPr>
          <w:rFonts w:cs="Segoe UI"/>
          <w:color w:val="000000" w:themeColor="text1"/>
        </w:rPr>
        <w:t>.</w:t>
      </w:r>
    </w:p>
    <w:p w14:paraId="5448E5D3" w14:textId="05329795" w:rsidR="008F2FA8" w:rsidRPr="002926D7" w:rsidRDefault="008F2FA8" w:rsidP="002926D7">
      <w:pPr>
        <w:numPr>
          <w:ilvl w:val="0"/>
          <w:numId w:val="8"/>
        </w:numPr>
        <w:ind w:left="0" w:firstLine="0"/>
        <w:rPr>
          <w:rFonts w:cs="Calibri"/>
        </w:rPr>
      </w:pPr>
      <w:bookmarkStart w:id="137" w:name="_Hlk127096568"/>
      <w:r w:rsidRPr="002926D7">
        <w:rPr>
          <w:rFonts w:cs="Calibri"/>
        </w:rPr>
        <w:lastRenderedPageBreak/>
        <w:t xml:space="preserve">In accordance with UNDP’s programming policies and procedures, the </w:t>
      </w:r>
      <w:r w:rsidR="00AA1DB2" w:rsidRPr="002926D7">
        <w:rPr>
          <w:rFonts w:cs="Calibri"/>
        </w:rPr>
        <w:t xml:space="preserve">programme </w:t>
      </w:r>
      <w:r w:rsidRPr="002926D7">
        <w:rPr>
          <w:rFonts w:cs="Calibri"/>
        </w:rPr>
        <w:t>will be monitored through the following monitoring and evaluation plans.</w:t>
      </w:r>
    </w:p>
    <w:p w14:paraId="24F4896D" w14:textId="77777777" w:rsidR="008F2FA8" w:rsidRPr="002926D7" w:rsidRDefault="008F2FA8" w:rsidP="002926D7">
      <w:pPr>
        <w:rPr>
          <w:rFonts w:cs="Calibri"/>
          <w:b/>
          <w:bCs/>
          <w:iCs/>
          <w:szCs w:val="20"/>
        </w:rPr>
      </w:pPr>
    </w:p>
    <w:p w14:paraId="53FCDBB1" w14:textId="220E9846" w:rsidR="00551649" w:rsidRPr="002926D7" w:rsidRDefault="00551649" w:rsidP="002926D7">
      <w:pPr>
        <w:rPr>
          <w:rFonts w:cs="Calibri"/>
          <w:b/>
          <w:bCs/>
          <w:iCs/>
          <w:szCs w:val="20"/>
        </w:rPr>
      </w:pPr>
      <w:r w:rsidRPr="002926D7">
        <w:rPr>
          <w:rFonts w:cs="Calibri"/>
          <w:b/>
          <w:bCs/>
          <w:iCs/>
          <w:szCs w:val="20"/>
        </w:rPr>
        <w:t>Monitoring Plan:</w:t>
      </w:r>
    </w:p>
    <w:p w14:paraId="19B822B8" w14:textId="77777777" w:rsidR="00551649" w:rsidRPr="002926D7" w:rsidRDefault="00551649" w:rsidP="002926D7">
      <w:pPr>
        <w:rPr>
          <w:rFonts w:cs="Calibri"/>
          <w:b/>
          <w:bCs/>
          <w:iCs/>
          <w:szCs w:val="20"/>
        </w:rPr>
      </w:pPr>
    </w:p>
    <w:p w14:paraId="372ACC4B" w14:textId="6940CEBB" w:rsidR="001F024F" w:rsidRPr="002926D7" w:rsidRDefault="00E17230" w:rsidP="002926D7">
      <w:pPr>
        <w:numPr>
          <w:ilvl w:val="0"/>
          <w:numId w:val="8"/>
        </w:numPr>
        <w:ind w:left="0" w:firstLine="0"/>
        <w:rPr>
          <w:rFonts w:cs="Calibri"/>
          <w:iCs/>
          <w:szCs w:val="20"/>
        </w:rPr>
      </w:pPr>
      <w:r w:rsidRPr="002926D7">
        <w:rPr>
          <w:rFonts w:cstheme="minorHAnsi"/>
        </w:rPr>
        <w:t>The project results, corresponding indicators and mid-term and end-of-project targets in the project results framework will be monitored by the Central Programme Management Team (CPMT) annually, and will be reported in the GEF AMR and PIR every year, and will be evaluated periodically during project implementation. If baseline data for some of the results indicators is not yet available, it will be collected during the first year of project implementation. Project risks, as outlined in the risk register, will be monitored quarterly</w:t>
      </w:r>
      <w:r w:rsidR="00551649" w:rsidRPr="002926D7">
        <w:rPr>
          <w:rFonts w:cs="Calibri"/>
        </w:rPr>
        <w:t>.</w:t>
      </w:r>
    </w:p>
    <w:p w14:paraId="1598F162" w14:textId="77777777" w:rsidR="00E17230" w:rsidRPr="002926D7" w:rsidRDefault="00E17230" w:rsidP="002926D7">
      <w:pPr>
        <w:rPr>
          <w:rFonts w:cs="Calibri"/>
        </w:rPr>
      </w:pPr>
    </w:p>
    <w:tbl>
      <w:tblPr>
        <w:tblW w:w="14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20" w:firstRow="1" w:lastRow="0" w:firstColumn="0" w:lastColumn="0" w:noHBand="1" w:noVBand="1"/>
      </w:tblPr>
      <w:tblGrid>
        <w:gridCol w:w="1411"/>
        <w:gridCol w:w="1399"/>
        <w:gridCol w:w="3150"/>
        <w:gridCol w:w="1719"/>
        <w:gridCol w:w="2329"/>
        <w:gridCol w:w="1207"/>
        <w:gridCol w:w="1682"/>
        <w:gridCol w:w="1588"/>
      </w:tblGrid>
      <w:tr w:rsidR="00E17230" w:rsidRPr="002926D7" w14:paraId="3EDAA7F6" w14:textId="77777777" w:rsidTr="000B142C">
        <w:trPr>
          <w:trHeight w:val="20"/>
          <w:tblHeader/>
          <w:jc w:val="center"/>
        </w:trPr>
        <w:tc>
          <w:tcPr>
            <w:tcW w:w="14485" w:type="dxa"/>
            <w:gridSpan w:val="8"/>
            <w:shd w:val="clear" w:color="auto" w:fill="E7E6E6" w:themeFill="background2"/>
            <w:vAlign w:val="center"/>
          </w:tcPr>
          <w:p w14:paraId="7DEB16E7" w14:textId="77777777" w:rsidR="00E17230" w:rsidRPr="002926D7" w:rsidRDefault="00E17230" w:rsidP="002926D7">
            <w:pPr>
              <w:jc w:val="left"/>
              <w:rPr>
                <w:rFonts w:cs="Calibri"/>
                <w:b/>
                <w:sz w:val="18"/>
                <w:szCs w:val="18"/>
              </w:rPr>
            </w:pPr>
            <w:r w:rsidRPr="002926D7">
              <w:rPr>
                <w:rFonts w:cs="Calibri"/>
                <w:b/>
                <w:sz w:val="18"/>
                <w:szCs w:val="18"/>
              </w:rPr>
              <w:t>Monitoring Activity</w:t>
            </w:r>
          </w:p>
        </w:tc>
      </w:tr>
      <w:tr w:rsidR="000B142C" w:rsidRPr="002926D7" w14:paraId="3A8DDCB0" w14:textId="77777777" w:rsidTr="00BB55E0">
        <w:trPr>
          <w:trHeight w:val="20"/>
          <w:tblHeader/>
          <w:jc w:val="center"/>
        </w:trPr>
        <w:tc>
          <w:tcPr>
            <w:tcW w:w="1411" w:type="dxa"/>
            <w:shd w:val="clear" w:color="auto" w:fill="E7E6E6" w:themeFill="background2"/>
            <w:vAlign w:val="center"/>
          </w:tcPr>
          <w:p w14:paraId="656A4E93" w14:textId="77777777" w:rsidR="00E17230" w:rsidRPr="002926D7" w:rsidRDefault="00E17230" w:rsidP="002926D7">
            <w:pPr>
              <w:jc w:val="left"/>
              <w:rPr>
                <w:rFonts w:cs="Calibri"/>
                <w:b/>
                <w:sz w:val="18"/>
                <w:szCs w:val="18"/>
              </w:rPr>
            </w:pPr>
          </w:p>
        </w:tc>
        <w:tc>
          <w:tcPr>
            <w:tcW w:w="1399" w:type="dxa"/>
            <w:shd w:val="clear" w:color="auto" w:fill="E7E6E6" w:themeFill="background2"/>
            <w:vAlign w:val="center"/>
          </w:tcPr>
          <w:p w14:paraId="3A553ECF" w14:textId="77777777" w:rsidR="00E17230" w:rsidRPr="002926D7" w:rsidRDefault="00E17230" w:rsidP="002926D7">
            <w:pPr>
              <w:jc w:val="left"/>
              <w:rPr>
                <w:rFonts w:cs="Calibri"/>
                <w:b/>
                <w:sz w:val="18"/>
                <w:szCs w:val="18"/>
              </w:rPr>
            </w:pPr>
            <w:r w:rsidRPr="002926D7">
              <w:rPr>
                <w:rFonts w:cs="Calibri"/>
                <w:b/>
                <w:sz w:val="18"/>
                <w:szCs w:val="18"/>
              </w:rPr>
              <w:t>Results Monitoring</w:t>
            </w:r>
          </w:p>
        </w:tc>
        <w:tc>
          <w:tcPr>
            <w:tcW w:w="3150" w:type="dxa"/>
            <w:shd w:val="clear" w:color="auto" w:fill="E7E6E6" w:themeFill="background2"/>
            <w:vAlign w:val="center"/>
          </w:tcPr>
          <w:p w14:paraId="73576A21" w14:textId="77777777" w:rsidR="00E17230" w:rsidRPr="002926D7" w:rsidRDefault="00E17230" w:rsidP="002926D7">
            <w:pPr>
              <w:jc w:val="left"/>
              <w:rPr>
                <w:rFonts w:cs="Calibri"/>
                <w:b/>
                <w:sz w:val="18"/>
                <w:szCs w:val="18"/>
              </w:rPr>
            </w:pPr>
            <w:r w:rsidRPr="002926D7">
              <w:rPr>
                <w:rFonts w:cs="Calibri"/>
                <w:b/>
                <w:sz w:val="18"/>
                <w:szCs w:val="18"/>
              </w:rPr>
              <w:t>Indicators</w:t>
            </w:r>
          </w:p>
        </w:tc>
        <w:tc>
          <w:tcPr>
            <w:tcW w:w="1719" w:type="dxa"/>
            <w:shd w:val="clear" w:color="auto" w:fill="E7E6E6" w:themeFill="background2"/>
            <w:vAlign w:val="center"/>
          </w:tcPr>
          <w:p w14:paraId="4A356471" w14:textId="77777777" w:rsidR="00E17230" w:rsidRPr="002926D7" w:rsidRDefault="00E17230" w:rsidP="002926D7">
            <w:pPr>
              <w:jc w:val="left"/>
              <w:rPr>
                <w:rFonts w:cs="Calibri"/>
                <w:b/>
                <w:sz w:val="18"/>
                <w:szCs w:val="18"/>
              </w:rPr>
            </w:pPr>
            <w:r w:rsidRPr="002926D7">
              <w:rPr>
                <w:rFonts w:cs="Calibri"/>
                <w:b/>
                <w:sz w:val="18"/>
                <w:szCs w:val="18"/>
              </w:rPr>
              <w:t>Targets</w:t>
            </w:r>
          </w:p>
        </w:tc>
        <w:tc>
          <w:tcPr>
            <w:tcW w:w="2329" w:type="dxa"/>
            <w:shd w:val="clear" w:color="auto" w:fill="E7E6E6" w:themeFill="background2"/>
            <w:vAlign w:val="center"/>
          </w:tcPr>
          <w:p w14:paraId="3A4CA759" w14:textId="12966FEC" w:rsidR="00E17230" w:rsidRPr="002926D7" w:rsidRDefault="00E17230" w:rsidP="002926D7">
            <w:pPr>
              <w:jc w:val="left"/>
              <w:rPr>
                <w:rFonts w:cs="Calibri"/>
                <w:b/>
                <w:sz w:val="18"/>
                <w:szCs w:val="18"/>
              </w:rPr>
            </w:pPr>
            <w:r w:rsidRPr="002926D7">
              <w:rPr>
                <w:rFonts w:cs="Calibri"/>
                <w:b/>
                <w:sz w:val="18"/>
                <w:szCs w:val="18"/>
              </w:rPr>
              <w:t>Description of indicators and targets</w:t>
            </w:r>
          </w:p>
        </w:tc>
        <w:tc>
          <w:tcPr>
            <w:tcW w:w="1207" w:type="dxa"/>
            <w:shd w:val="clear" w:color="auto" w:fill="E7E6E6" w:themeFill="background2"/>
            <w:vAlign w:val="center"/>
          </w:tcPr>
          <w:p w14:paraId="29BCCF69" w14:textId="77777777" w:rsidR="00E17230" w:rsidRPr="002926D7" w:rsidRDefault="00E17230" w:rsidP="002926D7">
            <w:pPr>
              <w:jc w:val="left"/>
              <w:rPr>
                <w:rFonts w:cs="Calibri"/>
                <w:b/>
                <w:sz w:val="18"/>
                <w:szCs w:val="18"/>
              </w:rPr>
            </w:pPr>
            <w:r w:rsidRPr="002926D7">
              <w:rPr>
                <w:rFonts w:cs="Calibri"/>
                <w:b/>
                <w:sz w:val="18"/>
                <w:szCs w:val="18"/>
              </w:rPr>
              <w:t>Frequency</w:t>
            </w:r>
          </w:p>
          <w:p w14:paraId="4B6DACF6" w14:textId="77777777" w:rsidR="00E17230" w:rsidRPr="002926D7" w:rsidRDefault="00E17230" w:rsidP="002926D7">
            <w:pPr>
              <w:jc w:val="left"/>
              <w:rPr>
                <w:rFonts w:cs="Calibri"/>
                <w:b/>
                <w:sz w:val="18"/>
                <w:szCs w:val="18"/>
              </w:rPr>
            </w:pPr>
          </w:p>
        </w:tc>
        <w:tc>
          <w:tcPr>
            <w:tcW w:w="1682" w:type="dxa"/>
            <w:shd w:val="clear" w:color="auto" w:fill="E7E6E6" w:themeFill="background2"/>
            <w:vAlign w:val="center"/>
          </w:tcPr>
          <w:p w14:paraId="49912D96" w14:textId="77777777" w:rsidR="00E17230" w:rsidRPr="002926D7" w:rsidRDefault="00E17230" w:rsidP="002926D7">
            <w:pPr>
              <w:jc w:val="left"/>
              <w:rPr>
                <w:rFonts w:cs="Calibri"/>
                <w:b/>
                <w:sz w:val="18"/>
                <w:szCs w:val="18"/>
              </w:rPr>
            </w:pPr>
            <w:r w:rsidRPr="002926D7">
              <w:rPr>
                <w:rFonts w:cs="Calibri"/>
                <w:b/>
                <w:sz w:val="18"/>
                <w:szCs w:val="18"/>
              </w:rPr>
              <w:t>Responsible for data collection</w:t>
            </w:r>
          </w:p>
        </w:tc>
        <w:tc>
          <w:tcPr>
            <w:tcW w:w="1588" w:type="dxa"/>
            <w:shd w:val="clear" w:color="auto" w:fill="E7E6E6" w:themeFill="background2"/>
            <w:vAlign w:val="center"/>
          </w:tcPr>
          <w:p w14:paraId="618EB3A0" w14:textId="77777777" w:rsidR="00E17230" w:rsidRPr="002926D7" w:rsidRDefault="00E17230" w:rsidP="002926D7">
            <w:pPr>
              <w:jc w:val="left"/>
              <w:rPr>
                <w:rFonts w:cs="Calibri"/>
                <w:b/>
                <w:sz w:val="18"/>
                <w:szCs w:val="18"/>
              </w:rPr>
            </w:pPr>
            <w:r w:rsidRPr="002926D7">
              <w:rPr>
                <w:rFonts w:cs="Calibri"/>
                <w:b/>
                <w:sz w:val="18"/>
                <w:szCs w:val="18"/>
              </w:rPr>
              <w:t>Means of verification</w:t>
            </w:r>
          </w:p>
        </w:tc>
      </w:tr>
      <w:tr w:rsidR="00BB55E0" w:rsidRPr="002926D7" w14:paraId="21326C59" w14:textId="77777777" w:rsidTr="00BB55E0">
        <w:trPr>
          <w:trHeight w:val="20"/>
          <w:jc w:val="center"/>
        </w:trPr>
        <w:tc>
          <w:tcPr>
            <w:tcW w:w="1411" w:type="dxa"/>
            <w:vMerge w:val="restart"/>
          </w:tcPr>
          <w:p w14:paraId="6F58246D" w14:textId="77777777" w:rsidR="00BB55E0" w:rsidRPr="002926D7" w:rsidRDefault="00BB55E0" w:rsidP="002926D7">
            <w:pPr>
              <w:jc w:val="left"/>
              <w:rPr>
                <w:rFonts w:cs="Arial"/>
                <w:b/>
                <w:bCs/>
                <w:sz w:val="18"/>
                <w:szCs w:val="18"/>
              </w:rPr>
            </w:pPr>
            <w:r w:rsidRPr="002926D7">
              <w:rPr>
                <w:rFonts w:cs="Arial"/>
                <w:b/>
                <w:bCs/>
                <w:sz w:val="18"/>
                <w:szCs w:val="18"/>
              </w:rPr>
              <w:t>Track results progress</w:t>
            </w:r>
          </w:p>
        </w:tc>
        <w:tc>
          <w:tcPr>
            <w:tcW w:w="1399" w:type="dxa"/>
            <w:vMerge w:val="restart"/>
          </w:tcPr>
          <w:p w14:paraId="237A574B" w14:textId="77777777" w:rsidR="00BB55E0" w:rsidRPr="002926D7" w:rsidRDefault="00BB55E0" w:rsidP="002926D7">
            <w:pPr>
              <w:jc w:val="left"/>
              <w:rPr>
                <w:rFonts w:cs="Arial"/>
                <w:sz w:val="18"/>
                <w:szCs w:val="18"/>
              </w:rPr>
            </w:pPr>
            <w:r w:rsidRPr="002926D7">
              <w:rPr>
                <w:rFonts w:eastAsia="Calibri" w:cstheme="minorHAnsi"/>
                <w:noProof/>
                <w:color w:val="000000" w:themeColor="text1"/>
                <w:sz w:val="18"/>
                <w:szCs w:val="18"/>
              </w:rPr>
              <w:t>Local CSOs and CBOs in landscapes-seascapes around the world access grant financing and technical assistance, including capacity development and knowledge sharing to maintain and enhance their socio-ecological resilience, well-being and socio-economic conditions for Global Environmental Benefits.</w:t>
            </w:r>
          </w:p>
        </w:tc>
        <w:tc>
          <w:tcPr>
            <w:tcW w:w="3150" w:type="dxa"/>
          </w:tcPr>
          <w:p w14:paraId="2773AF17" w14:textId="77777777" w:rsidR="00BB55E0" w:rsidRPr="002926D7" w:rsidRDefault="00BB55E0" w:rsidP="002926D7">
            <w:pPr>
              <w:jc w:val="left"/>
              <w:rPr>
                <w:rFonts w:cs="Calibri"/>
                <w:sz w:val="18"/>
                <w:szCs w:val="18"/>
              </w:rPr>
            </w:pPr>
            <w:r w:rsidRPr="002926D7">
              <w:rPr>
                <w:rFonts w:cstheme="minorHAnsi"/>
                <w:b/>
                <w:bCs/>
                <w:sz w:val="18"/>
                <w:szCs w:val="18"/>
              </w:rPr>
              <w:t>Mandatory GEF-8 Core Indicator 11: People benefitting from GEF-financed investments disaggregated by sex</w:t>
            </w:r>
            <w:r w:rsidRPr="002926D7">
              <w:rPr>
                <w:rFonts w:cstheme="minorHAnsi"/>
                <w:bCs/>
                <w:sz w:val="18"/>
                <w:szCs w:val="18"/>
              </w:rPr>
              <w:t xml:space="preserve"> (count)</w:t>
            </w:r>
            <w:r w:rsidRPr="002926D7">
              <w:rPr>
                <w:rFonts w:cstheme="minorHAnsi"/>
                <w:sz w:val="18"/>
                <w:szCs w:val="18"/>
                <w:vertAlign w:val="superscript"/>
              </w:rPr>
              <w:footnoteReference w:id="12"/>
            </w:r>
          </w:p>
        </w:tc>
        <w:tc>
          <w:tcPr>
            <w:tcW w:w="1719" w:type="dxa"/>
          </w:tcPr>
          <w:p w14:paraId="1C10CCD7" w14:textId="77777777" w:rsidR="00BB55E0" w:rsidRPr="002926D7" w:rsidRDefault="00BB55E0" w:rsidP="002926D7">
            <w:pPr>
              <w:jc w:val="left"/>
              <w:rPr>
                <w:rFonts w:cs="Calibri"/>
                <w:sz w:val="18"/>
                <w:szCs w:val="18"/>
              </w:rPr>
            </w:pPr>
            <w:r w:rsidRPr="002926D7">
              <w:rPr>
                <w:rFonts w:cstheme="minorHAnsi"/>
                <w:bCs/>
                <w:sz w:val="18"/>
                <w:szCs w:val="18"/>
              </w:rPr>
              <w:t>500,000 (of whom 250,000 are female)</w:t>
            </w:r>
          </w:p>
        </w:tc>
        <w:tc>
          <w:tcPr>
            <w:tcW w:w="2329" w:type="dxa"/>
          </w:tcPr>
          <w:p w14:paraId="4B8F1285" w14:textId="77777777" w:rsidR="00BB55E0" w:rsidRPr="002926D7" w:rsidRDefault="00BB55E0" w:rsidP="002926D7">
            <w:pPr>
              <w:jc w:val="left"/>
              <w:rPr>
                <w:rFonts w:cs="Calibri"/>
                <w:sz w:val="18"/>
                <w:szCs w:val="18"/>
              </w:rPr>
            </w:pPr>
            <w:r w:rsidRPr="002926D7">
              <w:rPr>
                <w:rFonts w:eastAsia="Times New Roman" w:cstheme="minorHAnsi"/>
                <w:color w:val="000000"/>
                <w:sz w:val="18"/>
                <w:szCs w:val="18"/>
              </w:rPr>
              <w:t>Reported as part of GEF-8 core indicators SGP aligned with</w:t>
            </w:r>
          </w:p>
        </w:tc>
        <w:tc>
          <w:tcPr>
            <w:tcW w:w="1207" w:type="dxa"/>
          </w:tcPr>
          <w:p w14:paraId="4AC65DEB" w14:textId="77777777" w:rsidR="00BB55E0" w:rsidRPr="002926D7" w:rsidRDefault="00BB55E0" w:rsidP="002926D7">
            <w:pPr>
              <w:jc w:val="left"/>
              <w:rPr>
                <w:rFonts w:cs="Calibri"/>
                <w:sz w:val="18"/>
                <w:szCs w:val="18"/>
              </w:rPr>
            </w:pPr>
            <w:r w:rsidRPr="002926D7">
              <w:rPr>
                <w:rFonts w:cs="Calibri"/>
                <w:sz w:val="18"/>
                <w:szCs w:val="18"/>
              </w:rPr>
              <w:t>Annually reported in AMR; (r</w:t>
            </w:r>
            <w:r w:rsidRPr="002926D7">
              <w:rPr>
                <w:rFonts w:cs="Arial"/>
                <w:sz w:val="18"/>
                <w:szCs w:val="18"/>
              </w:rPr>
              <w:t xml:space="preserve">eported in Development Objective (DO) progress section of the GEF PIR); </w:t>
            </w:r>
            <w:r w:rsidRPr="002926D7">
              <w:rPr>
                <w:rFonts w:cs="Calibri"/>
                <w:sz w:val="18"/>
                <w:szCs w:val="18"/>
              </w:rPr>
              <w:t>mid-term, closure</w:t>
            </w:r>
          </w:p>
        </w:tc>
        <w:tc>
          <w:tcPr>
            <w:tcW w:w="1682" w:type="dxa"/>
          </w:tcPr>
          <w:p w14:paraId="370DE5E6" w14:textId="77777777" w:rsidR="00BB55E0" w:rsidRPr="002926D7" w:rsidRDefault="00BB55E0" w:rsidP="002926D7">
            <w:pPr>
              <w:jc w:val="left"/>
              <w:rPr>
                <w:rFonts w:cs="Calibri"/>
                <w:sz w:val="18"/>
                <w:szCs w:val="18"/>
              </w:rPr>
            </w:pPr>
            <w:r w:rsidRPr="002926D7">
              <w:rPr>
                <w:rFonts w:cs="Calibri"/>
                <w:sz w:val="18"/>
                <w:szCs w:val="18"/>
              </w:rPr>
              <w:t>SGP National Coordinators; UNDP Country Office</w:t>
            </w:r>
          </w:p>
          <w:p w14:paraId="2B39871E" w14:textId="77777777" w:rsidR="00BB55E0" w:rsidRPr="002926D7" w:rsidRDefault="00BB55E0" w:rsidP="002926D7">
            <w:pPr>
              <w:jc w:val="left"/>
              <w:rPr>
                <w:rFonts w:cs="Calibri"/>
                <w:sz w:val="18"/>
                <w:szCs w:val="18"/>
              </w:rPr>
            </w:pPr>
          </w:p>
        </w:tc>
        <w:tc>
          <w:tcPr>
            <w:tcW w:w="1588" w:type="dxa"/>
          </w:tcPr>
          <w:p w14:paraId="59014637" w14:textId="77777777" w:rsidR="00BB55E0" w:rsidRPr="002926D7" w:rsidRDefault="00BB55E0" w:rsidP="002926D7">
            <w:pPr>
              <w:jc w:val="left"/>
              <w:rPr>
                <w:rFonts w:cs="Calibri"/>
                <w:sz w:val="18"/>
                <w:szCs w:val="18"/>
              </w:rPr>
            </w:pPr>
            <w:r w:rsidRPr="002926D7">
              <w:rPr>
                <w:rFonts w:cs="Calibri"/>
                <w:sz w:val="18"/>
                <w:szCs w:val="18"/>
              </w:rPr>
              <w:t>AMR; Grantee monitoring reports; Impact reviews; SGP database</w:t>
            </w:r>
          </w:p>
          <w:p w14:paraId="20EF8E4A" w14:textId="77777777" w:rsidR="00BB55E0" w:rsidRPr="002926D7" w:rsidRDefault="00BB55E0" w:rsidP="002926D7">
            <w:pPr>
              <w:jc w:val="left"/>
              <w:rPr>
                <w:rFonts w:cs="Calibri"/>
                <w:sz w:val="18"/>
                <w:szCs w:val="18"/>
              </w:rPr>
            </w:pPr>
          </w:p>
        </w:tc>
      </w:tr>
      <w:tr w:rsidR="00BB55E0" w:rsidRPr="002926D7" w14:paraId="1469971E" w14:textId="77777777" w:rsidTr="00BB55E0">
        <w:trPr>
          <w:trHeight w:val="20"/>
          <w:jc w:val="center"/>
        </w:trPr>
        <w:tc>
          <w:tcPr>
            <w:tcW w:w="1411" w:type="dxa"/>
            <w:vMerge/>
          </w:tcPr>
          <w:p w14:paraId="26736667" w14:textId="77777777" w:rsidR="00BB55E0" w:rsidRPr="002926D7" w:rsidRDefault="00BB55E0" w:rsidP="002926D7">
            <w:pPr>
              <w:jc w:val="left"/>
              <w:rPr>
                <w:rFonts w:cs="Calibri"/>
                <w:b/>
                <w:sz w:val="18"/>
                <w:szCs w:val="18"/>
              </w:rPr>
            </w:pPr>
          </w:p>
        </w:tc>
        <w:tc>
          <w:tcPr>
            <w:tcW w:w="1399" w:type="dxa"/>
            <w:vMerge/>
          </w:tcPr>
          <w:p w14:paraId="342C4F9E" w14:textId="77777777" w:rsidR="00BB55E0" w:rsidRPr="002926D7" w:rsidRDefault="00BB55E0" w:rsidP="002926D7">
            <w:pPr>
              <w:jc w:val="left"/>
              <w:rPr>
                <w:rFonts w:cs="Calibri"/>
                <w:b/>
                <w:sz w:val="18"/>
                <w:szCs w:val="18"/>
              </w:rPr>
            </w:pPr>
          </w:p>
        </w:tc>
        <w:tc>
          <w:tcPr>
            <w:tcW w:w="3150" w:type="dxa"/>
          </w:tcPr>
          <w:p w14:paraId="22F71DD7" w14:textId="77777777" w:rsidR="00BB55E0" w:rsidRPr="002926D7" w:rsidRDefault="00BB55E0" w:rsidP="002926D7">
            <w:pPr>
              <w:jc w:val="left"/>
              <w:rPr>
                <w:rFonts w:cs="Calibri"/>
                <w:b/>
                <w:sz w:val="18"/>
                <w:szCs w:val="18"/>
              </w:rPr>
            </w:pPr>
            <w:r w:rsidRPr="002926D7">
              <w:rPr>
                <w:rFonts w:cstheme="minorHAnsi"/>
                <w:b/>
                <w:bCs/>
                <w:sz w:val="18"/>
                <w:szCs w:val="18"/>
              </w:rPr>
              <w:t>Mandatory GEF Core Indicator 2: Marine protected areas created or under improved management</w:t>
            </w:r>
            <w:r w:rsidRPr="002926D7">
              <w:rPr>
                <w:rFonts w:cstheme="minorHAnsi"/>
                <w:bCs/>
                <w:sz w:val="18"/>
                <w:szCs w:val="18"/>
              </w:rPr>
              <w:t xml:space="preserve"> (hectare)</w:t>
            </w:r>
          </w:p>
        </w:tc>
        <w:tc>
          <w:tcPr>
            <w:tcW w:w="1719" w:type="dxa"/>
          </w:tcPr>
          <w:p w14:paraId="7D4098D8" w14:textId="77777777" w:rsidR="00BB55E0" w:rsidRPr="002926D7" w:rsidRDefault="00BB55E0" w:rsidP="002926D7">
            <w:pPr>
              <w:jc w:val="left"/>
              <w:rPr>
                <w:rFonts w:cs="Calibri"/>
                <w:sz w:val="18"/>
                <w:szCs w:val="18"/>
              </w:rPr>
            </w:pPr>
            <w:r w:rsidRPr="002926D7">
              <w:rPr>
                <w:rFonts w:cstheme="minorHAnsi"/>
                <w:bCs/>
                <w:sz w:val="18"/>
                <w:szCs w:val="18"/>
              </w:rPr>
              <w:t>90,000 ha</w:t>
            </w:r>
          </w:p>
        </w:tc>
        <w:tc>
          <w:tcPr>
            <w:tcW w:w="2329" w:type="dxa"/>
          </w:tcPr>
          <w:p w14:paraId="32348B35" w14:textId="77777777" w:rsidR="00BB55E0" w:rsidRPr="002926D7" w:rsidRDefault="00BB55E0" w:rsidP="002926D7">
            <w:pPr>
              <w:jc w:val="left"/>
              <w:rPr>
                <w:rFonts w:eastAsia="Times New Roman" w:cstheme="minorHAnsi"/>
                <w:color w:val="000000"/>
                <w:sz w:val="18"/>
                <w:szCs w:val="18"/>
              </w:rPr>
            </w:pPr>
            <w:r w:rsidRPr="002926D7">
              <w:rPr>
                <w:rFonts w:eastAsia="Times New Roman" w:cstheme="minorHAnsi"/>
                <w:color w:val="000000"/>
                <w:sz w:val="18"/>
                <w:szCs w:val="18"/>
              </w:rPr>
              <w:t xml:space="preserve">Reported as part of GEF-8 core indicators SGP aligned with </w:t>
            </w:r>
          </w:p>
          <w:p w14:paraId="24CD4A18" w14:textId="77777777" w:rsidR="00BB55E0" w:rsidRPr="002926D7" w:rsidRDefault="00BB55E0" w:rsidP="002926D7">
            <w:pPr>
              <w:jc w:val="left"/>
              <w:rPr>
                <w:rFonts w:cs="Calibri"/>
                <w:sz w:val="18"/>
                <w:szCs w:val="18"/>
              </w:rPr>
            </w:pPr>
          </w:p>
        </w:tc>
        <w:tc>
          <w:tcPr>
            <w:tcW w:w="1207" w:type="dxa"/>
          </w:tcPr>
          <w:p w14:paraId="72A04C63" w14:textId="77777777" w:rsidR="00BB55E0" w:rsidRPr="002926D7" w:rsidRDefault="00BB55E0" w:rsidP="002926D7">
            <w:pPr>
              <w:jc w:val="left"/>
              <w:rPr>
                <w:rFonts w:cs="Calibri"/>
                <w:sz w:val="18"/>
                <w:szCs w:val="18"/>
              </w:rPr>
            </w:pPr>
            <w:r w:rsidRPr="002926D7">
              <w:rPr>
                <w:rFonts w:cs="Calibri"/>
                <w:sz w:val="18"/>
                <w:szCs w:val="18"/>
              </w:rPr>
              <w:t>Annually</w:t>
            </w:r>
          </w:p>
        </w:tc>
        <w:tc>
          <w:tcPr>
            <w:tcW w:w="1682" w:type="dxa"/>
          </w:tcPr>
          <w:p w14:paraId="0A9F71B9" w14:textId="77777777" w:rsidR="00BB55E0" w:rsidRPr="002926D7" w:rsidRDefault="00BB55E0" w:rsidP="002926D7">
            <w:pPr>
              <w:jc w:val="left"/>
              <w:rPr>
                <w:rFonts w:cs="Calibri"/>
                <w:sz w:val="18"/>
                <w:szCs w:val="18"/>
              </w:rPr>
            </w:pPr>
            <w:r w:rsidRPr="002926D7">
              <w:rPr>
                <w:rFonts w:cs="Calibri"/>
                <w:sz w:val="18"/>
                <w:szCs w:val="18"/>
              </w:rPr>
              <w:t>SGP National Coordinators; UNDP Country Office</w:t>
            </w:r>
          </w:p>
          <w:p w14:paraId="21DA6E25" w14:textId="77777777" w:rsidR="00BB55E0" w:rsidRPr="002926D7" w:rsidRDefault="00BB55E0" w:rsidP="002926D7">
            <w:pPr>
              <w:jc w:val="left"/>
              <w:rPr>
                <w:rFonts w:cs="Calibri"/>
                <w:sz w:val="18"/>
                <w:szCs w:val="18"/>
              </w:rPr>
            </w:pPr>
          </w:p>
        </w:tc>
        <w:tc>
          <w:tcPr>
            <w:tcW w:w="1588" w:type="dxa"/>
          </w:tcPr>
          <w:p w14:paraId="53C05429" w14:textId="77777777" w:rsidR="00BB55E0" w:rsidRPr="002926D7" w:rsidRDefault="00BB55E0" w:rsidP="002926D7">
            <w:pPr>
              <w:jc w:val="left"/>
              <w:rPr>
                <w:rFonts w:cs="Calibri"/>
                <w:sz w:val="18"/>
                <w:szCs w:val="18"/>
              </w:rPr>
            </w:pPr>
            <w:r w:rsidRPr="002926D7">
              <w:rPr>
                <w:rFonts w:cs="Calibri"/>
                <w:sz w:val="18"/>
                <w:szCs w:val="18"/>
              </w:rPr>
              <w:t>AMR; Grantee monitoring reports; Impact reviews; SGP database</w:t>
            </w:r>
          </w:p>
        </w:tc>
      </w:tr>
      <w:tr w:rsidR="00BB55E0" w:rsidRPr="002926D7" w14:paraId="0D30EF9F" w14:textId="77777777" w:rsidTr="00BB55E0">
        <w:trPr>
          <w:trHeight w:val="20"/>
          <w:jc w:val="center"/>
        </w:trPr>
        <w:tc>
          <w:tcPr>
            <w:tcW w:w="1411" w:type="dxa"/>
            <w:vMerge/>
          </w:tcPr>
          <w:p w14:paraId="31D714CB" w14:textId="77777777" w:rsidR="00BB55E0" w:rsidRPr="002926D7" w:rsidRDefault="00BB55E0" w:rsidP="002926D7">
            <w:pPr>
              <w:jc w:val="left"/>
              <w:rPr>
                <w:rFonts w:cs="Calibri"/>
                <w:b/>
                <w:sz w:val="18"/>
                <w:szCs w:val="18"/>
              </w:rPr>
            </w:pPr>
          </w:p>
        </w:tc>
        <w:tc>
          <w:tcPr>
            <w:tcW w:w="1399" w:type="dxa"/>
            <w:vMerge/>
          </w:tcPr>
          <w:p w14:paraId="234580BF" w14:textId="77777777" w:rsidR="00BB55E0" w:rsidRPr="002926D7" w:rsidRDefault="00BB55E0" w:rsidP="002926D7">
            <w:pPr>
              <w:jc w:val="left"/>
              <w:rPr>
                <w:rFonts w:cs="Calibri"/>
                <w:b/>
                <w:sz w:val="18"/>
                <w:szCs w:val="18"/>
              </w:rPr>
            </w:pPr>
          </w:p>
        </w:tc>
        <w:tc>
          <w:tcPr>
            <w:tcW w:w="3150" w:type="dxa"/>
          </w:tcPr>
          <w:p w14:paraId="3C68E06D" w14:textId="77777777" w:rsidR="00BB55E0" w:rsidRPr="002926D7" w:rsidRDefault="00BB55E0" w:rsidP="002926D7">
            <w:pPr>
              <w:jc w:val="left"/>
              <w:rPr>
                <w:rFonts w:cs="Calibri"/>
                <w:b/>
                <w:sz w:val="18"/>
                <w:szCs w:val="18"/>
              </w:rPr>
            </w:pPr>
            <w:r w:rsidRPr="002926D7">
              <w:rPr>
                <w:rFonts w:cstheme="minorHAnsi"/>
                <w:b/>
                <w:bCs/>
                <w:sz w:val="18"/>
                <w:szCs w:val="18"/>
              </w:rPr>
              <w:t>Mandatory GEF Core Indicator 3: Area of land and ecosystems under restoration</w:t>
            </w:r>
            <w:r w:rsidRPr="002926D7">
              <w:rPr>
                <w:rFonts w:cstheme="minorHAnsi"/>
                <w:b/>
                <w:sz w:val="18"/>
                <w:szCs w:val="18"/>
              </w:rPr>
              <w:t xml:space="preserve"> </w:t>
            </w:r>
            <w:r w:rsidRPr="002926D7">
              <w:rPr>
                <w:rFonts w:cstheme="minorHAnsi"/>
                <w:bCs/>
                <w:sz w:val="18"/>
                <w:szCs w:val="18"/>
              </w:rPr>
              <w:t>(hectare)</w:t>
            </w:r>
          </w:p>
        </w:tc>
        <w:tc>
          <w:tcPr>
            <w:tcW w:w="1719" w:type="dxa"/>
          </w:tcPr>
          <w:p w14:paraId="1E76828D" w14:textId="77777777" w:rsidR="00BB55E0" w:rsidRPr="002926D7" w:rsidRDefault="00BB55E0" w:rsidP="002926D7">
            <w:pPr>
              <w:jc w:val="left"/>
              <w:rPr>
                <w:rFonts w:cs="Calibri"/>
                <w:sz w:val="18"/>
                <w:szCs w:val="18"/>
              </w:rPr>
            </w:pPr>
            <w:r w:rsidRPr="002926D7">
              <w:rPr>
                <w:rFonts w:cstheme="minorHAnsi"/>
                <w:bCs/>
                <w:sz w:val="18"/>
                <w:szCs w:val="18"/>
              </w:rPr>
              <w:t>225,000 ha</w:t>
            </w:r>
          </w:p>
        </w:tc>
        <w:tc>
          <w:tcPr>
            <w:tcW w:w="2329" w:type="dxa"/>
          </w:tcPr>
          <w:p w14:paraId="437B239A" w14:textId="77777777" w:rsidR="00BB55E0" w:rsidRPr="002926D7" w:rsidRDefault="00BB55E0" w:rsidP="002926D7">
            <w:pPr>
              <w:jc w:val="left"/>
              <w:rPr>
                <w:rFonts w:cs="Calibri"/>
                <w:sz w:val="18"/>
                <w:szCs w:val="18"/>
              </w:rPr>
            </w:pPr>
            <w:r w:rsidRPr="002926D7">
              <w:rPr>
                <w:rFonts w:eastAsia="Times New Roman" w:cstheme="minorHAnsi"/>
                <w:color w:val="000000"/>
                <w:sz w:val="18"/>
                <w:szCs w:val="18"/>
              </w:rPr>
              <w:t>Reported as part of GEF-8 core indicators SGP aligned with</w:t>
            </w:r>
          </w:p>
        </w:tc>
        <w:tc>
          <w:tcPr>
            <w:tcW w:w="1207" w:type="dxa"/>
          </w:tcPr>
          <w:p w14:paraId="6611B69E" w14:textId="77777777" w:rsidR="00BB55E0" w:rsidRPr="002926D7" w:rsidRDefault="00BB55E0" w:rsidP="002926D7">
            <w:pPr>
              <w:jc w:val="left"/>
              <w:rPr>
                <w:rFonts w:cs="Calibri"/>
                <w:sz w:val="18"/>
                <w:szCs w:val="18"/>
              </w:rPr>
            </w:pPr>
            <w:r w:rsidRPr="002926D7">
              <w:rPr>
                <w:rFonts w:cs="Calibri"/>
                <w:sz w:val="18"/>
                <w:szCs w:val="18"/>
              </w:rPr>
              <w:t>Annually</w:t>
            </w:r>
          </w:p>
        </w:tc>
        <w:tc>
          <w:tcPr>
            <w:tcW w:w="1682" w:type="dxa"/>
          </w:tcPr>
          <w:p w14:paraId="5097A5E9" w14:textId="77777777" w:rsidR="00BB55E0" w:rsidRPr="002926D7" w:rsidRDefault="00BB55E0" w:rsidP="002926D7">
            <w:pPr>
              <w:jc w:val="left"/>
              <w:rPr>
                <w:rFonts w:cs="Calibri"/>
                <w:sz w:val="18"/>
                <w:szCs w:val="18"/>
              </w:rPr>
            </w:pPr>
            <w:r w:rsidRPr="002926D7">
              <w:rPr>
                <w:rFonts w:cs="Calibri"/>
                <w:sz w:val="18"/>
                <w:szCs w:val="18"/>
              </w:rPr>
              <w:t>SGP National Coordinators; UNDP Country Office</w:t>
            </w:r>
          </w:p>
          <w:p w14:paraId="64C4C5AB" w14:textId="77777777" w:rsidR="00BB55E0" w:rsidRPr="002926D7" w:rsidRDefault="00BB55E0" w:rsidP="002926D7">
            <w:pPr>
              <w:jc w:val="left"/>
              <w:rPr>
                <w:rFonts w:cs="Calibri"/>
                <w:sz w:val="18"/>
                <w:szCs w:val="18"/>
              </w:rPr>
            </w:pPr>
          </w:p>
        </w:tc>
        <w:tc>
          <w:tcPr>
            <w:tcW w:w="1588" w:type="dxa"/>
          </w:tcPr>
          <w:p w14:paraId="6BE00BC8" w14:textId="77777777" w:rsidR="00BB55E0" w:rsidRPr="002926D7" w:rsidRDefault="00BB55E0" w:rsidP="002926D7">
            <w:pPr>
              <w:jc w:val="left"/>
              <w:rPr>
                <w:rFonts w:cs="Calibri"/>
                <w:sz w:val="18"/>
                <w:szCs w:val="18"/>
              </w:rPr>
            </w:pPr>
            <w:r w:rsidRPr="002926D7">
              <w:rPr>
                <w:rFonts w:cs="Calibri"/>
                <w:sz w:val="18"/>
                <w:szCs w:val="18"/>
              </w:rPr>
              <w:t>AMR; Grantee monitoring reports; Impact reviews; SGP database</w:t>
            </w:r>
          </w:p>
        </w:tc>
      </w:tr>
      <w:tr w:rsidR="00BB55E0" w:rsidRPr="002926D7" w14:paraId="0C36DBB0" w14:textId="77777777" w:rsidTr="00BB55E0">
        <w:trPr>
          <w:trHeight w:val="20"/>
          <w:jc w:val="center"/>
        </w:trPr>
        <w:tc>
          <w:tcPr>
            <w:tcW w:w="1411" w:type="dxa"/>
            <w:vMerge/>
          </w:tcPr>
          <w:p w14:paraId="296552E5" w14:textId="77777777" w:rsidR="00BB55E0" w:rsidRPr="002926D7" w:rsidRDefault="00BB55E0" w:rsidP="002926D7">
            <w:pPr>
              <w:jc w:val="left"/>
              <w:rPr>
                <w:rFonts w:cs="Calibri"/>
                <w:b/>
                <w:sz w:val="18"/>
                <w:szCs w:val="18"/>
              </w:rPr>
            </w:pPr>
          </w:p>
        </w:tc>
        <w:tc>
          <w:tcPr>
            <w:tcW w:w="1399" w:type="dxa"/>
            <w:vMerge/>
          </w:tcPr>
          <w:p w14:paraId="2F29F482" w14:textId="77777777" w:rsidR="00BB55E0" w:rsidRPr="002926D7" w:rsidRDefault="00BB55E0" w:rsidP="002926D7">
            <w:pPr>
              <w:jc w:val="left"/>
              <w:rPr>
                <w:rFonts w:cs="Calibri"/>
                <w:b/>
                <w:sz w:val="18"/>
                <w:szCs w:val="18"/>
              </w:rPr>
            </w:pPr>
          </w:p>
        </w:tc>
        <w:tc>
          <w:tcPr>
            <w:tcW w:w="3150" w:type="dxa"/>
          </w:tcPr>
          <w:p w14:paraId="7795E67B" w14:textId="77777777" w:rsidR="00BB55E0" w:rsidRPr="002926D7" w:rsidRDefault="00BB55E0" w:rsidP="002926D7">
            <w:pPr>
              <w:jc w:val="left"/>
              <w:rPr>
                <w:rFonts w:cs="Calibri"/>
                <w:b/>
                <w:sz w:val="18"/>
                <w:szCs w:val="18"/>
              </w:rPr>
            </w:pPr>
            <w:r w:rsidRPr="002926D7">
              <w:rPr>
                <w:rFonts w:cstheme="minorHAnsi"/>
                <w:b/>
                <w:bCs/>
                <w:sz w:val="18"/>
                <w:szCs w:val="18"/>
              </w:rPr>
              <w:t>Mandatory GEF Core Indicator 4: Area of landscapes under improved practices</w:t>
            </w:r>
            <w:r w:rsidRPr="002926D7">
              <w:rPr>
                <w:rFonts w:cstheme="minorHAnsi"/>
                <w:b/>
                <w:sz w:val="18"/>
                <w:szCs w:val="18"/>
              </w:rPr>
              <w:t xml:space="preserve"> </w:t>
            </w:r>
            <w:r w:rsidRPr="002926D7">
              <w:rPr>
                <w:rFonts w:cstheme="minorHAnsi"/>
                <w:bCs/>
                <w:sz w:val="18"/>
                <w:szCs w:val="18"/>
              </w:rPr>
              <w:t>(excluding protected areas; hectare)</w:t>
            </w:r>
          </w:p>
        </w:tc>
        <w:tc>
          <w:tcPr>
            <w:tcW w:w="1719" w:type="dxa"/>
          </w:tcPr>
          <w:p w14:paraId="4CB7F2EC" w14:textId="77777777" w:rsidR="00BB55E0" w:rsidRPr="002926D7" w:rsidRDefault="00BB55E0" w:rsidP="002926D7">
            <w:pPr>
              <w:jc w:val="left"/>
              <w:rPr>
                <w:rFonts w:cs="Calibri"/>
                <w:sz w:val="18"/>
                <w:szCs w:val="18"/>
              </w:rPr>
            </w:pPr>
            <w:r w:rsidRPr="002926D7">
              <w:rPr>
                <w:rFonts w:cstheme="minorHAnsi"/>
                <w:bCs/>
                <w:sz w:val="18"/>
                <w:szCs w:val="18"/>
              </w:rPr>
              <w:t>3,800,000 ha</w:t>
            </w:r>
          </w:p>
        </w:tc>
        <w:tc>
          <w:tcPr>
            <w:tcW w:w="2329" w:type="dxa"/>
          </w:tcPr>
          <w:p w14:paraId="47EF137D" w14:textId="77777777" w:rsidR="00BB55E0" w:rsidRPr="002926D7" w:rsidRDefault="00BB55E0" w:rsidP="002926D7">
            <w:pPr>
              <w:jc w:val="left"/>
              <w:rPr>
                <w:rFonts w:cs="Calibri"/>
                <w:sz w:val="18"/>
                <w:szCs w:val="18"/>
              </w:rPr>
            </w:pPr>
            <w:r w:rsidRPr="002926D7">
              <w:rPr>
                <w:rFonts w:eastAsia="Times New Roman" w:cstheme="minorHAnsi"/>
                <w:color w:val="000000"/>
                <w:sz w:val="18"/>
                <w:szCs w:val="18"/>
              </w:rPr>
              <w:t>Reported as part of GEF-8 core indicators SGP aligned with</w:t>
            </w:r>
          </w:p>
        </w:tc>
        <w:tc>
          <w:tcPr>
            <w:tcW w:w="1207" w:type="dxa"/>
          </w:tcPr>
          <w:p w14:paraId="39CB6E63" w14:textId="77777777" w:rsidR="00BB55E0" w:rsidRPr="002926D7" w:rsidRDefault="00BB55E0" w:rsidP="002926D7">
            <w:pPr>
              <w:jc w:val="left"/>
              <w:rPr>
                <w:rFonts w:cs="Calibri"/>
                <w:sz w:val="18"/>
                <w:szCs w:val="18"/>
              </w:rPr>
            </w:pPr>
            <w:r w:rsidRPr="002926D7">
              <w:rPr>
                <w:rFonts w:cs="Calibri"/>
                <w:sz w:val="18"/>
                <w:szCs w:val="18"/>
              </w:rPr>
              <w:t>Annually</w:t>
            </w:r>
          </w:p>
        </w:tc>
        <w:tc>
          <w:tcPr>
            <w:tcW w:w="1682" w:type="dxa"/>
          </w:tcPr>
          <w:p w14:paraId="4C56ACD9" w14:textId="77777777" w:rsidR="00BB55E0" w:rsidRPr="002926D7" w:rsidRDefault="00BB55E0" w:rsidP="002926D7">
            <w:pPr>
              <w:jc w:val="left"/>
              <w:rPr>
                <w:rFonts w:cs="Calibri"/>
                <w:sz w:val="18"/>
                <w:szCs w:val="18"/>
              </w:rPr>
            </w:pPr>
            <w:r w:rsidRPr="002926D7">
              <w:rPr>
                <w:rFonts w:cs="Calibri"/>
                <w:sz w:val="18"/>
                <w:szCs w:val="18"/>
              </w:rPr>
              <w:t>SGP National Coordinators; UNDP Country Office</w:t>
            </w:r>
          </w:p>
          <w:p w14:paraId="3431D55A" w14:textId="77777777" w:rsidR="00BB55E0" w:rsidRPr="002926D7" w:rsidRDefault="00BB55E0" w:rsidP="002926D7">
            <w:pPr>
              <w:jc w:val="left"/>
              <w:rPr>
                <w:rFonts w:cs="Calibri"/>
                <w:sz w:val="18"/>
                <w:szCs w:val="18"/>
              </w:rPr>
            </w:pPr>
          </w:p>
        </w:tc>
        <w:tc>
          <w:tcPr>
            <w:tcW w:w="1588" w:type="dxa"/>
          </w:tcPr>
          <w:p w14:paraId="76D2B356" w14:textId="77777777" w:rsidR="00BB55E0" w:rsidRPr="002926D7" w:rsidRDefault="00BB55E0" w:rsidP="002926D7">
            <w:pPr>
              <w:jc w:val="left"/>
              <w:rPr>
                <w:rFonts w:cs="Calibri"/>
                <w:sz w:val="18"/>
                <w:szCs w:val="18"/>
              </w:rPr>
            </w:pPr>
            <w:r w:rsidRPr="002926D7">
              <w:rPr>
                <w:rFonts w:cs="Calibri"/>
                <w:sz w:val="18"/>
                <w:szCs w:val="18"/>
              </w:rPr>
              <w:lastRenderedPageBreak/>
              <w:t xml:space="preserve">AMR; Grantee monitoring reports; Impact </w:t>
            </w:r>
            <w:r w:rsidRPr="002926D7">
              <w:rPr>
                <w:rFonts w:cs="Calibri"/>
                <w:sz w:val="18"/>
                <w:szCs w:val="18"/>
              </w:rPr>
              <w:lastRenderedPageBreak/>
              <w:t>reviews; SGP database</w:t>
            </w:r>
          </w:p>
        </w:tc>
      </w:tr>
      <w:tr w:rsidR="00BB55E0" w:rsidRPr="002926D7" w14:paraId="3CE10E19" w14:textId="77777777" w:rsidTr="00BB55E0">
        <w:trPr>
          <w:trHeight w:val="20"/>
          <w:jc w:val="center"/>
        </w:trPr>
        <w:tc>
          <w:tcPr>
            <w:tcW w:w="1411" w:type="dxa"/>
            <w:vMerge/>
          </w:tcPr>
          <w:p w14:paraId="2F96A2B7" w14:textId="77777777" w:rsidR="00BB55E0" w:rsidRPr="002926D7" w:rsidRDefault="00BB55E0" w:rsidP="002926D7">
            <w:pPr>
              <w:jc w:val="left"/>
              <w:rPr>
                <w:rFonts w:cs="Calibri"/>
                <w:b/>
                <w:sz w:val="18"/>
                <w:szCs w:val="18"/>
              </w:rPr>
            </w:pPr>
          </w:p>
        </w:tc>
        <w:tc>
          <w:tcPr>
            <w:tcW w:w="1399" w:type="dxa"/>
            <w:vMerge/>
          </w:tcPr>
          <w:p w14:paraId="40ED0DAA" w14:textId="77777777" w:rsidR="00BB55E0" w:rsidRPr="002926D7" w:rsidRDefault="00BB55E0" w:rsidP="002926D7">
            <w:pPr>
              <w:jc w:val="left"/>
              <w:rPr>
                <w:rFonts w:cs="Calibri"/>
                <w:b/>
                <w:sz w:val="18"/>
                <w:szCs w:val="18"/>
              </w:rPr>
            </w:pPr>
          </w:p>
        </w:tc>
        <w:tc>
          <w:tcPr>
            <w:tcW w:w="3150" w:type="dxa"/>
          </w:tcPr>
          <w:p w14:paraId="6131FBA9" w14:textId="77777777" w:rsidR="00BB55E0" w:rsidRPr="002926D7" w:rsidRDefault="00BB55E0" w:rsidP="002926D7">
            <w:pPr>
              <w:jc w:val="left"/>
              <w:rPr>
                <w:rFonts w:cs="Calibri"/>
                <w:b/>
                <w:sz w:val="18"/>
                <w:szCs w:val="18"/>
              </w:rPr>
            </w:pPr>
            <w:r w:rsidRPr="002926D7">
              <w:rPr>
                <w:rFonts w:cstheme="minorHAnsi"/>
                <w:b/>
                <w:bCs/>
                <w:sz w:val="18"/>
                <w:szCs w:val="18"/>
              </w:rPr>
              <w:t>Mandatory GEF Core Indicator 5: Area of marine habitat under improved practices</w:t>
            </w:r>
            <w:r w:rsidRPr="002926D7">
              <w:rPr>
                <w:rFonts w:cstheme="minorHAnsi"/>
                <w:b/>
                <w:sz w:val="18"/>
                <w:szCs w:val="18"/>
              </w:rPr>
              <w:t xml:space="preserve"> </w:t>
            </w:r>
            <w:r w:rsidRPr="002926D7">
              <w:rPr>
                <w:rFonts w:cstheme="minorHAnsi"/>
                <w:bCs/>
                <w:sz w:val="18"/>
                <w:szCs w:val="18"/>
              </w:rPr>
              <w:t>(hectare)</w:t>
            </w:r>
          </w:p>
        </w:tc>
        <w:tc>
          <w:tcPr>
            <w:tcW w:w="1719" w:type="dxa"/>
          </w:tcPr>
          <w:p w14:paraId="5590787B" w14:textId="77777777" w:rsidR="00BB55E0" w:rsidRPr="002926D7" w:rsidRDefault="00BB55E0" w:rsidP="002926D7">
            <w:pPr>
              <w:jc w:val="left"/>
              <w:rPr>
                <w:rFonts w:cs="Calibri"/>
                <w:sz w:val="18"/>
                <w:szCs w:val="18"/>
              </w:rPr>
            </w:pPr>
            <w:r w:rsidRPr="002926D7">
              <w:rPr>
                <w:rFonts w:cstheme="minorHAnsi"/>
                <w:bCs/>
                <w:sz w:val="18"/>
                <w:szCs w:val="18"/>
              </w:rPr>
              <w:t>270,000 ha</w:t>
            </w:r>
          </w:p>
        </w:tc>
        <w:tc>
          <w:tcPr>
            <w:tcW w:w="2329" w:type="dxa"/>
          </w:tcPr>
          <w:p w14:paraId="226AEAB7" w14:textId="77777777" w:rsidR="00BB55E0" w:rsidRPr="002926D7" w:rsidRDefault="00BB55E0" w:rsidP="002926D7">
            <w:pPr>
              <w:jc w:val="left"/>
              <w:rPr>
                <w:rFonts w:cs="Calibri"/>
                <w:sz w:val="18"/>
                <w:szCs w:val="18"/>
              </w:rPr>
            </w:pPr>
            <w:r w:rsidRPr="002926D7">
              <w:rPr>
                <w:rFonts w:eastAsia="Times New Roman" w:cstheme="minorHAnsi"/>
                <w:color w:val="000000"/>
                <w:sz w:val="18"/>
                <w:szCs w:val="18"/>
              </w:rPr>
              <w:t>Reported as part of GEF-8 core indicators SGP aligned with</w:t>
            </w:r>
          </w:p>
        </w:tc>
        <w:tc>
          <w:tcPr>
            <w:tcW w:w="1207" w:type="dxa"/>
          </w:tcPr>
          <w:p w14:paraId="7ABB34C3" w14:textId="77777777" w:rsidR="00BB55E0" w:rsidRPr="002926D7" w:rsidRDefault="00BB55E0" w:rsidP="002926D7">
            <w:pPr>
              <w:jc w:val="left"/>
              <w:rPr>
                <w:rFonts w:cs="Calibri"/>
                <w:sz w:val="18"/>
                <w:szCs w:val="18"/>
              </w:rPr>
            </w:pPr>
            <w:r w:rsidRPr="002926D7">
              <w:rPr>
                <w:rFonts w:cs="Calibri"/>
                <w:sz w:val="18"/>
                <w:szCs w:val="18"/>
              </w:rPr>
              <w:t>Annually</w:t>
            </w:r>
          </w:p>
        </w:tc>
        <w:tc>
          <w:tcPr>
            <w:tcW w:w="1682" w:type="dxa"/>
          </w:tcPr>
          <w:p w14:paraId="7AE40536" w14:textId="77777777" w:rsidR="00BB55E0" w:rsidRPr="002926D7" w:rsidRDefault="00BB55E0" w:rsidP="002926D7">
            <w:pPr>
              <w:jc w:val="left"/>
              <w:rPr>
                <w:rFonts w:cs="Calibri"/>
                <w:sz w:val="18"/>
                <w:szCs w:val="18"/>
              </w:rPr>
            </w:pPr>
            <w:r w:rsidRPr="002926D7">
              <w:rPr>
                <w:rFonts w:cs="Calibri"/>
                <w:sz w:val="18"/>
                <w:szCs w:val="18"/>
              </w:rPr>
              <w:t>SGP National Coordinators; UNDP Country Office</w:t>
            </w:r>
          </w:p>
          <w:p w14:paraId="18A8E9DF" w14:textId="77777777" w:rsidR="00BB55E0" w:rsidRPr="002926D7" w:rsidRDefault="00BB55E0" w:rsidP="002926D7">
            <w:pPr>
              <w:jc w:val="left"/>
              <w:rPr>
                <w:rFonts w:cs="Calibri"/>
                <w:sz w:val="18"/>
                <w:szCs w:val="18"/>
              </w:rPr>
            </w:pPr>
          </w:p>
        </w:tc>
        <w:tc>
          <w:tcPr>
            <w:tcW w:w="1588" w:type="dxa"/>
          </w:tcPr>
          <w:p w14:paraId="2320D03A" w14:textId="77777777" w:rsidR="00BB55E0" w:rsidRPr="002926D7" w:rsidRDefault="00BB55E0" w:rsidP="002926D7">
            <w:pPr>
              <w:jc w:val="left"/>
              <w:rPr>
                <w:rFonts w:cs="Calibri"/>
                <w:sz w:val="18"/>
                <w:szCs w:val="18"/>
              </w:rPr>
            </w:pPr>
            <w:r w:rsidRPr="002926D7">
              <w:rPr>
                <w:rFonts w:cs="Calibri"/>
                <w:sz w:val="18"/>
                <w:szCs w:val="18"/>
              </w:rPr>
              <w:t>AMR; Grantee monitoring reports; Impact reviews; SGP database</w:t>
            </w:r>
          </w:p>
        </w:tc>
      </w:tr>
      <w:tr w:rsidR="00BB55E0" w:rsidRPr="002926D7" w14:paraId="61E490F1" w14:textId="77777777" w:rsidTr="00BB55E0">
        <w:trPr>
          <w:trHeight w:val="20"/>
          <w:jc w:val="center"/>
        </w:trPr>
        <w:tc>
          <w:tcPr>
            <w:tcW w:w="1411" w:type="dxa"/>
            <w:vMerge/>
          </w:tcPr>
          <w:p w14:paraId="7B1437EF" w14:textId="77777777" w:rsidR="00BB55E0" w:rsidRPr="002926D7" w:rsidRDefault="00BB55E0" w:rsidP="002926D7">
            <w:pPr>
              <w:jc w:val="left"/>
              <w:rPr>
                <w:rFonts w:cs="Calibri"/>
                <w:b/>
                <w:sz w:val="18"/>
                <w:szCs w:val="18"/>
              </w:rPr>
            </w:pPr>
          </w:p>
        </w:tc>
        <w:tc>
          <w:tcPr>
            <w:tcW w:w="1399" w:type="dxa"/>
            <w:vMerge/>
          </w:tcPr>
          <w:p w14:paraId="51B2B8FE" w14:textId="77777777" w:rsidR="00BB55E0" w:rsidRPr="002926D7" w:rsidRDefault="00BB55E0" w:rsidP="002926D7">
            <w:pPr>
              <w:jc w:val="left"/>
              <w:rPr>
                <w:rFonts w:cs="Calibri"/>
                <w:b/>
                <w:sz w:val="18"/>
                <w:szCs w:val="18"/>
              </w:rPr>
            </w:pPr>
          </w:p>
        </w:tc>
        <w:tc>
          <w:tcPr>
            <w:tcW w:w="3150" w:type="dxa"/>
          </w:tcPr>
          <w:p w14:paraId="506FDB23" w14:textId="55326328" w:rsidR="00BB55E0" w:rsidRPr="002926D7" w:rsidRDefault="00BB55E0" w:rsidP="002926D7">
            <w:pPr>
              <w:jc w:val="left"/>
              <w:rPr>
                <w:rFonts w:cstheme="minorHAnsi"/>
                <w:b/>
                <w:bCs/>
                <w:sz w:val="18"/>
                <w:szCs w:val="18"/>
              </w:rPr>
            </w:pPr>
            <w:r w:rsidRPr="002926D7">
              <w:rPr>
                <w:rFonts w:asciiTheme="minorHAnsi" w:hAnsiTheme="minorHAnsi" w:cstheme="minorHAnsi"/>
                <w:b/>
                <w:bCs/>
                <w:sz w:val="18"/>
                <w:szCs w:val="18"/>
              </w:rPr>
              <w:t xml:space="preserve">Mandatory GEF Core Indicator 6: Greenhouse gas emission mitigated </w:t>
            </w:r>
            <w:r w:rsidRPr="002926D7">
              <w:rPr>
                <w:rFonts w:asciiTheme="minorHAnsi" w:hAnsiTheme="minorHAnsi" w:cstheme="minorHAnsi"/>
                <w:sz w:val="18"/>
                <w:szCs w:val="18"/>
              </w:rPr>
              <w:t xml:space="preserve">(metric tons of CO2e) </w:t>
            </w:r>
          </w:p>
        </w:tc>
        <w:tc>
          <w:tcPr>
            <w:tcW w:w="1719" w:type="dxa"/>
          </w:tcPr>
          <w:p w14:paraId="6E36B902" w14:textId="0912DB83" w:rsidR="00BB55E0" w:rsidRPr="002926D7" w:rsidRDefault="00BB55E0" w:rsidP="002926D7">
            <w:pPr>
              <w:jc w:val="left"/>
              <w:rPr>
                <w:rFonts w:cstheme="minorHAnsi"/>
                <w:bCs/>
                <w:sz w:val="18"/>
                <w:szCs w:val="18"/>
              </w:rPr>
            </w:pPr>
            <w:r w:rsidRPr="002926D7">
              <w:rPr>
                <w:rFonts w:cstheme="minorHAnsi"/>
                <w:bCs/>
                <w:sz w:val="18"/>
                <w:szCs w:val="18"/>
              </w:rPr>
              <w:t>TBD</w:t>
            </w:r>
          </w:p>
        </w:tc>
        <w:tc>
          <w:tcPr>
            <w:tcW w:w="2329" w:type="dxa"/>
          </w:tcPr>
          <w:p w14:paraId="44648620" w14:textId="337BEC3C" w:rsidR="00BB55E0" w:rsidRPr="002926D7" w:rsidRDefault="00BB55E0" w:rsidP="002926D7">
            <w:pPr>
              <w:jc w:val="left"/>
              <w:rPr>
                <w:rFonts w:eastAsia="Times New Roman" w:cstheme="minorHAnsi"/>
                <w:color w:val="000000"/>
                <w:sz w:val="18"/>
                <w:szCs w:val="18"/>
              </w:rPr>
            </w:pPr>
            <w:r w:rsidRPr="002926D7">
              <w:rPr>
                <w:rFonts w:asciiTheme="minorHAnsi" w:hAnsiTheme="minorHAnsi" w:cstheme="minorHAnsi"/>
                <w:bCs/>
                <w:iCs/>
                <w:sz w:val="18"/>
                <w:szCs w:val="18"/>
              </w:rPr>
              <w:t>Mitigation benefits are expected to be achieved in the AFOLU sector (e.g., improved landscape management, restoration) and through deployment of low-GHG emission community technologies</w:t>
            </w:r>
          </w:p>
        </w:tc>
        <w:tc>
          <w:tcPr>
            <w:tcW w:w="1207" w:type="dxa"/>
          </w:tcPr>
          <w:p w14:paraId="5F7A51F7" w14:textId="342283C1" w:rsidR="00BB55E0" w:rsidRPr="002926D7" w:rsidRDefault="00BB55E0" w:rsidP="002926D7">
            <w:pPr>
              <w:jc w:val="left"/>
              <w:rPr>
                <w:rFonts w:cs="Calibri"/>
                <w:sz w:val="18"/>
                <w:szCs w:val="18"/>
              </w:rPr>
            </w:pPr>
            <w:r w:rsidRPr="002926D7">
              <w:rPr>
                <w:rFonts w:cs="Calibri"/>
                <w:sz w:val="18"/>
                <w:szCs w:val="18"/>
              </w:rPr>
              <w:t>Annually</w:t>
            </w:r>
          </w:p>
        </w:tc>
        <w:tc>
          <w:tcPr>
            <w:tcW w:w="1682" w:type="dxa"/>
          </w:tcPr>
          <w:p w14:paraId="72A7507C" w14:textId="2B25414E" w:rsidR="00BB55E0" w:rsidRPr="002926D7" w:rsidRDefault="00BB55E0" w:rsidP="002926D7">
            <w:pPr>
              <w:jc w:val="left"/>
              <w:rPr>
                <w:rFonts w:cs="Calibri"/>
                <w:sz w:val="18"/>
                <w:szCs w:val="18"/>
              </w:rPr>
            </w:pPr>
            <w:r w:rsidRPr="002926D7">
              <w:rPr>
                <w:rFonts w:cs="Calibri"/>
                <w:sz w:val="18"/>
                <w:szCs w:val="18"/>
              </w:rPr>
              <w:t>SGP National Coordinators; UNDP Country Office</w:t>
            </w:r>
          </w:p>
        </w:tc>
        <w:tc>
          <w:tcPr>
            <w:tcW w:w="1588" w:type="dxa"/>
          </w:tcPr>
          <w:p w14:paraId="17C7AA7F" w14:textId="4F471E08" w:rsidR="00BB55E0" w:rsidRPr="002926D7" w:rsidRDefault="00BB55E0" w:rsidP="002926D7">
            <w:pPr>
              <w:jc w:val="left"/>
              <w:rPr>
                <w:rFonts w:cs="Calibri"/>
                <w:sz w:val="18"/>
                <w:szCs w:val="18"/>
              </w:rPr>
            </w:pPr>
            <w:r w:rsidRPr="002926D7">
              <w:rPr>
                <w:rFonts w:cs="Calibri"/>
                <w:sz w:val="18"/>
                <w:szCs w:val="18"/>
              </w:rPr>
              <w:t>AMR; Grantee monitoring reports; Impact reviews; SGP database</w:t>
            </w:r>
          </w:p>
        </w:tc>
      </w:tr>
      <w:tr w:rsidR="00BB55E0" w:rsidRPr="002926D7" w14:paraId="64EBFABC" w14:textId="77777777" w:rsidTr="00BB55E0">
        <w:trPr>
          <w:trHeight w:val="20"/>
          <w:jc w:val="center"/>
        </w:trPr>
        <w:tc>
          <w:tcPr>
            <w:tcW w:w="1411" w:type="dxa"/>
            <w:vMerge/>
          </w:tcPr>
          <w:p w14:paraId="20E6A46F" w14:textId="77777777" w:rsidR="00BB55E0" w:rsidRPr="002926D7" w:rsidRDefault="00BB55E0" w:rsidP="002926D7">
            <w:pPr>
              <w:jc w:val="left"/>
              <w:rPr>
                <w:rFonts w:cs="Calibri"/>
                <w:b/>
                <w:sz w:val="18"/>
                <w:szCs w:val="18"/>
              </w:rPr>
            </w:pPr>
          </w:p>
        </w:tc>
        <w:tc>
          <w:tcPr>
            <w:tcW w:w="1399" w:type="dxa"/>
            <w:vMerge w:val="restart"/>
          </w:tcPr>
          <w:p w14:paraId="4B3EF783" w14:textId="77777777" w:rsidR="00BB55E0" w:rsidRPr="002926D7" w:rsidRDefault="00BB55E0" w:rsidP="002926D7">
            <w:pPr>
              <w:jc w:val="left"/>
              <w:rPr>
                <w:rFonts w:cs="Calibri"/>
                <w:b/>
                <w:sz w:val="18"/>
                <w:szCs w:val="18"/>
              </w:rPr>
            </w:pPr>
            <w:r w:rsidRPr="002926D7">
              <w:rPr>
                <w:rFonts w:cs="Calibri"/>
                <w:b/>
                <w:sz w:val="18"/>
                <w:szCs w:val="18"/>
              </w:rPr>
              <w:t>Project Outcome 1.1</w:t>
            </w:r>
          </w:p>
          <w:p w14:paraId="49AA377A" w14:textId="73CFB2AA" w:rsidR="00BB55E0" w:rsidRPr="002926D7" w:rsidRDefault="00BB55E0" w:rsidP="002926D7">
            <w:pPr>
              <w:jc w:val="left"/>
              <w:rPr>
                <w:rFonts w:cs="Calibri"/>
                <w:sz w:val="18"/>
                <w:szCs w:val="18"/>
              </w:rPr>
            </w:pPr>
            <w:r w:rsidRPr="002926D7">
              <w:rPr>
                <w:rFonts w:cstheme="minorHAnsi"/>
                <w:bCs/>
                <w:sz w:val="18"/>
                <w:szCs w:val="18"/>
              </w:rPr>
              <w:t>Enabling environment strengthened for effective community-driven integrated approaches.</w:t>
            </w:r>
          </w:p>
        </w:tc>
        <w:tc>
          <w:tcPr>
            <w:tcW w:w="3150" w:type="dxa"/>
          </w:tcPr>
          <w:p w14:paraId="221F29D3" w14:textId="020626F6" w:rsidR="00BB55E0" w:rsidRPr="002926D7" w:rsidRDefault="00BB55E0" w:rsidP="002926D7">
            <w:pPr>
              <w:jc w:val="left"/>
              <w:rPr>
                <w:rFonts w:cstheme="minorHAnsi"/>
                <w:bCs/>
                <w:sz w:val="18"/>
                <w:szCs w:val="18"/>
              </w:rPr>
            </w:pPr>
            <w:r w:rsidRPr="002926D7">
              <w:rPr>
                <w:rFonts w:cstheme="minorHAnsi"/>
                <w:b/>
                <w:sz w:val="18"/>
                <w:szCs w:val="18"/>
              </w:rPr>
              <w:t xml:space="preserve">Indicator </w:t>
            </w:r>
            <w:r w:rsidR="004E2E10" w:rsidRPr="002926D7">
              <w:rPr>
                <w:rFonts w:cstheme="minorHAnsi"/>
                <w:b/>
                <w:sz w:val="18"/>
                <w:szCs w:val="18"/>
              </w:rPr>
              <w:t>7</w:t>
            </w:r>
            <w:r w:rsidRPr="002926D7">
              <w:rPr>
                <w:rFonts w:cstheme="minorHAnsi"/>
                <w:b/>
                <w:sz w:val="18"/>
                <w:szCs w:val="18"/>
              </w:rPr>
              <w:t>:</w:t>
            </w:r>
            <w:r w:rsidRPr="002926D7">
              <w:rPr>
                <w:rFonts w:cstheme="minorHAnsi"/>
                <w:bCs/>
                <w:sz w:val="18"/>
                <w:szCs w:val="18"/>
              </w:rPr>
              <w:t xml:space="preserve"> Number of countries with high-level p</w:t>
            </w:r>
            <w:r w:rsidRPr="002926D7">
              <w:rPr>
                <w:rFonts w:cstheme="minorHAnsi"/>
                <w:sz w:val="18"/>
                <w:szCs w:val="18"/>
              </w:rPr>
              <w:t xml:space="preserve">olicy changes associated with increased community participation in </w:t>
            </w:r>
            <w:r w:rsidRPr="002926D7">
              <w:rPr>
                <w:rFonts w:cstheme="minorHAnsi"/>
                <w:bCs/>
                <w:sz w:val="18"/>
                <w:szCs w:val="18"/>
              </w:rPr>
              <w:t>multi-stakeholder dialogue platforms.</w:t>
            </w:r>
          </w:p>
        </w:tc>
        <w:tc>
          <w:tcPr>
            <w:tcW w:w="1719" w:type="dxa"/>
          </w:tcPr>
          <w:p w14:paraId="209449B6" w14:textId="77777777" w:rsidR="00BB55E0" w:rsidRPr="002926D7" w:rsidRDefault="00BB55E0" w:rsidP="002926D7">
            <w:pPr>
              <w:jc w:val="left"/>
              <w:rPr>
                <w:rFonts w:cs="Calibri"/>
                <w:sz w:val="18"/>
                <w:szCs w:val="18"/>
              </w:rPr>
            </w:pPr>
            <w:r w:rsidRPr="002926D7">
              <w:rPr>
                <w:rFonts w:cstheme="minorHAnsi"/>
                <w:sz w:val="18"/>
                <w:szCs w:val="18"/>
              </w:rPr>
              <w:t>50 SGP countries (approx. 50% of the OP8 Part 1 portfolio)</w:t>
            </w:r>
          </w:p>
        </w:tc>
        <w:tc>
          <w:tcPr>
            <w:tcW w:w="2329" w:type="dxa"/>
          </w:tcPr>
          <w:p w14:paraId="73DC9E96" w14:textId="77777777" w:rsidR="00BB55E0" w:rsidRPr="002926D7" w:rsidRDefault="00BB55E0" w:rsidP="002926D7">
            <w:pPr>
              <w:jc w:val="left"/>
              <w:rPr>
                <w:rFonts w:cs="Calibri"/>
                <w:sz w:val="18"/>
                <w:szCs w:val="18"/>
              </w:rPr>
            </w:pPr>
            <w:r w:rsidRPr="002926D7">
              <w:rPr>
                <w:rFonts w:cs="Calibri"/>
                <w:sz w:val="18"/>
                <w:szCs w:val="18"/>
              </w:rPr>
              <w:t>This indicator measures the impact of policy shifts at a national level that facilitate greater community engagement in multi-stakeholder dialogues.</w:t>
            </w:r>
          </w:p>
        </w:tc>
        <w:tc>
          <w:tcPr>
            <w:tcW w:w="1207" w:type="dxa"/>
          </w:tcPr>
          <w:p w14:paraId="71BCC7AA" w14:textId="77777777" w:rsidR="00BB55E0" w:rsidRPr="002926D7" w:rsidRDefault="00BB55E0" w:rsidP="002926D7">
            <w:pPr>
              <w:jc w:val="left"/>
              <w:rPr>
                <w:rFonts w:cs="Calibri"/>
                <w:sz w:val="18"/>
                <w:szCs w:val="18"/>
              </w:rPr>
            </w:pPr>
            <w:r w:rsidRPr="002926D7">
              <w:rPr>
                <w:rFonts w:cs="Calibri"/>
                <w:sz w:val="18"/>
                <w:szCs w:val="18"/>
              </w:rPr>
              <w:t>Annually</w:t>
            </w:r>
          </w:p>
        </w:tc>
        <w:tc>
          <w:tcPr>
            <w:tcW w:w="1682" w:type="dxa"/>
          </w:tcPr>
          <w:p w14:paraId="7244C99A" w14:textId="77777777" w:rsidR="00BB55E0" w:rsidRPr="002926D7" w:rsidRDefault="00BB55E0" w:rsidP="002926D7">
            <w:pPr>
              <w:jc w:val="left"/>
              <w:rPr>
                <w:rFonts w:cs="Calibri"/>
                <w:sz w:val="18"/>
                <w:szCs w:val="18"/>
              </w:rPr>
            </w:pPr>
            <w:r w:rsidRPr="002926D7">
              <w:rPr>
                <w:rFonts w:cs="Calibri"/>
                <w:sz w:val="18"/>
                <w:szCs w:val="18"/>
              </w:rPr>
              <w:t>SGP National Coordinators; UNDP Country Office</w:t>
            </w:r>
          </w:p>
          <w:p w14:paraId="53F71B18" w14:textId="77777777" w:rsidR="00BB55E0" w:rsidRPr="002926D7" w:rsidRDefault="00BB55E0" w:rsidP="002926D7">
            <w:pPr>
              <w:jc w:val="left"/>
              <w:rPr>
                <w:rFonts w:cs="Calibri"/>
                <w:sz w:val="18"/>
                <w:szCs w:val="18"/>
              </w:rPr>
            </w:pPr>
          </w:p>
        </w:tc>
        <w:tc>
          <w:tcPr>
            <w:tcW w:w="1588" w:type="dxa"/>
          </w:tcPr>
          <w:p w14:paraId="49D75530" w14:textId="77777777" w:rsidR="00BB55E0" w:rsidRPr="002926D7" w:rsidRDefault="00BB55E0" w:rsidP="002926D7">
            <w:pPr>
              <w:jc w:val="left"/>
              <w:rPr>
                <w:rFonts w:cs="Calibri"/>
                <w:sz w:val="18"/>
                <w:szCs w:val="18"/>
              </w:rPr>
            </w:pPr>
            <w:r w:rsidRPr="002926D7">
              <w:rPr>
                <w:rFonts w:cstheme="minorHAnsi"/>
                <w:bCs/>
                <w:iCs/>
                <w:sz w:val="18"/>
                <w:szCs w:val="18"/>
              </w:rPr>
              <w:t>Records of policy dialogues, policy briefs</w:t>
            </w:r>
          </w:p>
        </w:tc>
      </w:tr>
      <w:tr w:rsidR="00BB55E0" w:rsidRPr="002926D7" w14:paraId="4B8CB325" w14:textId="77777777" w:rsidTr="00BB55E0">
        <w:trPr>
          <w:trHeight w:val="1598"/>
          <w:jc w:val="center"/>
        </w:trPr>
        <w:tc>
          <w:tcPr>
            <w:tcW w:w="1411" w:type="dxa"/>
            <w:vMerge/>
          </w:tcPr>
          <w:p w14:paraId="4BFEF881" w14:textId="77777777" w:rsidR="00BB55E0" w:rsidRPr="002926D7" w:rsidRDefault="00BB55E0" w:rsidP="002926D7">
            <w:pPr>
              <w:jc w:val="left"/>
              <w:rPr>
                <w:rFonts w:cs="Calibri"/>
                <w:b/>
                <w:sz w:val="18"/>
                <w:szCs w:val="18"/>
              </w:rPr>
            </w:pPr>
          </w:p>
        </w:tc>
        <w:tc>
          <w:tcPr>
            <w:tcW w:w="1399" w:type="dxa"/>
            <w:vMerge/>
          </w:tcPr>
          <w:p w14:paraId="0F905085" w14:textId="77777777" w:rsidR="00BB55E0" w:rsidRPr="002926D7" w:rsidRDefault="00BB55E0" w:rsidP="002926D7">
            <w:pPr>
              <w:jc w:val="left"/>
              <w:rPr>
                <w:rFonts w:cs="Calibri"/>
                <w:b/>
                <w:sz w:val="18"/>
                <w:szCs w:val="18"/>
              </w:rPr>
            </w:pPr>
          </w:p>
        </w:tc>
        <w:tc>
          <w:tcPr>
            <w:tcW w:w="3150" w:type="dxa"/>
          </w:tcPr>
          <w:p w14:paraId="2E6DC81F" w14:textId="411160F1" w:rsidR="00BB55E0" w:rsidRPr="002926D7" w:rsidRDefault="00BB55E0" w:rsidP="002926D7">
            <w:pPr>
              <w:jc w:val="left"/>
              <w:rPr>
                <w:rFonts w:cs="Calibri"/>
                <w:b/>
                <w:sz w:val="18"/>
                <w:szCs w:val="18"/>
              </w:rPr>
            </w:pPr>
            <w:r w:rsidRPr="002926D7">
              <w:rPr>
                <w:rFonts w:cstheme="minorHAnsi"/>
                <w:b/>
                <w:iCs/>
                <w:sz w:val="18"/>
                <w:szCs w:val="18"/>
              </w:rPr>
              <w:t xml:space="preserve">Indicator </w:t>
            </w:r>
            <w:r w:rsidR="004E2E10" w:rsidRPr="002926D7">
              <w:rPr>
                <w:rFonts w:cstheme="minorHAnsi"/>
                <w:b/>
                <w:iCs/>
                <w:sz w:val="18"/>
                <w:szCs w:val="18"/>
              </w:rPr>
              <w:t>8</w:t>
            </w:r>
            <w:r w:rsidRPr="002926D7">
              <w:rPr>
                <w:rFonts w:cstheme="minorHAnsi"/>
                <w:b/>
                <w:iCs/>
                <w:sz w:val="18"/>
                <w:szCs w:val="18"/>
              </w:rPr>
              <w:t>:</w:t>
            </w:r>
            <w:r w:rsidRPr="002926D7">
              <w:rPr>
                <w:rFonts w:cstheme="minorHAnsi"/>
                <w:bCs/>
                <w:iCs/>
                <w:sz w:val="18"/>
                <w:szCs w:val="18"/>
              </w:rPr>
              <w:t xml:space="preserve"> </w:t>
            </w:r>
            <w:r w:rsidRPr="002926D7">
              <w:rPr>
                <w:rFonts w:cstheme="minorHAnsi"/>
                <w:bCs/>
                <w:sz w:val="18"/>
                <w:szCs w:val="18"/>
              </w:rPr>
              <w:t>Number of representatives from social inclusion group (indigenous people, women, youth, persons with disability, farmers, other marginalized groups) meaningfully engaged in multi-stakeholder dialogue platforms.</w:t>
            </w:r>
          </w:p>
        </w:tc>
        <w:tc>
          <w:tcPr>
            <w:tcW w:w="1719" w:type="dxa"/>
          </w:tcPr>
          <w:p w14:paraId="44A323E1" w14:textId="77777777" w:rsidR="00BB55E0" w:rsidRPr="002926D7" w:rsidRDefault="00BB55E0" w:rsidP="002926D7">
            <w:pPr>
              <w:jc w:val="left"/>
              <w:rPr>
                <w:rFonts w:cs="Calibri"/>
                <w:sz w:val="18"/>
                <w:szCs w:val="18"/>
              </w:rPr>
            </w:pPr>
            <w:r w:rsidRPr="002926D7">
              <w:rPr>
                <w:rFonts w:cstheme="minorHAnsi"/>
                <w:sz w:val="18"/>
                <w:szCs w:val="18"/>
              </w:rPr>
              <w:t>1,500</w:t>
            </w:r>
          </w:p>
        </w:tc>
        <w:tc>
          <w:tcPr>
            <w:tcW w:w="2329" w:type="dxa"/>
          </w:tcPr>
          <w:p w14:paraId="41A447AE" w14:textId="77777777" w:rsidR="00BB55E0" w:rsidRPr="002926D7" w:rsidRDefault="00BB55E0" w:rsidP="002926D7">
            <w:pPr>
              <w:jc w:val="left"/>
              <w:rPr>
                <w:rFonts w:cs="Calibri"/>
                <w:sz w:val="18"/>
                <w:szCs w:val="18"/>
              </w:rPr>
            </w:pPr>
            <w:r w:rsidRPr="002926D7">
              <w:rPr>
                <w:rFonts w:cs="Calibri"/>
                <w:sz w:val="18"/>
                <w:szCs w:val="18"/>
              </w:rPr>
              <w:t>This indicator is a metric on social inclusion in accordance with the principle of “leave no one behind”, facilitating the involvement of marginalized and vulnerable groups</w:t>
            </w:r>
            <w:r w:rsidRPr="002926D7">
              <w:t xml:space="preserve"> </w:t>
            </w:r>
            <w:r w:rsidRPr="002926D7">
              <w:rPr>
                <w:rFonts w:cs="Calibri"/>
                <w:sz w:val="18"/>
                <w:szCs w:val="18"/>
              </w:rPr>
              <w:t>participating in landscape-seascape planning.</w:t>
            </w:r>
          </w:p>
        </w:tc>
        <w:tc>
          <w:tcPr>
            <w:tcW w:w="1207" w:type="dxa"/>
          </w:tcPr>
          <w:p w14:paraId="565EA8FD" w14:textId="77777777" w:rsidR="00BB55E0" w:rsidRPr="002926D7" w:rsidRDefault="00BB55E0" w:rsidP="002926D7">
            <w:pPr>
              <w:jc w:val="left"/>
              <w:rPr>
                <w:rFonts w:cs="Calibri"/>
                <w:sz w:val="18"/>
                <w:szCs w:val="18"/>
              </w:rPr>
            </w:pPr>
            <w:r w:rsidRPr="002926D7">
              <w:rPr>
                <w:rFonts w:cs="Calibri"/>
                <w:sz w:val="18"/>
                <w:szCs w:val="18"/>
              </w:rPr>
              <w:t>Annually</w:t>
            </w:r>
          </w:p>
        </w:tc>
        <w:tc>
          <w:tcPr>
            <w:tcW w:w="1682" w:type="dxa"/>
          </w:tcPr>
          <w:p w14:paraId="0885D665" w14:textId="77777777" w:rsidR="00BB55E0" w:rsidRPr="002926D7" w:rsidRDefault="00BB55E0" w:rsidP="002926D7">
            <w:pPr>
              <w:jc w:val="left"/>
              <w:rPr>
                <w:rFonts w:cs="Calibri"/>
                <w:sz w:val="18"/>
                <w:szCs w:val="18"/>
              </w:rPr>
            </w:pPr>
            <w:r w:rsidRPr="002926D7">
              <w:rPr>
                <w:rFonts w:cs="Calibri"/>
                <w:sz w:val="18"/>
                <w:szCs w:val="18"/>
              </w:rPr>
              <w:t>SGP National Coordinators; UNDP Country Office</w:t>
            </w:r>
          </w:p>
          <w:p w14:paraId="117E8410" w14:textId="77777777" w:rsidR="00BB55E0" w:rsidRPr="002926D7" w:rsidRDefault="00BB55E0" w:rsidP="002926D7">
            <w:pPr>
              <w:jc w:val="left"/>
              <w:rPr>
                <w:rFonts w:cs="Calibri"/>
                <w:sz w:val="18"/>
                <w:szCs w:val="18"/>
              </w:rPr>
            </w:pPr>
          </w:p>
        </w:tc>
        <w:tc>
          <w:tcPr>
            <w:tcW w:w="1588" w:type="dxa"/>
          </w:tcPr>
          <w:p w14:paraId="3D9D0319" w14:textId="77777777" w:rsidR="00BB55E0" w:rsidRPr="002926D7" w:rsidRDefault="00BB55E0" w:rsidP="002926D7">
            <w:pPr>
              <w:jc w:val="left"/>
              <w:rPr>
                <w:rFonts w:cs="Calibri"/>
                <w:b/>
                <w:sz w:val="18"/>
                <w:szCs w:val="18"/>
              </w:rPr>
            </w:pPr>
            <w:r w:rsidRPr="002926D7">
              <w:rPr>
                <w:rFonts w:cstheme="minorHAnsi"/>
                <w:bCs/>
                <w:iCs/>
                <w:sz w:val="18"/>
                <w:szCs w:val="18"/>
              </w:rPr>
              <w:t>Terms of reference of multi-stakeholder governance and dialogue platforms; records of meetings</w:t>
            </w:r>
          </w:p>
        </w:tc>
      </w:tr>
      <w:tr w:rsidR="009E60A8" w:rsidRPr="002926D7" w14:paraId="4319DCD2" w14:textId="77777777" w:rsidTr="00BB55E0">
        <w:trPr>
          <w:trHeight w:val="20"/>
          <w:jc w:val="center"/>
        </w:trPr>
        <w:tc>
          <w:tcPr>
            <w:tcW w:w="1411" w:type="dxa"/>
            <w:vMerge/>
          </w:tcPr>
          <w:p w14:paraId="128D4AF8" w14:textId="77777777" w:rsidR="009E60A8" w:rsidRPr="002926D7" w:rsidRDefault="009E60A8" w:rsidP="002926D7">
            <w:pPr>
              <w:jc w:val="left"/>
              <w:rPr>
                <w:rFonts w:cs="Calibri"/>
                <w:b/>
                <w:sz w:val="18"/>
                <w:szCs w:val="18"/>
              </w:rPr>
            </w:pPr>
          </w:p>
        </w:tc>
        <w:tc>
          <w:tcPr>
            <w:tcW w:w="1399" w:type="dxa"/>
            <w:vMerge/>
          </w:tcPr>
          <w:p w14:paraId="5181D838" w14:textId="77777777" w:rsidR="009E60A8" w:rsidRPr="002926D7" w:rsidRDefault="009E60A8" w:rsidP="002926D7">
            <w:pPr>
              <w:jc w:val="left"/>
              <w:rPr>
                <w:rFonts w:cs="Calibri"/>
                <w:b/>
                <w:sz w:val="18"/>
                <w:szCs w:val="18"/>
              </w:rPr>
            </w:pPr>
          </w:p>
        </w:tc>
        <w:tc>
          <w:tcPr>
            <w:tcW w:w="3150" w:type="dxa"/>
          </w:tcPr>
          <w:p w14:paraId="7D50CB29" w14:textId="1B3F424E" w:rsidR="009E60A8" w:rsidRPr="002926D7" w:rsidRDefault="009E60A8" w:rsidP="002926D7">
            <w:pPr>
              <w:jc w:val="left"/>
              <w:rPr>
                <w:rFonts w:cstheme="minorHAnsi"/>
                <w:b/>
                <w:iCs/>
                <w:sz w:val="18"/>
                <w:szCs w:val="18"/>
              </w:rPr>
            </w:pPr>
            <w:bookmarkStart w:id="138" w:name="_Hlk161241033"/>
            <w:r w:rsidRPr="002926D7">
              <w:rPr>
                <w:rFonts w:cstheme="minorHAnsi"/>
                <w:b/>
                <w:iCs/>
                <w:sz w:val="18"/>
                <w:szCs w:val="18"/>
              </w:rPr>
              <w:t xml:space="preserve">Indicator 9: </w:t>
            </w:r>
            <w:r w:rsidRPr="002926D7">
              <w:rPr>
                <w:rFonts w:cstheme="minorHAnsi"/>
                <w:bCs/>
                <w:iCs/>
                <w:sz w:val="18"/>
                <w:szCs w:val="18"/>
              </w:rPr>
              <w:t>Number of SGP countries supporting legal identity and legal empowerment issues</w:t>
            </w:r>
            <w:bookmarkEnd w:id="138"/>
            <w:r w:rsidRPr="002926D7">
              <w:rPr>
                <w:rFonts w:cstheme="minorHAnsi"/>
                <w:bCs/>
                <w:iCs/>
                <w:sz w:val="18"/>
                <w:szCs w:val="18"/>
              </w:rPr>
              <w:t>.</w:t>
            </w:r>
          </w:p>
        </w:tc>
        <w:tc>
          <w:tcPr>
            <w:tcW w:w="1719" w:type="dxa"/>
          </w:tcPr>
          <w:p w14:paraId="1F8ED68A" w14:textId="28186243" w:rsidR="009E60A8" w:rsidRPr="002926D7" w:rsidRDefault="009E60A8" w:rsidP="002926D7">
            <w:pPr>
              <w:jc w:val="left"/>
              <w:rPr>
                <w:rFonts w:cstheme="minorHAnsi"/>
                <w:sz w:val="18"/>
                <w:szCs w:val="18"/>
              </w:rPr>
            </w:pPr>
            <w:r w:rsidRPr="002926D7">
              <w:rPr>
                <w:rFonts w:cstheme="minorHAnsi"/>
                <w:sz w:val="18"/>
                <w:szCs w:val="18"/>
              </w:rPr>
              <w:t>50% of the countries participating in OP8 Part 1</w:t>
            </w:r>
          </w:p>
        </w:tc>
        <w:tc>
          <w:tcPr>
            <w:tcW w:w="2329" w:type="dxa"/>
          </w:tcPr>
          <w:p w14:paraId="45C91C50" w14:textId="4A7E73FD" w:rsidR="009E60A8" w:rsidRPr="002926D7" w:rsidRDefault="009E60A8" w:rsidP="002926D7">
            <w:pPr>
              <w:jc w:val="left"/>
              <w:rPr>
                <w:rFonts w:cs="Calibri"/>
                <w:sz w:val="18"/>
                <w:szCs w:val="18"/>
              </w:rPr>
            </w:pPr>
            <w:r w:rsidRPr="002926D7">
              <w:rPr>
                <w:rFonts w:cs="Calibri"/>
                <w:sz w:val="18"/>
                <w:szCs w:val="18"/>
              </w:rPr>
              <w:t>This indicator measures how SGP countries are promoting legal identity and legal empowerment issues for local CSOs/CBOs.</w:t>
            </w:r>
          </w:p>
        </w:tc>
        <w:tc>
          <w:tcPr>
            <w:tcW w:w="1207" w:type="dxa"/>
          </w:tcPr>
          <w:p w14:paraId="4F4FFB09" w14:textId="70348DF8" w:rsidR="009E60A8" w:rsidRPr="002926D7" w:rsidRDefault="009E60A8" w:rsidP="002926D7">
            <w:pPr>
              <w:jc w:val="left"/>
              <w:rPr>
                <w:rFonts w:cs="Calibri"/>
                <w:sz w:val="18"/>
                <w:szCs w:val="18"/>
              </w:rPr>
            </w:pPr>
            <w:r w:rsidRPr="002926D7">
              <w:rPr>
                <w:rFonts w:cs="Calibri"/>
                <w:sz w:val="18"/>
                <w:szCs w:val="18"/>
              </w:rPr>
              <w:t>Annually</w:t>
            </w:r>
          </w:p>
        </w:tc>
        <w:tc>
          <w:tcPr>
            <w:tcW w:w="1682" w:type="dxa"/>
          </w:tcPr>
          <w:p w14:paraId="2B3753DD" w14:textId="77777777" w:rsidR="009E60A8" w:rsidRPr="002926D7" w:rsidRDefault="009E60A8" w:rsidP="002926D7">
            <w:pPr>
              <w:jc w:val="left"/>
              <w:rPr>
                <w:rFonts w:cs="Calibri"/>
                <w:sz w:val="18"/>
                <w:szCs w:val="18"/>
              </w:rPr>
            </w:pPr>
            <w:r w:rsidRPr="002926D7">
              <w:rPr>
                <w:rFonts w:cs="Calibri"/>
                <w:sz w:val="18"/>
                <w:szCs w:val="18"/>
              </w:rPr>
              <w:t>SGP National Coordinators; UNDP Country Office</w:t>
            </w:r>
          </w:p>
          <w:p w14:paraId="4A5E572B" w14:textId="77777777" w:rsidR="009E60A8" w:rsidRPr="002926D7" w:rsidRDefault="009E60A8" w:rsidP="002926D7">
            <w:pPr>
              <w:jc w:val="left"/>
              <w:rPr>
                <w:rFonts w:cs="Calibri"/>
                <w:sz w:val="18"/>
                <w:szCs w:val="18"/>
              </w:rPr>
            </w:pPr>
          </w:p>
        </w:tc>
        <w:tc>
          <w:tcPr>
            <w:tcW w:w="1588" w:type="dxa"/>
          </w:tcPr>
          <w:p w14:paraId="2042F0BA" w14:textId="52128ACB" w:rsidR="009E60A8" w:rsidRPr="002926D7" w:rsidRDefault="009E60A8" w:rsidP="002926D7">
            <w:pPr>
              <w:jc w:val="left"/>
              <w:rPr>
                <w:rFonts w:cs="Calibri"/>
                <w:sz w:val="18"/>
                <w:szCs w:val="18"/>
              </w:rPr>
            </w:pPr>
            <w:r w:rsidRPr="002926D7">
              <w:rPr>
                <w:rFonts w:cs="Calibri"/>
                <w:sz w:val="18"/>
                <w:szCs w:val="18"/>
              </w:rPr>
              <w:t>Country programme strategies; landscape-seascape strategies; impact reviews</w:t>
            </w:r>
          </w:p>
        </w:tc>
      </w:tr>
      <w:tr w:rsidR="009E60A8" w:rsidRPr="002926D7" w14:paraId="105AD3F1" w14:textId="77777777" w:rsidTr="00BB55E0">
        <w:trPr>
          <w:trHeight w:val="20"/>
          <w:jc w:val="center"/>
        </w:trPr>
        <w:tc>
          <w:tcPr>
            <w:tcW w:w="1411" w:type="dxa"/>
            <w:vMerge/>
          </w:tcPr>
          <w:p w14:paraId="6FC15CD8" w14:textId="77777777" w:rsidR="009E60A8" w:rsidRPr="002926D7" w:rsidRDefault="009E60A8" w:rsidP="002926D7">
            <w:pPr>
              <w:jc w:val="left"/>
              <w:rPr>
                <w:rFonts w:cs="Calibri"/>
                <w:b/>
                <w:sz w:val="18"/>
                <w:szCs w:val="18"/>
              </w:rPr>
            </w:pPr>
          </w:p>
        </w:tc>
        <w:tc>
          <w:tcPr>
            <w:tcW w:w="1399" w:type="dxa"/>
            <w:vMerge/>
          </w:tcPr>
          <w:p w14:paraId="6813B278" w14:textId="77777777" w:rsidR="009E60A8" w:rsidRPr="002926D7" w:rsidRDefault="009E60A8" w:rsidP="002926D7">
            <w:pPr>
              <w:jc w:val="left"/>
              <w:rPr>
                <w:rFonts w:cs="Calibri"/>
                <w:b/>
                <w:sz w:val="18"/>
                <w:szCs w:val="18"/>
              </w:rPr>
            </w:pPr>
          </w:p>
        </w:tc>
        <w:tc>
          <w:tcPr>
            <w:tcW w:w="3150" w:type="dxa"/>
          </w:tcPr>
          <w:p w14:paraId="56B283ED" w14:textId="52C0D285" w:rsidR="009E60A8" w:rsidRPr="002926D7" w:rsidRDefault="009E60A8" w:rsidP="002926D7">
            <w:pPr>
              <w:jc w:val="left"/>
              <w:rPr>
                <w:rFonts w:cstheme="minorHAnsi"/>
                <w:b/>
                <w:iCs/>
                <w:sz w:val="18"/>
                <w:szCs w:val="18"/>
              </w:rPr>
            </w:pPr>
            <w:r w:rsidRPr="002926D7">
              <w:rPr>
                <w:rFonts w:cstheme="minorHAnsi"/>
                <w:b/>
                <w:iCs/>
                <w:sz w:val="18"/>
                <w:szCs w:val="18"/>
              </w:rPr>
              <w:t xml:space="preserve">Indicator </w:t>
            </w:r>
            <w:r w:rsidR="00A1598C" w:rsidRPr="002926D7">
              <w:rPr>
                <w:rFonts w:cstheme="minorHAnsi"/>
                <w:b/>
                <w:iCs/>
                <w:sz w:val="18"/>
                <w:szCs w:val="18"/>
              </w:rPr>
              <w:t>10</w:t>
            </w:r>
            <w:r w:rsidRPr="002926D7">
              <w:rPr>
                <w:rFonts w:cstheme="minorHAnsi"/>
                <w:b/>
                <w:iCs/>
                <w:sz w:val="18"/>
                <w:szCs w:val="18"/>
              </w:rPr>
              <w:t>:</w:t>
            </w:r>
            <w:r w:rsidRPr="002926D7">
              <w:rPr>
                <w:rFonts w:cstheme="minorHAnsi"/>
                <w:bCs/>
                <w:iCs/>
                <w:sz w:val="18"/>
                <w:szCs w:val="18"/>
              </w:rPr>
              <w:t xml:space="preserve"> </w:t>
            </w:r>
            <w:r w:rsidRPr="002926D7">
              <w:rPr>
                <w:rFonts w:cstheme="minorHAnsi"/>
                <w:bCs/>
                <w:sz w:val="18"/>
                <w:szCs w:val="18"/>
              </w:rPr>
              <w:t>Number of CSO-government-private sector dialogues formed or strengthened</w:t>
            </w:r>
            <w:r w:rsidR="007711D3" w:rsidRPr="002926D7">
              <w:rPr>
                <w:rFonts w:cstheme="minorHAnsi"/>
                <w:bCs/>
                <w:sz w:val="18"/>
                <w:szCs w:val="18"/>
              </w:rPr>
              <w:t>.</w:t>
            </w:r>
          </w:p>
        </w:tc>
        <w:tc>
          <w:tcPr>
            <w:tcW w:w="1719" w:type="dxa"/>
          </w:tcPr>
          <w:p w14:paraId="197C0F3D" w14:textId="77777777" w:rsidR="009E60A8" w:rsidRPr="002926D7" w:rsidRDefault="009E60A8" w:rsidP="002926D7">
            <w:pPr>
              <w:jc w:val="left"/>
              <w:rPr>
                <w:rFonts w:cstheme="minorHAnsi"/>
                <w:sz w:val="18"/>
                <w:szCs w:val="18"/>
              </w:rPr>
            </w:pPr>
            <w:r w:rsidRPr="002926D7">
              <w:rPr>
                <w:rFonts w:cstheme="minorHAnsi"/>
                <w:sz w:val="18"/>
                <w:szCs w:val="18"/>
              </w:rPr>
              <w:t>180 dialogues</w:t>
            </w:r>
          </w:p>
        </w:tc>
        <w:tc>
          <w:tcPr>
            <w:tcW w:w="2329" w:type="dxa"/>
          </w:tcPr>
          <w:p w14:paraId="47615F77" w14:textId="77777777" w:rsidR="009E60A8" w:rsidRPr="002926D7" w:rsidRDefault="009E60A8" w:rsidP="002926D7">
            <w:pPr>
              <w:jc w:val="left"/>
              <w:rPr>
                <w:rFonts w:cs="Calibri"/>
                <w:sz w:val="18"/>
                <w:szCs w:val="18"/>
              </w:rPr>
            </w:pPr>
          </w:p>
        </w:tc>
        <w:tc>
          <w:tcPr>
            <w:tcW w:w="1207" w:type="dxa"/>
          </w:tcPr>
          <w:p w14:paraId="7D983CEE" w14:textId="77777777" w:rsidR="009E60A8" w:rsidRPr="002926D7" w:rsidRDefault="009E60A8" w:rsidP="002926D7">
            <w:pPr>
              <w:jc w:val="left"/>
              <w:rPr>
                <w:rFonts w:cs="Calibri"/>
                <w:sz w:val="18"/>
                <w:szCs w:val="18"/>
              </w:rPr>
            </w:pPr>
            <w:r w:rsidRPr="002926D7">
              <w:rPr>
                <w:rFonts w:cs="Calibri"/>
                <w:sz w:val="18"/>
                <w:szCs w:val="18"/>
              </w:rPr>
              <w:t>Annually</w:t>
            </w:r>
          </w:p>
        </w:tc>
        <w:tc>
          <w:tcPr>
            <w:tcW w:w="1682" w:type="dxa"/>
          </w:tcPr>
          <w:p w14:paraId="54667B75" w14:textId="77777777" w:rsidR="009E60A8" w:rsidRPr="002926D7" w:rsidRDefault="009E60A8" w:rsidP="002926D7">
            <w:pPr>
              <w:jc w:val="left"/>
              <w:rPr>
                <w:rFonts w:cs="Calibri"/>
                <w:sz w:val="18"/>
                <w:szCs w:val="18"/>
              </w:rPr>
            </w:pPr>
            <w:r w:rsidRPr="002926D7">
              <w:rPr>
                <w:rFonts w:cs="Calibri"/>
                <w:sz w:val="18"/>
                <w:szCs w:val="18"/>
              </w:rPr>
              <w:t>SGP National Coordinators; UNDP Country Office</w:t>
            </w:r>
          </w:p>
          <w:p w14:paraId="7A9B2139" w14:textId="77777777" w:rsidR="009E60A8" w:rsidRPr="002926D7" w:rsidRDefault="009E60A8" w:rsidP="002926D7">
            <w:pPr>
              <w:jc w:val="left"/>
              <w:rPr>
                <w:rFonts w:cs="Calibri"/>
                <w:sz w:val="18"/>
                <w:szCs w:val="18"/>
              </w:rPr>
            </w:pPr>
          </w:p>
        </w:tc>
        <w:tc>
          <w:tcPr>
            <w:tcW w:w="1588" w:type="dxa"/>
          </w:tcPr>
          <w:p w14:paraId="2C56933A" w14:textId="77777777" w:rsidR="009E60A8" w:rsidRPr="002926D7" w:rsidRDefault="009E60A8" w:rsidP="002926D7">
            <w:pPr>
              <w:jc w:val="left"/>
              <w:rPr>
                <w:rFonts w:cs="Calibri"/>
                <w:sz w:val="18"/>
                <w:szCs w:val="18"/>
              </w:rPr>
            </w:pPr>
            <w:r w:rsidRPr="002926D7">
              <w:rPr>
                <w:rFonts w:cs="Calibri"/>
                <w:sz w:val="18"/>
                <w:szCs w:val="18"/>
              </w:rPr>
              <w:lastRenderedPageBreak/>
              <w:t>Grantee monitoring reports; Impact reviews</w:t>
            </w:r>
          </w:p>
        </w:tc>
      </w:tr>
      <w:tr w:rsidR="009E60A8" w:rsidRPr="002926D7" w14:paraId="5D44761E" w14:textId="77777777" w:rsidTr="00BB55E0">
        <w:trPr>
          <w:trHeight w:val="20"/>
          <w:jc w:val="center"/>
        </w:trPr>
        <w:tc>
          <w:tcPr>
            <w:tcW w:w="1411" w:type="dxa"/>
            <w:vMerge/>
          </w:tcPr>
          <w:p w14:paraId="07817D0D" w14:textId="77777777" w:rsidR="009E60A8" w:rsidRPr="002926D7" w:rsidRDefault="009E60A8" w:rsidP="002926D7">
            <w:pPr>
              <w:jc w:val="left"/>
              <w:rPr>
                <w:rFonts w:cs="Calibri"/>
                <w:b/>
                <w:sz w:val="18"/>
                <w:szCs w:val="18"/>
              </w:rPr>
            </w:pPr>
          </w:p>
        </w:tc>
        <w:tc>
          <w:tcPr>
            <w:tcW w:w="1399" w:type="dxa"/>
            <w:vMerge w:val="restart"/>
          </w:tcPr>
          <w:p w14:paraId="0DA70D8E" w14:textId="77777777" w:rsidR="009E60A8" w:rsidRPr="002926D7" w:rsidRDefault="009E60A8" w:rsidP="002926D7">
            <w:pPr>
              <w:jc w:val="left"/>
              <w:rPr>
                <w:rFonts w:cs="Calibri"/>
                <w:b/>
                <w:sz w:val="18"/>
                <w:szCs w:val="18"/>
              </w:rPr>
            </w:pPr>
            <w:r w:rsidRPr="002926D7">
              <w:rPr>
                <w:rFonts w:cs="Calibri"/>
                <w:b/>
                <w:sz w:val="18"/>
                <w:szCs w:val="18"/>
              </w:rPr>
              <w:t>Project Outcome 2.1</w:t>
            </w:r>
          </w:p>
          <w:p w14:paraId="5CBFAC0B" w14:textId="77777777" w:rsidR="009E60A8" w:rsidRPr="002926D7" w:rsidRDefault="009E60A8" w:rsidP="002926D7">
            <w:pPr>
              <w:jc w:val="left"/>
              <w:rPr>
                <w:rFonts w:cs="Calibri"/>
                <w:b/>
                <w:sz w:val="18"/>
                <w:szCs w:val="18"/>
              </w:rPr>
            </w:pPr>
            <w:r w:rsidRPr="002926D7">
              <w:rPr>
                <w:rFonts w:eastAsia="Calibri" w:cstheme="minorHAnsi"/>
                <w:bCs/>
                <w:color w:val="000000" w:themeColor="text1"/>
                <w:sz w:val="18"/>
                <w:szCs w:val="18"/>
              </w:rPr>
              <w:t>Landscape-seascape strategic objectives advanced through community-led grants</w:t>
            </w:r>
          </w:p>
        </w:tc>
        <w:tc>
          <w:tcPr>
            <w:tcW w:w="3150" w:type="dxa"/>
          </w:tcPr>
          <w:p w14:paraId="40380953" w14:textId="4A592869" w:rsidR="009E60A8" w:rsidRPr="002926D7" w:rsidRDefault="009E60A8" w:rsidP="002926D7">
            <w:pPr>
              <w:jc w:val="left"/>
              <w:rPr>
                <w:rFonts w:cs="Calibri"/>
                <w:b/>
                <w:sz w:val="18"/>
                <w:szCs w:val="18"/>
              </w:rPr>
            </w:pPr>
            <w:r w:rsidRPr="002926D7">
              <w:rPr>
                <w:rFonts w:cstheme="minorHAnsi"/>
                <w:b/>
                <w:iCs/>
                <w:sz w:val="18"/>
                <w:szCs w:val="18"/>
              </w:rPr>
              <w:t>Indicator 1</w:t>
            </w:r>
            <w:r w:rsidR="00A1598C" w:rsidRPr="002926D7">
              <w:rPr>
                <w:rFonts w:cstheme="minorHAnsi"/>
                <w:b/>
                <w:iCs/>
                <w:sz w:val="18"/>
                <w:szCs w:val="18"/>
              </w:rPr>
              <w:t>1</w:t>
            </w:r>
            <w:r w:rsidRPr="002926D7">
              <w:rPr>
                <w:rFonts w:cstheme="minorHAnsi"/>
                <w:b/>
                <w:iCs/>
                <w:sz w:val="18"/>
                <w:szCs w:val="18"/>
              </w:rPr>
              <w:t>:</w:t>
            </w:r>
            <w:r w:rsidRPr="002926D7">
              <w:rPr>
                <w:rFonts w:cstheme="minorHAnsi"/>
                <w:bCs/>
                <w:iCs/>
                <w:sz w:val="18"/>
                <w:szCs w:val="18"/>
              </w:rPr>
              <w:t xml:space="preserve"> </w:t>
            </w:r>
            <w:r w:rsidRPr="002926D7">
              <w:rPr>
                <w:rFonts w:cstheme="minorHAnsi"/>
                <w:bCs/>
                <w:sz w:val="18"/>
                <w:szCs w:val="18"/>
              </w:rPr>
              <w:t>Number of SGP countries supporting partnerships to advance sustainable agriculture and fisheries and/or food security (such as diversification, sustainable intensification, sustainable fisheries management, agroecological farming practices, climate-smart agriculture, certification programmes, local sourcing initiatives, waste reduction and circular economy, etc.)</w:t>
            </w:r>
          </w:p>
        </w:tc>
        <w:tc>
          <w:tcPr>
            <w:tcW w:w="1719" w:type="dxa"/>
          </w:tcPr>
          <w:p w14:paraId="40CA7B23" w14:textId="77777777" w:rsidR="009E60A8" w:rsidRPr="002926D7" w:rsidRDefault="009E60A8" w:rsidP="002926D7">
            <w:pPr>
              <w:jc w:val="left"/>
              <w:rPr>
                <w:rFonts w:cs="Calibri"/>
                <w:sz w:val="18"/>
                <w:szCs w:val="18"/>
              </w:rPr>
            </w:pPr>
            <w:r w:rsidRPr="002926D7">
              <w:rPr>
                <w:rFonts w:cstheme="minorHAnsi"/>
                <w:sz w:val="18"/>
                <w:szCs w:val="18"/>
              </w:rPr>
              <w:t>25 SGP countries (approx. 25% of the OP8 Part 1 portfolio)</w:t>
            </w:r>
          </w:p>
        </w:tc>
        <w:tc>
          <w:tcPr>
            <w:tcW w:w="2329" w:type="dxa"/>
          </w:tcPr>
          <w:p w14:paraId="32E2BA38" w14:textId="77777777" w:rsidR="009E60A8" w:rsidRPr="002926D7" w:rsidRDefault="009E60A8" w:rsidP="002926D7">
            <w:pPr>
              <w:jc w:val="left"/>
              <w:rPr>
                <w:rFonts w:cs="Calibri"/>
                <w:sz w:val="18"/>
                <w:szCs w:val="18"/>
              </w:rPr>
            </w:pPr>
            <w:r w:rsidRPr="002926D7">
              <w:rPr>
                <w:rFonts w:cs="Calibri"/>
                <w:sz w:val="18"/>
                <w:szCs w:val="18"/>
              </w:rPr>
              <w:t>This indicator assesses the collaborative efforts SGP countries in promoting sustainable practices and food security within the agriculture and fisheries sectors.</w:t>
            </w:r>
          </w:p>
        </w:tc>
        <w:tc>
          <w:tcPr>
            <w:tcW w:w="1207" w:type="dxa"/>
          </w:tcPr>
          <w:p w14:paraId="3F0EBB47" w14:textId="77777777" w:rsidR="009E60A8" w:rsidRPr="002926D7" w:rsidRDefault="009E60A8" w:rsidP="002926D7">
            <w:pPr>
              <w:jc w:val="left"/>
              <w:rPr>
                <w:rFonts w:cs="Calibri"/>
                <w:sz w:val="18"/>
                <w:szCs w:val="18"/>
              </w:rPr>
            </w:pPr>
            <w:r w:rsidRPr="002926D7">
              <w:rPr>
                <w:rFonts w:cs="Calibri"/>
                <w:sz w:val="18"/>
                <w:szCs w:val="18"/>
              </w:rPr>
              <w:t>Annually</w:t>
            </w:r>
          </w:p>
        </w:tc>
        <w:tc>
          <w:tcPr>
            <w:tcW w:w="1682" w:type="dxa"/>
          </w:tcPr>
          <w:p w14:paraId="333370D4" w14:textId="77777777" w:rsidR="009E60A8" w:rsidRPr="002926D7" w:rsidRDefault="009E60A8" w:rsidP="002926D7">
            <w:pPr>
              <w:jc w:val="left"/>
              <w:rPr>
                <w:rFonts w:cs="Calibri"/>
                <w:sz w:val="18"/>
                <w:szCs w:val="18"/>
              </w:rPr>
            </w:pPr>
            <w:r w:rsidRPr="002926D7">
              <w:rPr>
                <w:rFonts w:cs="Calibri"/>
                <w:sz w:val="18"/>
                <w:szCs w:val="18"/>
              </w:rPr>
              <w:t>SGP National Coordinators; UNDP Country Office</w:t>
            </w:r>
          </w:p>
          <w:p w14:paraId="577C4D48" w14:textId="77777777" w:rsidR="009E60A8" w:rsidRPr="002926D7" w:rsidRDefault="009E60A8" w:rsidP="002926D7">
            <w:pPr>
              <w:jc w:val="left"/>
              <w:rPr>
                <w:rFonts w:cs="Calibri"/>
                <w:sz w:val="18"/>
                <w:szCs w:val="18"/>
              </w:rPr>
            </w:pPr>
          </w:p>
        </w:tc>
        <w:tc>
          <w:tcPr>
            <w:tcW w:w="1588" w:type="dxa"/>
          </w:tcPr>
          <w:p w14:paraId="56AD9BF2" w14:textId="77777777" w:rsidR="009E60A8" w:rsidRPr="002926D7" w:rsidRDefault="009E60A8" w:rsidP="002926D7">
            <w:pPr>
              <w:jc w:val="left"/>
              <w:rPr>
                <w:rFonts w:cs="Calibri"/>
                <w:sz w:val="18"/>
                <w:szCs w:val="18"/>
              </w:rPr>
            </w:pPr>
            <w:r w:rsidRPr="002926D7">
              <w:rPr>
                <w:rFonts w:cs="Calibri"/>
                <w:sz w:val="18"/>
                <w:szCs w:val="18"/>
              </w:rPr>
              <w:t>Grantee monitoring reports; Impact reviews</w:t>
            </w:r>
          </w:p>
        </w:tc>
      </w:tr>
      <w:tr w:rsidR="009E60A8" w:rsidRPr="002926D7" w14:paraId="1177DE58" w14:textId="77777777" w:rsidTr="00BB55E0">
        <w:trPr>
          <w:trHeight w:val="20"/>
          <w:jc w:val="center"/>
        </w:trPr>
        <w:tc>
          <w:tcPr>
            <w:tcW w:w="1411" w:type="dxa"/>
            <w:vMerge/>
          </w:tcPr>
          <w:p w14:paraId="2674499F" w14:textId="77777777" w:rsidR="009E60A8" w:rsidRPr="002926D7" w:rsidRDefault="009E60A8" w:rsidP="002926D7">
            <w:pPr>
              <w:jc w:val="left"/>
              <w:rPr>
                <w:rFonts w:cs="Calibri"/>
                <w:b/>
                <w:sz w:val="18"/>
                <w:szCs w:val="18"/>
              </w:rPr>
            </w:pPr>
          </w:p>
        </w:tc>
        <w:tc>
          <w:tcPr>
            <w:tcW w:w="1399" w:type="dxa"/>
            <w:vMerge/>
          </w:tcPr>
          <w:p w14:paraId="563921BE" w14:textId="77777777" w:rsidR="009E60A8" w:rsidRPr="002926D7" w:rsidRDefault="009E60A8" w:rsidP="002926D7">
            <w:pPr>
              <w:jc w:val="left"/>
              <w:rPr>
                <w:rFonts w:cs="Calibri"/>
                <w:b/>
                <w:sz w:val="18"/>
                <w:szCs w:val="18"/>
              </w:rPr>
            </w:pPr>
          </w:p>
        </w:tc>
        <w:tc>
          <w:tcPr>
            <w:tcW w:w="3150" w:type="dxa"/>
          </w:tcPr>
          <w:p w14:paraId="68D04CB7" w14:textId="597013CB" w:rsidR="009E60A8" w:rsidRPr="002926D7" w:rsidRDefault="009E60A8" w:rsidP="002926D7">
            <w:pPr>
              <w:jc w:val="left"/>
              <w:rPr>
                <w:rFonts w:cs="Calibri"/>
                <w:b/>
                <w:sz w:val="18"/>
                <w:szCs w:val="18"/>
              </w:rPr>
            </w:pPr>
            <w:r w:rsidRPr="002926D7">
              <w:rPr>
                <w:rFonts w:cstheme="minorHAnsi"/>
                <w:b/>
                <w:iCs/>
                <w:sz w:val="18"/>
                <w:szCs w:val="18"/>
              </w:rPr>
              <w:t>Indicator 1</w:t>
            </w:r>
            <w:r w:rsidR="00A1598C" w:rsidRPr="002926D7">
              <w:rPr>
                <w:rFonts w:cstheme="minorHAnsi"/>
                <w:b/>
                <w:iCs/>
                <w:sz w:val="18"/>
                <w:szCs w:val="18"/>
              </w:rPr>
              <w:t>2</w:t>
            </w:r>
            <w:r w:rsidRPr="002926D7">
              <w:rPr>
                <w:rFonts w:cstheme="minorHAnsi"/>
                <w:bCs/>
                <w:iCs/>
                <w:sz w:val="18"/>
                <w:szCs w:val="18"/>
              </w:rPr>
              <w:t>: Number of locally adapted solutions promoting low-carbon technologies (such as</w:t>
            </w:r>
            <w:r w:rsidRPr="002926D7">
              <w:t xml:space="preserve"> </w:t>
            </w:r>
            <w:r w:rsidRPr="002926D7">
              <w:rPr>
                <w:rFonts w:cstheme="minorHAnsi"/>
                <w:bCs/>
                <w:iCs/>
                <w:sz w:val="18"/>
                <w:szCs w:val="18"/>
              </w:rPr>
              <w:t>new/modified biogas technology, locally developed energy-efficient stoves, innovative uses of solar/wind energy, etc.)</w:t>
            </w:r>
          </w:p>
        </w:tc>
        <w:tc>
          <w:tcPr>
            <w:tcW w:w="1719" w:type="dxa"/>
          </w:tcPr>
          <w:p w14:paraId="1A1BE864" w14:textId="77777777" w:rsidR="009E60A8" w:rsidRPr="002926D7" w:rsidRDefault="009E60A8" w:rsidP="002926D7">
            <w:pPr>
              <w:jc w:val="left"/>
              <w:rPr>
                <w:rFonts w:cs="Calibri"/>
                <w:sz w:val="18"/>
                <w:szCs w:val="18"/>
              </w:rPr>
            </w:pPr>
            <w:r w:rsidRPr="002926D7">
              <w:rPr>
                <w:rFonts w:cstheme="minorHAnsi"/>
                <w:sz w:val="18"/>
                <w:szCs w:val="18"/>
              </w:rPr>
              <w:t>70 locally adapted low emission development solutions</w:t>
            </w:r>
          </w:p>
        </w:tc>
        <w:tc>
          <w:tcPr>
            <w:tcW w:w="2329" w:type="dxa"/>
          </w:tcPr>
          <w:p w14:paraId="3BAF0AFC" w14:textId="77777777" w:rsidR="009E60A8" w:rsidRPr="002926D7" w:rsidRDefault="009E60A8" w:rsidP="002926D7">
            <w:pPr>
              <w:jc w:val="left"/>
              <w:rPr>
                <w:rFonts w:cs="Calibri"/>
                <w:sz w:val="18"/>
                <w:szCs w:val="18"/>
              </w:rPr>
            </w:pPr>
            <w:r w:rsidRPr="002926D7">
              <w:rPr>
                <w:rFonts w:cs="Calibri"/>
                <w:sz w:val="18"/>
                <w:szCs w:val="18"/>
              </w:rPr>
              <w:t>This indicator is a metric of innovative solutions implemented at the local level to advance the adoption of low-carbon technologies.</w:t>
            </w:r>
          </w:p>
        </w:tc>
        <w:tc>
          <w:tcPr>
            <w:tcW w:w="1207" w:type="dxa"/>
          </w:tcPr>
          <w:p w14:paraId="45454A66" w14:textId="77777777" w:rsidR="009E60A8" w:rsidRPr="002926D7" w:rsidRDefault="009E60A8" w:rsidP="002926D7">
            <w:pPr>
              <w:jc w:val="left"/>
              <w:rPr>
                <w:rFonts w:cs="Calibri"/>
                <w:sz w:val="18"/>
                <w:szCs w:val="18"/>
              </w:rPr>
            </w:pPr>
            <w:r w:rsidRPr="002926D7">
              <w:rPr>
                <w:rFonts w:cs="Calibri"/>
                <w:sz w:val="18"/>
                <w:szCs w:val="18"/>
              </w:rPr>
              <w:t>Annually</w:t>
            </w:r>
          </w:p>
        </w:tc>
        <w:tc>
          <w:tcPr>
            <w:tcW w:w="1682" w:type="dxa"/>
          </w:tcPr>
          <w:p w14:paraId="0E4417A1" w14:textId="77777777" w:rsidR="009E60A8" w:rsidRPr="002926D7" w:rsidRDefault="009E60A8" w:rsidP="002926D7">
            <w:pPr>
              <w:jc w:val="left"/>
              <w:rPr>
                <w:rFonts w:cs="Calibri"/>
                <w:sz w:val="18"/>
                <w:szCs w:val="18"/>
              </w:rPr>
            </w:pPr>
            <w:r w:rsidRPr="002926D7">
              <w:rPr>
                <w:rFonts w:cs="Calibri"/>
                <w:sz w:val="18"/>
                <w:szCs w:val="18"/>
              </w:rPr>
              <w:t>UNDP Country Offices; National Coordinators</w:t>
            </w:r>
          </w:p>
        </w:tc>
        <w:tc>
          <w:tcPr>
            <w:tcW w:w="1588" w:type="dxa"/>
          </w:tcPr>
          <w:p w14:paraId="654B3688" w14:textId="77777777" w:rsidR="009E60A8" w:rsidRPr="002926D7" w:rsidRDefault="009E60A8" w:rsidP="002926D7">
            <w:pPr>
              <w:jc w:val="left"/>
              <w:rPr>
                <w:rFonts w:cs="Calibri"/>
                <w:sz w:val="18"/>
                <w:szCs w:val="18"/>
              </w:rPr>
            </w:pPr>
            <w:r w:rsidRPr="002926D7">
              <w:rPr>
                <w:rFonts w:cs="Calibri"/>
                <w:sz w:val="18"/>
                <w:szCs w:val="18"/>
              </w:rPr>
              <w:t>AMR; Grantee monitoring reports; Impact reviews; SGP database</w:t>
            </w:r>
          </w:p>
        </w:tc>
      </w:tr>
      <w:tr w:rsidR="009E60A8" w:rsidRPr="002926D7" w14:paraId="3D5A274C" w14:textId="77777777" w:rsidTr="00BB55E0">
        <w:trPr>
          <w:trHeight w:val="20"/>
          <w:jc w:val="center"/>
        </w:trPr>
        <w:tc>
          <w:tcPr>
            <w:tcW w:w="1411" w:type="dxa"/>
            <w:vMerge/>
          </w:tcPr>
          <w:p w14:paraId="3E998EC4" w14:textId="77777777" w:rsidR="009E60A8" w:rsidRPr="002926D7" w:rsidRDefault="009E60A8" w:rsidP="002926D7">
            <w:pPr>
              <w:jc w:val="left"/>
              <w:rPr>
                <w:rFonts w:cs="Calibri"/>
                <w:b/>
                <w:sz w:val="18"/>
                <w:szCs w:val="18"/>
              </w:rPr>
            </w:pPr>
          </w:p>
        </w:tc>
        <w:tc>
          <w:tcPr>
            <w:tcW w:w="1399" w:type="dxa"/>
            <w:vMerge/>
          </w:tcPr>
          <w:p w14:paraId="2406C2E8" w14:textId="77777777" w:rsidR="009E60A8" w:rsidRPr="002926D7" w:rsidRDefault="009E60A8" w:rsidP="002926D7">
            <w:pPr>
              <w:jc w:val="left"/>
              <w:rPr>
                <w:rFonts w:cs="Calibri"/>
                <w:b/>
                <w:sz w:val="18"/>
                <w:szCs w:val="18"/>
              </w:rPr>
            </w:pPr>
          </w:p>
        </w:tc>
        <w:tc>
          <w:tcPr>
            <w:tcW w:w="3150" w:type="dxa"/>
          </w:tcPr>
          <w:p w14:paraId="326FFF9F" w14:textId="3BB42FCF" w:rsidR="009E60A8" w:rsidRPr="002926D7" w:rsidRDefault="009E60A8" w:rsidP="002926D7">
            <w:pPr>
              <w:jc w:val="left"/>
              <w:rPr>
                <w:rFonts w:cs="Calibri"/>
                <w:b/>
                <w:sz w:val="18"/>
                <w:szCs w:val="18"/>
              </w:rPr>
            </w:pPr>
            <w:r w:rsidRPr="002926D7">
              <w:rPr>
                <w:rFonts w:cstheme="minorHAnsi"/>
                <w:b/>
                <w:iCs/>
                <w:sz w:val="18"/>
                <w:szCs w:val="18"/>
              </w:rPr>
              <w:t>Indicator 1</w:t>
            </w:r>
            <w:r w:rsidR="00A1598C" w:rsidRPr="002926D7">
              <w:rPr>
                <w:rFonts w:cstheme="minorHAnsi"/>
                <w:b/>
                <w:iCs/>
                <w:sz w:val="18"/>
                <w:szCs w:val="18"/>
              </w:rPr>
              <w:t>3</w:t>
            </w:r>
            <w:r w:rsidRPr="002926D7">
              <w:rPr>
                <w:rFonts w:cstheme="minorHAnsi"/>
                <w:bCs/>
                <w:iCs/>
                <w:sz w:val="18"/>
                <w:szCs w:val="18"/>
              </w:rPr>
              <w:t>: Increase in installed renewable energy capacity from community-scale systems (e.g., biomass, micro-hydro, solar, etc.)</w:t>
            </w:r>
          </w:p>
        </w:tc>
        <w:tc>
          <w:tcPr>
            <w:tcW w:w="1719" w:type="dxa"/>
          </w:tcPr>
          <w:p w14:paraId="0DAE393A" w14:textId="77777777" w:rsidR="009E60A8" w:rsidRPr="002926D7" w:rsidRDefault="009E60A8" w:rsidP="002926D7">
            <w:pPr>
              <w:jc w:val="left"/>
              <w:rPr>
                <w:rFonts w:cs="Calibri"/>
                <w:sz w:val="18"/>
                <w:szCs w:val="18"/>
              </w:rPr>
            </w:pPr>
            <w:r w:rsidRPr="002926D7">
              <w:rPr>
                <w:rFonts w:cstheme="minorHAnsi"/>
                <w:sz w:val="18"/>
                <w:szCs w:val="18"/>
              </w:rPr>
              <w:t>150 kW increased renewable energy capacity</w:t>
            </w:r>
          </w:p>
        </w:tc>
        <w:tc>
          <w:tcPr>
            <w:tcW w:w="2329" w:type="dxa"/>
          </w:tcPr>
          <w:p w14:paraId="6FD61DF7" w14:textId="77777777" w:rsidR="009E60A8" w:rsidRPr="002926D7" w:rsidRDefault="009E60A8" w:rsidP="002926D7">
            <w:pPr>
              <w:jc w:val="left"/>
              <w:rPr>
                <w:rFonts w:cs="Calibri"/>
                <w:sz w:val="18"/>
                <w:szCs w:val="18"/>
              </w:rPr>
            </w:pPr>
            <w:r w:rsidRPr="002926D7">
              <w:rPr>
                <w:rFonts w:cs="Calibri"/>
                <w:sz w:val="18"/>
                <w:szCs w:val="18"/>
              </w:rPr>
              <w:t>This indicator measures the growth in the power generation capability derived from renewable sources within community-level infrastructure.</w:t>
            </w:r>
          </w:p>
        </w:tc>
        <w:tc>
          <w:tcPr>
            <w:tcW w:w="1207" w:type="dxa"/>
          </w:tcPr>
          <w:p w14:paraId="044879E8" w14:textId="77777777" w:rsidR="009E60A8" w:rsidRPr="002926D7" w:rsidRDefault="009E60A8" w:rsidP="002926D7">
            <w:pPr>
              <w:jc w:val="left"/>
              <w:rPr>
                <w:rFonts w:cs="Calibri"/>
                <w:sz w:val="18"/>
                <w:szCs w:val="18"/>
              </w:rPr>
            </w:pPr>
            <w:r w:rsidRPr="002926D7">
              <w:rPr>
                <w:rFonts w:cs="Calibri"/>
                <w:sz w:val="18"/>
                <w:szCs w:val="18"/>
              </w:rPr>
              <w:t>Annually</w:t>
            </w:r>
          </w:p>
        </w:tc>
        <w:tc>
          <w:tcPr>
            <w:tcW w:w="1682" w:type="dxa"/>
          </w:tcPr>
          <w:p w14:paraId="6B795F6B" w14:textId="77777777" w:rsidR="009E60A8" w:rsidRPr="002926D7" w:rsidRDefault="009E60A8" w:rsidP="002926D7">
            <w:pPr>
              <w:jc w:val="left"/>
              <w:rPr>
                <w:rFonts w:cs="Calibri"/>
                <w:sz w:val="18"/>
                <w:szCs w:val="18"/>
              </w:rPr>
            </w:pPr>
            <w:r w:rsidRPr="002926D7">
              <w:rPr>
                <w:rFonts w:cs="Calibri"/>
                <w:sz w:val="18"/>
                <w:szCs w:val="18"/>
              </w:rPr>
              <w:t>SGP National Coordinators; UNDP Country Office</w:t>
            </w:r>
          </w:p>
          <w:p w14:paraId="2A4E772C" w14:textId="77777777" w:rsidR="009E60A8" w:rsidRPr="002926D7" w:rsidRDefault="009E60A8" w:rsidP="002926D7">
            <w:pPr>
              <w:jc w:val="left"/>
              <w:rPr>
                <w:rFonts w:cs="Calibri"/>
                <w:sz w:val="18"/>
                <w:szCs w:val="18"/>
              </w:rPr>
            </w:pPr>
          </w:p>
        </w:tc>
        <w:tc>
          <w:tcPr>
            <w:tcW w:w="1588" w:type="dxa"/>
          </w:tcPr>
          <w:p w14:paraId="1F3E8AA9" w14:textId="77777777" w:rsidR="009E60A8" w:rsidRPr="002926D7" w:rsidRDefault="009E60A8" w:rsidP="002926D7">
            <w:pPr>
              <w:jc w:val="left"/>
              <w:rPr>
                <w:rFonts w:cs="Calibri"/>
                <w:sz w:val="18"/>
                <w:szCs w:val="18"/>
              </w:rPr>
            </w:pPr>
            <w:r w:rsidRPr="002926D7">
              <w:rPr>
                <w:rFonts w:cs="Calibri"/>
                <w:sz w:val="18"/>
                <w:szCs w:val="18"/>
              </w:rPr>
              <w:t>Grantee monitoring reports; Impact reviews</w:t>
            </w:r>
          </w:p>
        </w:tc>
      </w:tr>
      <w:tr w:rsidR="009E60A8" w:rsidRPr="002926D7" w14:paraId="4A35EB94" w14:textId="77777777" w:rsidTr="00BB55E0">
        <w:trPr>
          <w:trHeight w:val="20"/>
          <w:jc w:val="center"/>
        </w:trPr>
        <w:tc>
          <w:tcPr>
            <w:tcW w:w="1411" w:type="dxa"/>
            <w:vMerge/>
          </w:tcPr>
          <w:p w14:paraId="46A26766" w14:textId="77777777" w:rsidR="009E60A8" w:rsidRPr="002926D7" w:rsidRDefault="009E60A8" w:rsidP="002926D7">
            <w:pPr>
              <w:jc w:val="left"/>
              <w:rPr>
                <w:rFonts w:cs="Calibri"/>
                <w:b/>
                <w:sz w:val="18"/>
                <w:szCs w:val="18"/>
              </w:rPr>
            </w:pPr>
          </w:p>
        </w:tc>
        <w:tc>
          <w:tcPr>
            <w:tcW w:w="1399" w:type="dxa"/>
            <w:vMerge/>
          </w:tcPr>
          <w:p w14:paraId="5F659742" w14:textId="77777777" w:rsidR="009E60A8" w:rsidRPr="002926D7" w:rsidRDefault="009E60A8" w:rsidP="002926D7">
            <w:pPr>
              <w:jc w:val="left"/>
              <w:rPr>
                <w:rFonts w:cs="Calibri"/>
                <w:b/>
                <w:sz w:val="18"/>
                <w:szCs w:val="18"/>
              </w:rPr>
            </w:pPr>
          </w:p>
        </w:tc>
        <w:tc>
          <w:tcPr>
            <w:tcW w:w="3150" w:type="dxa"/>
          </w:tcPr>
          <w:p w14:paraId="5768ABB2" w14:textId="0A9AE29B" w:rsidR="009E60A8" w:rsidRPr="002926D7" w:rsidRDefault="009E60A8" w:rsidP="002926D7">
            <w:pPr>
              <w:jc w:val="left"/>
              <w:rPr>
                <w:rFonts w:cs="Calibri"/>
                <w:b/>
                <w:sz w:val="18"/>
                <w:szCs w:val="18"/>
              </w:rPr>
            </w:pPr>
            <w:r w:rsidRPr="002926D7">
              <w:rPr>
                <w:rFonts w:cstheme="minorHAnsi"/>
                <w:b/>
                <w:sz w:val="18"/>
                <w:szCs w:val="18"/>
              </w:rPr>
              <w:t>Indicator 1</w:t>
            </w:r>
            <w:r w:rsidR="00A1598C" w:rsidRPr="002926D7">
              <w:rPr>
                <w:rFonts w:cstheme="minorHAnsi"/>
                <w:b/>
                <w:sz w:val="18"/>
                <w:szCs w:val="18"/>
              </w:rPr>
              <w:t>4</w:t>
            </w:r>
            <w:r w:rsidRPr="002926D7">
              <w:rPr>
                <w:rFonts w:cstheme="minorHAnsi"/>
                <w:bCs/>
                <w:sz w:val="18"/>
                <w:szCs w:val="18"/>
              </w:rPr>
              <w:t>: Number of local to global coalitions for chemicals and waste management strengthened and/or established.</w:t>
            </w:r>
          </w:p>
        </w:tc>
        <w:tc>
          <w:tcPr>
            <w:tcW w:w="1719" w:type="dxa"/>
          </w:tcPr>
          <w:p w14:paraId="658FBB01" w14:textId="77777777" w:rsidR="009E60A8" w:rsidRPr="002926D7" w:rsidRDefault="009E60A8" w:rsidP="002926D7">
            <w:pPr>
              <w:jc w:val="left"/>
              <w:rPr>
                <w:rFonts w:cs="Calibri"/>
                <w:sz w:val="18"/>
                <w:szCs w:val="18"/>
              </w:rPr>
            </w:pPr>
            <w:r w:rsidRPr="002926D7">
              <w:rPr>
                <w:rFonts w:cstheme="minorHAnsi"/>
                <w:sz w:val="18"/>
                <w:szCs w:val="18"/>
              </w:rPr>
              <w:t>20 coalitions</w:t>
            </w:r>
          </w:p>
        </w:tc>
        <w:tc>
          <w:tcPr>
            <w:tcW w:w="2329" w:type="dxa"/>
          </w:tcPr>
          <w:p w14:paraId="5606126B" w14:textId="77777777" w:rsidR="009E60A8" w:rsidRPr="002926D7" w:rsidRDefault="009E60A8" w:rsidP="002926D7">
            <w:pPr>
              <w:jc w:val="left"/>
              <w:rPr>
                <w:rFonts w:cs="Calibri"/>
                <w:sz w:val="18"/>
                <w:szCs w:val="18"/>
              </w:rPr>
            </w:pPr>
            <w:r w:rsidRPr="002926D7">
              <w:rPr>
                <w:rFonts w:cs="Calibri"/>
                <w:sz w:val="18"/>
                <w:szCs w:val="18"/>
              </w:rPr>
              <w:t>This is a metric of collaborative partnerships and alliances at various levels with the aim of addressing challenges related to chemicals and waste management.</w:t>
            </w:r>
          </w:p>
        </w:tc>
        <w:tc>
          <w:tcPr>
            <w:tcW w:w="1207" w:type="dxa"/>
          </w:tcPr>
          <w:p w14:paraId="41FD72C8" w14:textId="77777777" w:rsidR="009E60A8" w:rsidRPr="002926D7" w:rsidRDefault="009E60A8" w:rsidP="002926D7">
            <w:pPr>
              <w:jc w:val="left"/>
              <w:rPr>
                <w:rFonts w:cs="Calibri"/>
                <w:sz w:val="18"/>
                <w:szCs w:val="18"/>
              </w:rPr>
            </w:pPr>
            <w:r w:rsidRPr="002926D7">
              <w:rPr>
                <w:rFonts w:cs="Calibri"/>
                <w:sz w:val="18"/>
                <w:szCs w:val="18"/>
              </w:rPr>
              <w:t xml:space="preserve">Annually </w:t>
            </w:r>
          </w:p>
        </w:tc>
        <w:tc>
          <w:tcPr>
            <w:tcW w:w="1682" w:type="dxa"/>
          </w:tcPr>
          <w:p w14:paraId="33292951" w14:textId="77777777" w:rsidR="009E60A8" w:rsidRPr="002926D7" w:rsidRDefault="009E60A8" w:rsidP="002926D7">
            <w:pPr>
              <w:jc w:val="left"/>
              <w:rPr>
                <w:rFonts w:cs="Calibri"/>
                <w:sz w:val="18"/>
                <w:szCs w:val="18"/>
              </w:rPr>
            </w:pPr>
            <w:r w:rsidRPr="002926D7">
              <w:rPr>
                <w:rFonts w:cs="Calibri"/>
                <w:sz w:val="18"/>
                <w:szCs w:val="18"/>
              </w:rPr>
              <w:t>UNDP Country Offices; National Coordinators</w:t>
            </w:r>
          </w:p>
        </w:tc>
        <w:tc>
          <w:tcPr>
            <w:tcW w:w="1588" w:type="dxa"/>
          </w:tcPr>
          <w:p w14:paraId="4D22C6EA" w14:textId="77777777" w:rsidR="009E60A8" w:rsidRPr="002926D7" w:rsidRDefault="009E60A8" w:rsidP="002926D7">
            <w:pPr>
              <w:jc w:val="left"/>
              <w:rPr>
                <w:rFonts w:cs="Calibri"/>
                <w:sz w:val="18"/>
                <w:szCs w:val="18"/>
              </w:rPr>
            </w:pPr>
            <w:r w:rsidRPr="002926D7">
              <w:rPr>
                <w:rFonts w:cs="Calibri"/>
                <w:sz w:val="18"/>
                <w:szCs w:val="18"/>
              </w:rPr>
              <w:t>AMR; Grantee monitoring reports; Impact reviews; SGP database</w:t>
            </w:r>
          </w:p>
        </w:tc>
      </w:tr>
      <w:tr w:rsidR="009E60A8" w:rsidRPr="002926D7" w14:paraId="483BAF0B" w14:textId="77777777" w:rsidTr="00BB55E0">
        <w:trPr>
          <w:trHeight w:val="20"/>
          <w:jc w:val="center"/>
        </w:trPr>
        <w:tc>
          <w:tcPr>
            <w:tcW w:w="1411" w:type="dxa"/>
            <w:vMerge/>
          </w:tcPr>
          <w:p w14:paraId="119B6E2D" w14:textId="77777777" w:rsidR="009E60A8" w:rsidRPr="002926D7" w:rsidRDefault="009E60A8" w:rsidP="002926D7">
            <w:pPr>
              <w:jc w:val="left"/>
              <w:rPr>
                <w:rFonts w:cs="Calibri"/>
                <w:b/>
                <w:sz w:val="18"/>
                <w:szCs w:val="18"/>
              </w:rPr>
            </w:pPr>
          </w:p>
        </w:tc>
        <w:tc>
          <w:tcPr>
            <w:tcW w:w="1399" w:type="dxa"/>
            <w:vMerge/>
          </w:tcPr>
          <w:p w14:paraId="12DE6CEC" w14:textId="77777777" w:rsidR="009E60A8" w:rsidRPr="002926D7" w:rsidRDefault="009E60A8" w:rsidP="002926D7">
            <w:pPr>
              <w:jc w:val="left"/>
              <w:rPr>
                <w:rFonts w:cs="Calibri"/>
                <w:b/>
                <w:sz w:val="18"/>
                <w:szCs w:val="18"/>
              </w:rPr>
            </w:pPr>
          </w:p>
        </w:tc>
        <w:tc>
          <w:tcPr>
            <w:tcW w:w="3150" w:type="dxa"/>
          </w:tcPr>
          <w:p w14:paraId="7A055287" w14:textId="72F415F1" w:rsidR="009E60A8" w:rsidRPr="002926D7" w:rsidRDefault="009E60A8" w:rsidP="002926D7">
            <w:pPr>
              <w:jc w:val="left"/>
              <w:rPr>
                <w:rFonts w:cs="Calibri"/>
                <w:b/>
                <w:sz w:val="18"/>
                <w:szCs w:val="18"/>
              </w:rPr>
            </w:pPr>
            <w:r w:rsidRPr="002926D7">
              <w:rPr>
                <w:rFonts w:cstheme="minorHAnsi"/>
                <w:b/>
                <w:iCs/>
                <w:sz w:val="18"/>
                <w:szCs w:val="18"/>
              </w:rPr>
              <w:t>Indicator 1</w:t>
            </w:r>
            <w:r w:rsidR="00A1598C" w:rsidRPr="002926D7">
              <w:rPr>
                <w:rFonts w:cstheme="minorHAnsi"/>
                <w:b/>
                <w:iCs/>
                <w:sz w:val="18"/>
                <w:szCs w:val="18"/>
              </w:rPr>
              <w:t>5</w:t>
            </w:r>
            <w:r w:rsidRPr="002926D7">
              <w:rPr>
                <w:rFonts w:cstheme="minorHAnsi"/>
                <w:bCs/>
                <w:iCs/>
                <w:sz w:val="18"/>
                <w:szCs w:val="18"/>
              </w:rPr>
              <w:t>: Number of community-based sustainable solutions in urban landscapes (e.g., transport, biodiversity conservation, chemical and waste management, energy efficiency, watershed protection, etc.)</w:t>
            </w:r>
          </w:p>
        </w:tc>
        <w:tc>
          <w:tcPr>
            <w:tcW w:w="1719" w:type="dxa"/>
          </w:tcPr>
          <w:p w14:paraId="393BF91C" w14:textId="77777777" w:rsidR="009E60A8" w:rsidRPr="002926D7" w:rsidRDefault="009E60A8" w:rsidP="002926D7">
            <w:pPr>
              <w:jc w:val="left"/>
              <w:rPr>
                <w:rFonts w:cs="Calibri"/>
                <w:sz w:val="18"/>
                <w:szCs w:val="18"/>
              </w:rPr>
            </w:pPr>
            <w:r w:rsidRPr="002926D7">
              <w:rPr>
                <w:rFonts w:cstheme="minorHAnsi"/>
                <w:sz w:val="18"/>
                <w:szCs w:val="18"/>
              </w:rPr>
              <w:t>10 urban solutions</w:t>
            </w:r>
          </w:p>
        </w:tc>
        <w:tc>
          <w:tcPr>
            <w:tcW w:w="2329" w:type="dxa"/>
          </w:tcPr>
          <w:p w14:paraId="4CD06895" w14:textId="77777777" w:rsidR="009E60A8" w:rsidRPr="002926D7" w:rsidRDefault="009E60A8" w:rsidP="002926D7">
            <w:pPr>
              <w:jc w:val="left"/>
              <w:rPr>
                <w:rFonts w:cs="Calibri"/>
                <w:sz w:val="18"/>
                <w:szCs w:val="18"/>
              </w:rPr>
            </w:pPr>
            <w:r w:rsidRPr="002926D7">
              <w:rPr>
                <w:rFonts w:cs="Calibri"/>
                <w:sz w:val="18"/>
                <w:szCs w:val="18"/>
              </w:rPr>
              <w:t>This indicator quantifies the locally-driven initiatives implemented within urban areas to address various sustainability challenges.</w:t>
            </w:r>
          </w:p>
        </w:tc>
        <w:tc>
          <w:tcPr>
            <w:tcW w:w="1207" w:type="dxa"/>
          </w:tcPr>
          <w:p w14:paraId="72490BEB" w14:textId="77777777" w:rsidR="009E60A8" w:rsidRPr="002926D7" w:rsidRDefault="009E60A8" w:rsidP="002926D7">
            <w:pPr>
              <w:jc w:val="left"/>
              <w:rPr>
                <w:rFonts w:cs="Calibri"/>
                <w:sz w:val="18"/>
                <w:szCs w:val="18"/>
              </w:rPr>
            </w:pPr>
            <w:r w:rsidRPr="002926D7">
              <w:rPr>
                <w:rFonts w:cs="Calibri"/>
                <w:sz w:val="18"/>
                <w:szCs w:val="18"/>
              </w:rPr>
              <w:t xml:space="preserve">Annually </w:t>
            </w:r>
          </w:p>
        </w:tc>
        <w:tc>
          <w:tcPr>
            <w:tcW w:w="1682" w:type="dxa"/>
          </w:tcPr>
          <w:p w14:paraId="775B36DF" w14:textId="77777777" w:rsidR="009E60A8" w:rsidRPr="002926D7" w:rsidRDefault="009E60A8" w:rsidP="002926D7">
            <w:pPr>
              <w:jc w:val="left"/>
              <w:rPr>
                <w:rFonts w:cs="Calibri"/>
                <w:sz w:val="18"/>
                <w:szCs w:val="18"/>
              </w:rPr>
            </w:pPr>
            <w:r w:rsidRPr="002926D7">
              <w:rPr>
                <w:rFonts w:cs="Calibri"/>
                <w:sz w:val="18"/>
                <w:szCs w:val="18"/>
              </w:rPr>
              <w:t>Pr SGP National Coordinators; UNDP Country Office</w:t>
            </w:r>
          </w:p>
          <w:p w14:paraId="0154F6A3" w14:textId="77777777" w:rsidR="009E60A8" w:rsidRPr="002926D7" w:rsidRDefault="009E60A8" w:rsidP="002926D7">
            <w:pPr>
              <w:jc w:val="left"/>
              <w:rPr>
                <w:rFonts w:cs="Calibri"/>
                <w:sz w:val="18"/>
                <w:szCs w:val="18"/>
              </w:rPr>
            </w:pPr>
          </w:p>
        </w:tc>
        <w:tc>
          <w:tcPr>
            <w:tcW w:w="1588" w:type="dxa"/>
          </w:tcPr>
          <w:p w14:paraId="338674CD" w14:textId="77777777" w:rsidR="009E60A8" w:rsidRPr="002926D7" w:rsidRDefault="009E60A8" w:rsidP="002926D7">
            <w:pPr>
              <w:jc w:val="left"/>
              <w:rPr>
                <w:rFonts w:cs="Calibri"/>
                <w:sz w:val="18"/>
                <w:szCs w:val="18"/>
              </w:rPr>
            </w:pPr>
            <w:r w:rsidRPr="002926D7">
              <w:rPr>
                <w:rFonts w:cs="Calibri"/>
                <w:sz w:val="18"/>
                <w:szCs w:val="18"/>
              </w:rPr>
              <w:t>Grantee monitoring reports; Impact reviews</w:t>
            </w:r>
          </w:p>
        </w:tc>
      </w:tr>
      <w:tr w:rsidR="009E60A8" w:rsidRPr="002926D7" w14:paraId="02EDA31C" w14:textId="77777777" w:rsidTr="00BB55E0">
        <w:trPr>
          <w:trHeight w:val="20"/>
          <w:jc w:val="center"/>
        </w:trPr>
        <w:tc>
          <w:tcPr>
            <w:tcW w:w="1411" w:type="dxa"/>
            <w:vMerge/>
          </w:tcPr>
          <w:p w14:paraId="34B724C8" w14:textId="77777777" w:rsidR="009E60A8" w:rsidRPr="002926D7" w:rsidRDefault="009E60A8" w:rsidP="002926D7">
            <w:pPr>
              <w:jc w:val="left"/>
              <w:rPr>
                <w:rFonts w:cs="Calibri"/>
                <w:b/>
                <w:sz w:val="18"/>
                <w:szCs w:val="18"/>
              </w:rPr>
            </w:pPr>
          </w:p>
        </w:tc>
        <w:tc>
          <w:tcPr>
            <w:tcW w:w="1399" w:type="dxa"/>
            <w:vMerge/>
          </w:tcPr>
          <w:p w14:paraId="710ADE7A" w14:textId="77777777" w:rsidR="009E60A8" w:rsidRPr="002926D7" w:rsidRDefault="009E60A8" w:rsidP="002926D7">
            <w:pPr>
              <w:jc w:val="left"/>
              <w:rPr>
                <w:rFonts w:cs="Calibri"/>
                <w:b/>
                <w:sz w:val="18"/>
                <w:szCs w:val="18"/>
              </w:rPr>
            </w:pPr>
          </w:p>
        </w:tc>
        <w:tc>
          <w:tcPr>
            <w:tcW w:w="3150" w:type="dxa"/>
          </w:tcPr>
          <w:p w14:paraId="4905D5A5" w14:textId="18FAC340" w:rsidR="009E60A8" w:rsidRPr="002926D7" w:rsidRDefault="009E60A8" w:rsidP="002926D7">
            <w:pPr>
              <w:jc w:val="left"/>
              <w:rPr>
                <w:rFonts w:cs="Calibri"/>
                <w:b/>
                <w:sz w:val="18"/>
                <w:szCs w:val="18"/>
              </w:rPr>
            </w:pPr>
            <w:r w:rsidRPr="002926D7">
              <w:rPr>
                <w:rFonts w:cstheme="minorHAnsi"/>
                <w:b/>
                <w:iCs/>
                <w:sz w:val="18"/>
                <w:szCs w:val="18"/>
              </w:rPr>
              <w:t>Indicator 1</w:t>
            </w:r>
            <w:r w:rsidR="00A1598C" w:rsidRPr="002926D7">
              <w:rPr>
                <w:rFonts w:cstheme="minorHAnsi"/>
                <w:b/>
                <w:iCs/>
                <w:sz w:val="18"/>
                <w:szCs w:val="18"/>
              </w:rPr>
              <w:t>6</w:t>
            </w:r>
            <w:r w:rsidRPr="002926D7">
              <w:rPr>
                <w:rFonts w:cstheme="minorHAnsi"/>
                <w:bCs/>
                <w:iCs/>
                <w:sz w:val="18"/>
                <w:szCs w:val="18"/>
              </w:rPr>
              <w:t>: Number of projects with focused interventions promoting gender equality and women’s empowerment</w:t>
            </w:r>
          </w:p>
        </w:tc>
        <w:tc>
          <w:tcPr>
            <w:tcW w:w="1719" w:type="dxa"/>
          </w:tcPr>
          <w:p w14:paraId="7FE2075C" w14:textId="77777777" w:rsidR="009E60A8" w:rsidRPr="002926D7" w:rsidRDefault="009E60A8" w:rsidP="002926D7">
            <w:pPr>
              <w:jc w:val="left"/>
              <w:rPr>
                <w:rFonts w:cs="Calibri"/>
                <w:sz w:val="18"/>
                <w:szCs w:val="18"/>
              </w:rPr>
            </w:pPr>
            <w:r w:rsidRPr="002926D7">
              <w:rPr>
                <w:rFonts w:cstheme="minorHAnsi"/>
                <w:sz w:val="18"/>
                <w:szCs w:val="18"/>
              </w:rPr>
              <w:t>80% of projects</w:t>
            </w:r>
          </w:p>
        </w:tc>
        <w:tc>
          <w:tcPr>
            <w:tcW w:w="2329" w:type="dxa"/>
          </w:tcPr>
          <w:p w14:paraId="1D414E42" w14:textId="77777777" w:rsidR="009E60A8" w:rsidRPr="002926D7" w:rsidRDefault="009E60A8" w:rsidP="002926D7">
            <w:pPr>
              <w:jc w:val="left"/>
              <w:rPr>
                <w:rFonts w:cs="Calibri"/>
                <w:sz w:val="18"/>
                <w:szCs w:val="18"/>
              </w:rPr>
            </w:pPr>
            <w:r w:rsidRPr="002926D7">
              <w:rPr>
                <w:rFonts w:cs="Calibri"/>
                <w:sz w:val="18"/>
                <w:szCs w:val="18"/>
              </w:rPr>
              <w:t xml:space="preserve">This indicator quantifies the projects that intentionally incorporate specific actions and strategies to advance </w:t>
            </w:r>
            <w:r w:rsidRPr="002926D7">
              <w:rPr>
                <w:rFonts w:cs="Calibri"/>
                <w:sz w:val="18"/>
                <w:szCs w:val="18"/>
              </w:rPr>
              <w:lastRenderedPageBreak/>
              <w:t>gender equality and empowerment of women.</w:t>
            </w:r>
          </w:p>
        </w:tc>
        <w:tc>
          <w:tcPr>
            <w:tcW w:w="1207" w:type="dxa"/>
          </w:tcPr>
          <w:p w14:paraId="6D63FAF0" w14:textId="77777777" w:rsidR="009E60A8" w:rsidRPr="002926D7" w:rsidRDefault="009E60A8" w:rsidP="002926D7">
            <w:pPr>
              <w:jc w:val="left"/>
              <w:rPr>
                <w:rFonts w:cs="Calibri"/>
                <w:sz w:val="18"/>
                <w:szCs w:val="18"/>
              </w:rPr>
            </w:pPr>
            <w:r w:rsidRPr="002926D7">
              <w:rPr>
                <w:rFonts w:cs="Calibri"/>
                <w:sz w:val="18"/>
                <w:szCs w:val="18"/>
              </w:rPr>
              <w:lastRenderedPageBreak/>
              <w:t xml:space="preserve">Annually </w:t>
            </w:r>
          </w:p>
        </w:tc>
        <w:tc>
          <w:tcPr>
            <w:tcW w:w="1682" w:type="dxa"/>
          </w:tcPr>
          <w:p w14:paraId="2F9EB589" w14:textId="77777777" w:rsidR="009E60A8" w:rsidRPr="002926D7" w:rsidRDefault="009E60A8" w:rsidP="002926D7">
            <w:pPr>
              <w:jc w:val="left"/>
              <w:rPr>
                <w:rFonts w:cs="Calibri"/>
                <w:sz w:val="18"/>
                <w:szCs w:val="18"/>
              </w:rPr>
            </w:pPr>
            <w:r w:rsidRPr="002926D7">
              <w:rPr>
                <w:rFonts w:cs="Calibri"/>
                <w:sz w:val="18"/>
                <w:szCs w:val="18"/>
              </w:rPr>
              <w:t>UNDP Country Offices; National Coordinators</w:t>
            </w:r>
          </w:p>
        </w:tc>
        <w:tc>
          <w:tcPr>
            <w:tcW w:w="1588" w:type="dxa"/>
          </w:tcPr>
          <w:p w14:paraId="76A7156B" w14:textId="77777777" w:rsidR="009E60A8" w:rsidRPr="002926D7" w:rsidRDefault="009E60A8" w:rsidP="002926D7">
            <w:pPr>
              <w:jc w:val="left"/>
              <w:rPr>
                <w:rFonts w:cs="Calibri"/>
                <w:sz w:val="18"/>
                <w:szCs w:val="18"/>
              </w:rPr>
            </w:pPr>
            <w:r w:rsidRPr="002926D7">
              <w:rPr>
                <w:rFonts w:cs="Calibri"/>
                <w:sz w:val="18"/>
                <w:szCs w:val="18"/>
              </w:rPr>
              <w:t xml:space="preserve">AMR; Grantee monitoring reports; Impact </w:t>
            </w:r>
            <w:r w:rsidRPr="002926D7">
              <w:rPr>
                <w:rFonts w:cs="Calibri"/>
                <w:sz w:val="18"/>
                <w:szCs w:val="18"/>
              </w:rPr>
              <w:lastRenderedPageBreak/>
              <w:t>reviews; SGP database</w:t>
            </w:r>
          </w:p>
        </w:tc>
      </w:tr>
      <w:tr w:rsidR="009E60A8" w:rsidRPr="002926D7" w14:paraId="185B05BC" w14:textId="77777777" w:rsidTr="00BB55E0">
        <w:trPr>
          <w:trHeight w:val="20"/>
          <w:jc w:val="center"/>
        </w:trPr>
        <w:tc>
          <w:tcPr>
            <w:tcW w:w="1411" w:type="dxa"/>
            <w:vMerge/>
          </w:tcPr>
          <w:p w14:paraId="719718C0" w14:textId="77777777" w:rsidR="009E60A8" w:rsidRPr="002926D7" w:rsidRDefault="009E60A8" w:rsidP="002926D7">
            <w:pPr>
              <w:jc w:val="left"/>
              <w:rPr>
                <w:rFonts w:cs="Calibri"/>
                <w:b/>
                <w:sz w:val="18"/>
                <w:szCs w:val="18"/>
              </w:rPr>
            </w:pPr>
          </w:p>
        </w:tc>
        <w:tc>
          <w:tcPr>
            <w:tcW w:w="1399" w:type="dxa"/>
            <w:vMerge/>
          </w:tcPr>
          <w:p w14:paraId="4C9D64B4" w14:textId="77777777" w:rsidR="009E60A8" w:rsidRPr="002926D7" w:rsidRDefault="009E60A8" w:rsidP="002926D7">
            <w:pPr>
              <w:jc w:val="left"/>
              <w:rPr>
                <w:rFonts w:cs="Calibri"/>
                <w:b/>
                <w:sz w:val="18"/>
                <w:szCs w:val="18"/>
              </w:rPr>
            </w:pPr>
          </w:p>
        </w:tc>
        <w:tc>
          <w:tcPr>
            <w:tcW w:w="3150" w:type="dxa"/>
          </w:tcPr>
          <w:p w14:paraId="4D2D2DF9" w14:textId="67213C19" w:rsidR="009E60A8" w:rsidRPr="002926D7" w:rsidRDefault="009E60A8" w:rsidP="002926D7">
            <w:pPr>
              <w:jc w:val="left"/>
              <w:rPr>
                <w:rFonts w:cs="Calibri"/>
                <w:b/>
                <w:sz w:val="18"/>
                <w:szCs w:val="18"/>
              </w:rPr>
            </w:pPr>
            <w:r w:rsidRPr="002926D7">
              <w:rPr>
                <w:rFonts w:cstheme="minorHAnsi"/>
                <w:b/>
                <w:sz w:val="18"/>
                <w:szCs w:val="18"/>
              </w:rPr>
              <w:t>Indicator 1</w:t>
            </w:r>
            <w:r w:rsidR="00A1598C" w:rsidRPr="002926D7">
              <w:rPr>
                <w:rFonts w:cstheme="minorHAnsi"/>
                <w:b/>
                <w:sz w:val="18"/>
                <w:szCs w:val="18"/>
              </w:rPr>
              <w:t>7</w:t>
            </w:r>
            <w:r w:rsidRPr="002926D7">
              <w:rPr>
                <w:rFonts w:cstheme="minorHAnsi"/>
                <w:bCs/>
                <w:sz w:val="18"/>
                <w:szCs w:val="18"/>
              </w:rPr>
              <w:t>: Number of SGP countries that demonstrate models of engaging (a) Indigenous Peoples, (b) youth, and (c), persons with disabilities.</w:t>
            </w:r>
          </w:p>
        </w:tc>
        <w:tc>
          <w:tcPr>
            <w:tcW w:w="1719" w:type="dxa"/>
          </w:tcPr>
          <w:p w14:paraId="59498877" w14:textId="77777777" w:rsidR="009E60A8" w:rsidRPr="002926D7" w:rsidRDefault="009E60A8" w:rsidP="002926D7">
            <w:pPr>
              <w:jc w:val="left"/>
              <w:rPr>
                <w:rFonts w:cs="Calibri"/>
                <w:sz w:val="18"/>
                <w:szCs w:val="18"/>
              </w:rPr>
            </w:pPr>
            <w:r w:rsidRPr="002926D7">
              <w:rPr>
                <w:rFonts w:cstheme="minorHAnsi"/>
                <w:sz w:val="18"/>
                <w:szCs w:val="18"/>
              </w:rPr>
              <w:t>(a) 30 countries, (b) 50 countries, (c) 15 countries</w:t>
            </w:r>
          </w:p>
        </w:tc>
        <w:tc>
          <w:tcPr>
            <w:tcW w:w="2329" w:type="dxa"/>
          </w:tcPr>
          <w:p w14:paraId="7505235B" w14:textId="366A2E99" w:rsidR="009E60A8" w:rsidRPr="002926D7" w:rsidRDefault="009E60A8" w:rsidP="002926D7">
            <w:pPr>
              <w:jc w:val="left"/>
              <w:rPr>
                <w:rFonts w:cs="Calibri"/>
                <w:sz w:val="18"/>
                <w:szCs w:val="18"/>
              </w:rPr>
            </w:pPr>
            <w:r w:rsidRPr="002926D7">
              <w:rPr>
                <w:rFonts w:cs="Calibri"/>
                <w:sz w:val="18"/>
                <w:szCs w:val="18"/>
              </w:rPr>
              <w:t>Deduced from number of countries that report on Indigenous Peoples projects, youth projects, and PwD organizations.</w:t>
            </w:r>
          </w:p>
        </w:tc>
        <w:tc>
          <w:tcPr>
            <w:tcW w:w="1207" w:type="dxa"/>
          </w:tcPr>
          <w:p w14:paraId="612A4A00" w14:textId="77777777" w:rsidR="009E60A8" w:rsidRPr="002926D7" w:rsidRDefault="009E60A8" w:rsidP="002926D7">
            <w:pPr>
              <w:jc w:val="left"/>
              <w:rPr>
                <w:rFonts w:cs="Calibri"/>
                <w:sz w:val="18"/>
                <w:szCs w:val="18"/>
              </w:rPr>
            </w:pPr>
            <w:r w:rsidRPr="002926D7">
              <w:rPr>
                <w:rFonts w:cs="Calibri"/>
                <w:sz w:val="18"/>
                <w:szCs w:val="18"/>
              </w:rPr>
              <w:t xml:space="preserve">Annually </w:t>
            </w:r>
          </w:p>
        </w:tc>
        <w:tc>
          <w:tcPr>
            <w:tcW w:w="1682" w:type="dxa"/>
          </w:tcPr>
          <w:p w14:paraId="2E65CA3A" w14:textId="77777777" w:rsidR="009E60A8" w:rsidRPr="002926D7" w:rsidRDefault="009E60A8" w:rsidP="002926D7">
            <w:pPr>
              <w:jc w:val="left"/>
              <w:rPr>
                <w:rFonts w:cs="Calibri"/>
                <w:sz w:val="18"/>
                <w:szCs w:val="18"/>
              </w:rPr>
            </w:pPr>
            <w:r w:rsidRPr="002926D7">
              <w:rPr>
                <w:rFonts w:cs="Calibri"/>
                <w:sz w:val="18"/>
                <w:szCs w:val="18"/>
              </w:rPr>
              <w:t>SGP National Coordinators; UNDP Country Office</w:t>
            </w:r>
          </w:p>
          <w:p w14:paraId="120BDFF3" w14:textId="77777777" w:rsidR="009E60A8" w:rsidRPr="002926D7" w:rsidRDefault="009E60A8" w:rsidP="002926D7">
            <w:pPr>
              <w:jc w:val="left"/>
              <w:rPr>
                <w:rFonts w:cs="Calibri"/>
                <w:sz w:val="18"/>
                <w:szCs w:val="18"/>
              </w:rPr>
            </w:pPr>
          </w:p>
        </w:tc>
        <w:tc>
          <w:tcPr>
            <w:tcW w:w="1588" w:type="dxa"/>
          </w:tcPr>
          <w:p w14:paraId="6C9B2EB0" w14:textId="77777777" w:rsidR="009E60A8" w:rsidRPr="002926D7" w:rsidRDefault="009E60A8" w:rsidP="002926D7">
            <w:pPr>
              <w:jc w:val="left"/>
              <w:rPr>
                <w:rFonts w:cs="Calibri"/>
                <w:sz w:val="18"/>
                <w:szCs w:val="18"/>
              </w:rPr>
            </w:pPr>
            <w:r w:rsidRPr="002926D7">
              <w:rPr>
                <w:rFonts w:cs="Calibri"/>
                <w:sz w:val="18"/>
                <w:szCs w:val="18"/>
              </w:rPr>
              <w:t>AMR; Grantee monitoring reports; Impact reviews; SGP database</w:t>
            </w:r>
          </w:p>
        </w:tc>
      </w:tr>
      <w:tr w:rsidR="009E60A8" w:rsidRPr="002926D7" w14:paraId="16FE487D" w14:textId="77777777" w:rsidTr="00BB55E0">
        <w:trPr>
          <w:trHeight w:val="20"/>
          <w:jc w:val="center"/>
        </w:trPr>
        <w:tc>
          <w:tcPr>
            <w:tcW w:w="1411" w:type="dxa"/>
            <w:vMerge/>
          </w:tcPr>
          <w:p w14:paraId="795768A3" w14:textId="77777777" w:rsidR="009E60A8" w:rsidRPr="002926D7" w:rsidRDefault="009E60A8" w:rsidP="002926D7">
            <w:pPr>
              <w:jc w:val="left"/>
              <w:rPr>
                <w:rFonts w:cs="Calibri"/>
                <w:b/>
                <w:sz w:val="18"/>
                <w:szCs w:val="18"/>
              </w:rPr>
            </w:pPr>
          </w:p>
        </w:tc>
        <w:tc>
          <w:tcPr>
            <w:tcW w:w="1399" w:type="dxa"/>
            <w:vMerge/>
          </w:tcPr>
          <w:p w14:paraId="29562A68" w14:textId="77777777" w:rsidR="009E60A8" w:rsidRPr="002926D7" w:rsidRDefault="009E60A8" w:rsidP="002926D7">
            <w:pPr>
              <w:jc w:val="left"/>
              <w:rPr>
                <w:rFonts w:cs="Calibri"/>
                <w:b/>
                <w:sz w:val="18"/>
                <w:szCs w:val="18"/>
              </w:rPr>
            </w:pPr>
          </w:p>
        </w:tc>
        <w:tc>
          <w:tcPr>
            <w:tcW w:w="3150" w:type="dxa"/>
          </w:tcPr>
          <w:p w14:paraId="69A58E8D" w14:textId="4AC80BE4" w:rsidR="009E60A8" w:rsidRPr="002926D7" w:rsidRDefault="009E60A8" w:rsidP="002926D7">
            <w:pPr>
              <w:jc w:val="left"/>
              <w:rPr>
                <w:rFonts w:asciiTheme="minorHAnsi" w:hAnsiTheme="minorHAnsi" w:cstheme="minorHAnsi"/>
                <w:b/>
                <w:iCs/>
                <w:sz w:val="18"/>
                <w:szCs w:val="18"/>
              </w:rPr>
            </w:pPr>
            <w:bookmarkStart w:id="139" w:name="_Hlk161241080"/>
            <w:r w:rsidRPr="002926D7">
              <w:rPr>
                <w:rFonts w:asciiTheme="minorHAnsi" w:hAnsiTheme="minorHAnsi" w:cstheme="minorHAnsi"/>
                <w:b/>
                <w:iCs/>
                <w:sz w:val="18"/>
                <w:szCs w:val="18"/>
              </w:rPr>
              <w:t>Indicator 1</w:t>
            </w:r>
            <w:r w:rsidR="00A1598C" w:rsidRPr="002926D7">
              <w:rPr>
                <w:rFonts w:asciiTheme="minorHAnsi" w:hAnsiTheme="minorHAnsi" w:cstheme="minorHAnsi"/>
                <w:b/>
                <w:iCs/>
                <w:sz w:val="18"/>
                <w:szCs w:val="18"/>
              </w:rPr>
              <w:t>8</w:t>
            </w:r>
            <w:r w:rsidRPr="002926D7">
              <w:rPr>
                <w:rFonts w:asciiTheme="minorHAnsi" w:hAnsiTheme="minorHAnsi" w:cstheme="minorHAnsi"/>
                <w:b/>
                <w:iCs/>
                <w:sz w:val="18"/>
                <w:szCs w:val="18"/>
              </w:rPr>
              <w:t xml:space="preserve">: </w:t>
            </w:r>
            <w:r w:rsidRPr="002926D7">
              <w:rPr>
                <w:rFonts w:asciiTheme="minorHAnsi" w:hAnsiTheme="minorHAnsi" w:cstheme="minorHAnsi"/>
                <w:bCs/>
                <w:iCs/>
                <w:sz w:val="18"/>
                <w:szCs w:val="18"/>
              </w:rPr>
              <w:t>Amount of grant funding of total grant portfolio accessed by: (a) women and/or women’s groups; (b) youth and/or youth-led groups; (c) Indigenous peoples’ groups</w:t>
            </w:r>
            <w:bookmarkEnd w:id="139"/>
            <w:r w:rsidRPr="002926D7">
              <w:rPr>
                <w:rFonts w:asciiTheme="minorHAnsi" w:hAnsiTheme="minorHAnsi" w:cstheme="minorHAnsi"/>
                <w:bCs/>
                <w:iCs/>
                <w:sz w:val="18"/>
                <w:szCs w:val="18"/>
              </w:rPr>
              <w:t>.</w:t>
            </w:r>
          </w:p>
        </w:tc>
        <w:tc>
          <w:tcPr>
            <w:tcW w:w="1719" w:type="dxa"/>
          </w:tcPr>
          <w:p w14:paraId="0F5AAEF6" w14:textId="5037062D" w:rsidR="009E60A8" w:rsidRPr="002926D7" w:rsidRDefault="009E60A8" w:rsidP="002926D7">
            <w:pPr>
              <w:jc w:val="left"/>
              <w:rPr>
                <w:rFonts w:asciiTheme="minorHAnsi" w:hAnsiTheme="minorHAnsi" w:cstheme="minorHAnsi"/>
                <w:iCs/>
                <w:sz w:val="18"/>
                <w:szCs w:val="18"/>
              </w:rPr>
            </w:pPr>
            <w:r w:rsidRPr="002926D7">
              <w:rPr>
                <w:rFonts w:cstheme="minorHAnsi"/>
                <w:bCs/>
                <w:iCs/>
                <w:sz w:val="18"/>
                <w:szCs w:val="18"/>
              </w:rPr>
              <w:t>(a) 50%; (b) 50%; (c) 50%</w:t>
            </w:r>
          </w:p>
        </w:tc>
        <w:tc>
          <w:tcPr>
            <w:tcW w:w="2329" w:type="dxa"/>
          </w:tcPr>
          <w:p w14:paraId="24F6D0E3" w14:textId="105A9449" w:rsidR="009E60A8" w:rsidRPr="002926D7" w:rsidRDefault="009E60A8" w:rsidP="002926D7">
            <w:pPr>
              <w:jc w:val="left"/>
              <w:rPr>
                <w:rFonts w:cs="Calibri"/>
                <w:sz w:val="18"/>
                <w:szCs w:val="18"/>
              </w:rPr>
            </w:pPr>
            <w:r w:rsidRPr="002926D7">
              <w:rPr>
                <w:rFonts w:cs="Calibri"/>
                <w:sz w:val="18"/>
                <w:szCs w:val="18"/>
              </w:rPr>
              <w:t>This indicator measures the amount of grant funding accessed by women, youth and Indigenous peoples’ groups.</w:t>
            </w:r>
          </w:p>
        </w:tc>
        <w:tc>
          <w:tcPr>
            <w:tcW w:w="1207" w:type="dxa"/>
          </w:tcPr>
          <w:p w14:paraId="2BB84CD0" w14:textId="7DF77AA6" w:rsidR="009E60A8" w:rsidRPr="002926D7" w:rsidRDefault="009E60A8" w:rsidP="002926D7">
            <w:pPr>
              <w:jc w:val="left"/>
              <w:rPr>
                <w:rFonts w:cs="Calibri"/>
                <w:sz w:val="18"/>
                <w:szCs w:val="18"/>
              </w:rPr>
            </w:pPr>
            <w:r w:rsidRPr="002926D7">
              <w:rPr>
                <w:rFonts w:cs="Calibri"/>
                <w:sz w:val="18"/>
                <w:szCs w:val="18"/>
              </w:rPr>
              <w:t>Annually</w:t>
            </w:r>
          </w:p>
        </w:tc>
        <w:tc>
          <w:tcPr>
            <w:tcW w:w="1682" w:type="dxa"/>
          </w:tcPr>
          <w:p w14:paraId="335521B9" w14:textId="77777777" w:rsidR="009E60A8" w:rsidRPr="002926D7" w:rsidRDefault="009E60A8" w:rsidP="002926D7">
            <w:pPr>
              <w:jc w:val="left"/>
              <w:rPr>
                <w:rFonts w:cs="Calibri"/>
                <w:sz w:val="18"/>
                <w:szCs w:val="18"/>
              </w:rPr>
            </w:pPr>
            <w:r w:rsidRPr="002926D7">
              <w:rPr>
                <w:rFonts w:cs="Calibri"/>
                <w:sz w:val="18"/>
                <w:szCs w:val="18"/>
              </w:rPr>
              <w:t>SGP National Coordinators; UNDP Country Office</w:t>
            </w:r>
          </w:p>
          <w:p w14:paraId="586791D1" w14:textId="77777777" w:rsidR="009E60A8" w:rsidRPr="002926D7" w:rsidRDefault="009E60A8" w:rsidP="002926D7">
            <w:pPr>
              <w:jc w:val="left"/>
              <w:rPr>
                <w:rFonts w:cs="Calibri"/>
                <w:sz w:val="18"/>
                <w:szCs w:val="18"/>
              </w:rPr>
            </w:pPr>
          </w:p>
        </w:tc>
        <w:tc>
          <w:tcPr>
            <w:tcW w:w="1588" w:type="dxa"/>
          </w:tcPr>
          <w:p w14:paraId="1851D8FE" w14:textId="63FB8328" w:rsidR="009E60A8" w:rsidRPr="002926D7" w:rsidRDefault="009E60A8" w:rsidP="002926D7">
            <w:pPr>
              <w:jc w:val="left"/>
              <w:rPr>
                <w:rFonts w:cs="Calibri"/>
                <w:sz w:val="18"/>
                <w:szCs w:val="18"/>
              </w:rPr>
            </w:pPr>
            <w:r w:rsidRPr="002926D7">
              <w:rPr>
                <w:rFonts w:cs="Calibri"/>
                <w:sz w:val="18"/>
                <w:szCs w:val="18"/>
              </w:rPr>
              <w:t>AMR; Grantee monitoring reports; Impact reviews; SGP database</w:t>
            </w:r>
          </w:p>
        </w:tc>
      </w:tr>
      <w:tr w:rsidR="00A1598C" w:rsidRPr="002926D7" w14:paraId="3452326A" w14:textId="77777777" w:rsidTr="00BB55E0">
        <w:trPr>
          <w:trHeight w:val="20"/>
          <w:jc w:val="center"/>
        </w:trPr>
        <w:tc>
          <w:tcPr>
            <w:tcW w:w="1411" w:type="dxa"/>
            <w:vMerge/>
          </w:tcPr>
          <w:p w14:paraId="4F7C3FA5" w14:textId="77777777" w:rsidR="00A1598C" w:rsidRPr="002926D7" w:rsidRDefault="00A1598C" w:rsidP="002926D7">
            <w:pPr>
              <w:jc w:val="left"/>
              <w:rPr>
                <w:rFonts w:cs="Calibri"/>
                <w:b/>
                <w:sz w:val="18"/>
                <w:szCs w:val="18"/>
              </w:rPr>
            </w:pPr>
          </w:p>
        </w:tc>
        <w:tc>
          <w:tcPr>
            <w:tcW w:w="1399" w:type="dxa"/>
            <w:vMerge/>
          </w:tcPr>
          <w:p w14:paraId="6CA281CB" w14:textId="77777777" w:rsidR="00A1598C" w:rsidRPr="002926D7" w:rsidRDefault="00A1598C" w:rsidP="002926D7">
            <w:pPr>
              <w:jc w:val="left"/>
              <w:rPr>
                <w:rFonts w:cs="Calibri"/>
                <w:b/>
                <w:sz w:val="18"/>
                <w:szCs w:val="18"/>
              </w:rPr>
            </w:pPr>
          </w:p>
        </w:tc>
        <w:tc>
          <w:tcPr>
            <w:tcW w:w="3150" w:type="dxa"/>
          </w:tcPr>
          <w:p w14:paraId="315A3552" w14:textId="4AD72B24" w:rsidR="00A1598C" w:rsidRPr="002926D7" w:rsidRDefault="00A1598C" w:rsidP="002926D7">
            <w:pPr>
              <w:jc w:val="left"/>
              <w:rPr>
                <w:rFonts w:asciiTheme="minorHAnsi" w:hAnsiTheme="minorHAnsi" w:cstheme="minorHAnsi"/>
                <w:b/>
                <w:iCs/>
                <w:sz w:val="18"/>
                <w:szCs w:val="18"/>
              </w:rPr>
            </w:pPr>
            <w:bookmarkStart w:id="140" w:name="_Hlk161241140"/>
            <w:r w:rsidRPr="002926D7">
              <w:rPr>
                <w:rFonts w:asciiTheme="minorHAnsi" w:hAnsiTheme="minorHAnsi" w:cstheme="minorHAnsi"/>
                <w:b/>
                <w:iCs/>
                <w:sz w:val="18"/>
                <w:szCs w:val="18"/>
              </w:rPr>
              <w:t xml:space="preserve">Indicator 19: </w:t>
            </w:r>
            <w:r w:rsidRPr="002926D7">
              <w:rPr>
                <w:rFonts w:asciiTheme="minorHAnsi" w:hAnsiTheme="minorHAnsi" w:cstheme="minorHAnsi"/>
                <w:bCs/>
                <w:iCs/>
                <w:sz w:val="18"/>
                <w:szCs w:val="18"/>
              </w:rPr>
              <w:t>Number of grants supporting promotion of legal identity and legal empowerment, including the participation of Indigenous peoples and other remote/marginalized groups</w:t>
            </w:r>
            <w:bookmarkEnd w:id="140"/>
            <w:r w:rsidRPr="002926D7">
              <w:rPr>
                <w:rFonts w:asciiTheme="minorHAnsi" w:hAnsiTheme="minorHAnsi" w:cstheme="minorHAnsi"/>
                <w:bCs/>
                <w:iCs/>
                <w:sz w:val="18"/>
                <w:szCs w:val="18"/>
              </w:rPr>
              <w:t>.</w:t>
            </w:r>
          </w:p>
        </w:tc>
        <w:tc>
          <w:tcPr>
            <w:tcW w:w="1719" w:type="dxa"/>
          </w:tcPr>
          <w:p w14:paraId="6CBC45E8" w14:textId="302DDFD6" w:rsidR="00A1598C" w:rsidRPr="002926D7" w:rsidRDefault="00A1598C" w:rsidP="002926D7">
            <w:pPr>
              <w:jc w:val="left"/>
              <w:rPr>
                <w:rFonts w:asciiTheme="minorHAnsi" w:hAnsiTheme="minorHAnsi" w:cstheme="minorHAnsi"/>
                <w:iCs/>
                <w:sz w:val="18"/>
                <w:szCs w:val="18"/>
              </w:rPr>
            </w:pPr>
            <w:r w:rsidRPr="002926D7">
              <w:rPr>
                <w:rFonts w:cstheme="minorHAnsi"/>
                <w:bCs/>
                <w:iCs/>
                <w:sz w:val="18"/>
                <w:szCs w:val="18"/>
              </w:rPr>
              <w:t>10% of grants awarded</w:t>
            </w:r>
          </w:p>
        </w:tc>
        <w:tc>
          <w:tcPr>
            <w:tcW w:w="2329" w:type="dxa"/>
          </w:tcPr>
          <w:p w14:paraId="0DD2BB30" w14:textId="3E05A14C" w:rsidR="00A1598C" w:rsidRPr="002926D7" w:rsidRDefault="00A1598C" w:rsidP="002926D7">
            <w:pPr>
              <w:jc w:val="left"/>
              <w:rPr>
                <w:rFonts w:cs="Calibri"/>
                <w:sz w:val="18"/>
                <w:szCs w:val="18"/>
              </w:rPr>
            </w:pPr>
            <w:r w:rsidRPr="002926D7">
              <w:rPr>
                <w:rFonts w:cs="Calibri"/>
                <w:sz w:val="18"/>
                <w:szCs w:val="18"/>
              </w:rPr>
              <w:t>This indicator measures how individual grants are promoting legal identity and legal empowerment issues.</w:t>
            </w:r>
          </w:p>
        </w:tc>
        <w:tc>
          <w:tcPr>
            <w:tcW w:w="1207" w:type="dxa"/>
          </w:tcPr>
          <w:p w14:paraId="6863D51C" w14:textId="033B3188" w:rsidR="00A1598C" w:rsidRPr="002926D7" w:rsidRDefault="00A1598C" w:rsidP="002926D7">
            <w:pPr>
              <w:jc w:val="left"/>
              <w:rPr>
                <w:rFonts w:cs="Calibri"/>
                <w:sz w:val="18"/>
                <w:szCs w:val="18"/>
              </w:rPr>
            </w:pPr>
            <w:r w:rsidRPr="002926D7">
              <w:rPr>
                <w:rFonts w:cs="Calibri"/>
                <w:sz w:val="18"/>
                <w:szCs w:val="18"/>
              </w:rPr>
              <w:t>Annually</w:t>
            </w:r>
          </w:p>
        </w:tc>
        <w:tc>
          <w:tcPr>
            <w:tcW w:w="1682" w:type="dxa"/>
          </w:tcPr>
          <w:p w14:paraId="10E7E2DC" w14:textId="77777777" w:rsidR="00A1598C" w:rsidRPr="002926D7" w:rsidRDefault="00A1598C" w:rsidP="002926D7">
            <w:pPr>
              <w:jc w:val="left"/>
              <w:rPr>
                <w:rFonts w:cs="Calibri"/>
                <w:sz w:val="18"/>
                <w:szCs w:val="18"/>
              </w:rPr>
            </w:pPr>
            <w:r w:rsidRPr="002926D7">
              <w:rPr>
                <w:rFonts w:cs="Calibri"/>
                <w:sz w:val="18"/>
                <w:szCs w:val="18"/>
              </w:rPr>
              <w:t>SGP National Coordinators; UNDP Country Office</w:t>
            </w:r>
          </w:p>
          <w:p w14:paraId="58F3879C" w14:textId="77777777" w:rsidR="00A1598C" w:rsidRPr="002926D7" w:rsidRDefault="00A1598C" w:rsidP="002926D7">
            <w:pPr>
              <w:jc w:val="left"/>
              <w:rPr>
                <w:rFonts w:cs="Calibri"/>
                <w:sz w:val="18"/>
                <w:szCs w:val="18"/>
              </w:rPr>
            </w:pPr>
          </w:p>
        </w:tc>
        <w:tc>
          <w:tcPr>
            <w:tcW w:w="1588" w:type="dxa"/>
          </w:tcPr>
          <w:p w14:paraId="11A64FDB" w14:textId="2AF6CB19" w:rsidR="00A1598C" w:rsidRPr="002926D7" w:rsidRDefault="00A1598C" w:rsidP="002926D7">
            <w:pPr>
              <w:jc w:val="left"/>
              <w:rPr>
                <w:rFonts w:cs="Calibri"/>
                <w:sz w:val="18"/>
                <w:szCs w:val="18"/>
              </w:rPr>
            </w:pPr>
            <w:r w:rsidRPr="002926D7">
              <w:rPr>
                <w:rFonts w:cs="Calibri"/>
                <w:sz w:val="18"/>
                <w:szCs w:val="18"/>
              </w:rPr>
              <w:t>AMR; Grantee monitoring reports; Impact reviews; SGP database</w:t>
            </w:r>
          </w:p>
        </w:tc>
      </w:tr>
      <w:tr w:rsidR="009E60A8" w:rsidRPr="002926D7" w14:paraId="37991AF2" w14:textId="77777777" w:rsidTr="00BB55E0">
        <w:trPr>
          <w:trHeight w:val="20"/>
          <w:jc w:val="center"/>
        </w:trPr>
        <w:tc>
          <w:tcPr>
            <w:tcW w:w="1411" w:type="dxa"/>
            <w:vMerge/>
          </w:tcPr>
          <w:p w14:paraId="4FCF8728" w14:textId="77777777" w:rsidR="009E60A8" w:rsidRPr="002926D7" w:rsidRDefault="009E60A8" w:rsidP="002926D7">
            <w:pPr>
              <w:jc w:val="left"/>
              <w:rPr>
                <w:rFonts w:cs="Calibri"/>
                <w:b/>
                <w:sz w:val="18"/>
                <w:szCs w:val="18"/>
              </w:rPr>
            </w:pPr>
          </w:p>
        </w:tc>
        <w:tc>
          <w:tcPr>
            <w:tcW w:w="1399" w:type="dxa"/>
            <w:vMerge/>
          </w:tcPr>
          <w:p w14:paraId="6780EE88" w14:textId="77777777" w:rsidR="009E60A8" w:rsidRPr="002926D7" w:rsidRDefault="009E60A8" w:rsidP="002926D7">
            <w:pPr>
              <w:jc w:val="left"/>
              <w:rPr>
                <w:rFonts w:cs="Calibri"/>
                <w:b/>
                <w:sz w:val="18"/>
                <w:szCs w:val="18"/>
              </w:rPr>
            </w:pPr>
          </w:p>
        </w:tc>
        <w:tc>
          <w:tcPr>
            <w:tcW w:w="3150" w:type="dxa"/>
          </w:tcPr>
          <w:p w14:paraId="584BD1EA" w14:textId="74CAEFE4" w:rsidR="009E60A8" w:rsidRPr="002926D7" w:rsidRDefault="009E60A8" w:rsidP="002926D7">
            <w:pPr>
              <w:jc w:val="left"/>
              <w:rPr>
                <w:rFonts w:cstheme="minorHAnsi"/>
                <w:b/>
                <w:sz w:val="18"/>
                <w:szCs w:val="18"/>
              </w:rPr>
            </w:pPr>
            <w:r w:rsidRPr="002926D7">
              <w:rPr>
                <w:rFonts w:asciiTheme="minorHAnsi" w:hAnsiTheme="minorHAnsi" w:cstheme="minorHAnsi"/>
                <w:b/>
                <w:iCs/>
                <w:sz w:val="18"/>
                <w:szCs w:val="18"/>
              </w:rPr>
              <w:t xml:space="preserve">Indicator </w:t>
            </w:r>
            <w:r w:rsidR="00A1598C" w:rsidRPr="002926D7">
              <w:rPr>
                <w:rFonts w:asciiTheme="minorHAnsi" w:hAnsiTheme="minorHAnsi" w:cstheme="minorHAnsi"/>
                <w:b/>
                <w:iCs/>
                <w:sz w:val="18"/>
                <w:szCs w:val="18"/>
              </w:rPr>
              <w:t>20</w:t>
            </w:r>
            <w:r w:rsidRPr="002926D7">
              <w:rPr>
                <w:rFonts w:asciiTheme="minorHAnsi" w:hAnsiTheme="minorHAnsi" w:cstheme="minorHAnsi"/>
                <w:b/>
                <w:iCs/>
                <w:sz w:val="18"/>
                <w:szCs w:val="18"/>
              </w:rPr>
              <w:t>:</w:t>
            </w:r>
            <w:r w:rsidRPr="002926D7">
              <w:rPr>
                <w:rFonts w:asciiTheme="minorHAnsi" w:hAnsiTheme="minorHAnsi" w:cstheme="minorHAnsi"/>
                <w:bCs/>
                <w:iCs/>
                <w:sz w:val="18"/>
                <w:szCs w:val="18"/>
              </w:rPr>
              <w:t xml:space="preserve"> </w:t>
            </w:r>
            <w:r w:rsidRPr="002926D7">
              <w:rPr>
                <w:rFonts w:asciiTheme="minorHAnsi" w:hAnsiTheme="minorHAnsi" w:cstheme="minorHAnsi"/>
                <w:bCs/>
                <w:sz w:val="18"/>
                <w:szCs w:val="18"/>
              </w:rPr>
              <w:t>Number of policy recommendations or advocacy initiatives related to land-based pollution as a result of SGP project.</w:t>
            </w:r>
          </w:p>
        </w:tc>
        <w:tc>
          <w:tcPr>
            <w:tcW w:w="1719" w:type="dxa"/>
          </w:tcPr>
          <w:p w14:paraId="6FC0D72B" w14:textId="1FB543CD" w:rsidR="009E60A8" w:rsidRPr="002926D7" w:rsidRDefault="009E60A8" w:rsidP="002926D7">
            <w:pPr>
              <w:jc w:val="left"/>
              <w:rPr>
                <w:rFonts w:cstheme="minorHAnsi"/>
                <w:sz w:val="18"/>
                <w:szCs w:val="18"/>
              </w:rPr>
            </w:pPr>
            <w:r w:rsidRPr="002926D7">
              <w:rPr>
                <w:rFonts w:asciiTheme="minorHAnsi" w:hAnsiTheme="minorHAnsi" w:cstheme="minorHAnsi"/>
                <w:iCs/>
                <w:sz w:val="18"/>
                <w:szCs w:val="18"/>
              </w:rPr>
              <w:t>4 policy recommendations</w:t>
            </w:r>
          </w:p>
        </w:tc>
        <w:tc>
          <w:tcPr>
            <w:tcW w:w="2329" w:type="dxa"/>
          </w:tcPr>
          <w:p w14:paraId="540B92AB" w14:textId="07F6E51F" w:rsidR="009E60A8" w:rsidRPr="002926D7" w:rsidRDefault="009E60A8" w:rsidP="002926D7">
            <w:pPr>
              <w:jc w:val="left"/>
              <w:rPr>
                <w:rFonts w:cs="Calibri"/>
                <w:sz w:val="18"/>
                <w:szCs w:val="18"/>
              </w:rPr>
            </w:pPr>
            <w:r w:rsidRPr="002926D7">
              <w:rPr>
                <w:rFonts w:cs="Calibri"/>
                <w:sz w:val="18"/>
                <w:szCs w:val="18"/>
              </w:rPr>
              <w:t>It measures the level of public awareness and support for policies addressing land-based pollution.</w:t>
            </w:r>
          </w:p>
        </w:tc>
        <w:tc>
          <w:tcPr>
            <w:tcW w:w="1207" w:type="dxa"/>
          </w:tcPr>
          <w:p w14:paraId="5B06824F" w14:textId="25C07AFA" w:rsidR="009E60A8" w:rsidRPr="002926D7" w:rsidRDefault="009E60A8" w:rsidP="002926D7">
            <w:pPr>
              <w:jc w:val="left"/>
              <w:rPr>
                <w:rFonts w:cs="Calibri"/>
                <w:sz w:val="18"/>
                <w:szCs w:val="18"/>
              </w:rPr>
            </w:pPr>
            <w:r w:rsidRPr="002926D7">
              <w:rPr>
                <w:rFonts w:cs="Calibri"/>
                <w:sz w:val="18"/>
                <w:szCs w:val="18"/>
              </w:rPr>
              <w:t xml:space="preserve">Annually </w:t>
            </w:r>
          </w:p>
        </w:tc>
        <w:tc>
          <w:tcPr>
            <w:tcW w:w="1682" w:type="dxa"/>
          </w:tcPr>
          <w:p w14:paraId="643AA2CF" w14:textId="77777777" w:rsidR="009E60A8" w:rsidRPr="002926D7" w:rsidRDefault="009E60A8" w:rsidP="002926D7">
            <w:pPr>
              <w:jc w:val="left"/>
              <w:rPr>
                <w:rFonts w:cs="Calibri"/>
                <w:sz w:val="18"/>
                <w:szCs w:val="18"/>
              </w:rPr>
            </w:pPr>
            <w:r w:rsidRPr="002926D7">
              <w:rPr>
                <w:rFonts w:cs="Calibri"/>
                <w:sz w:val="18"/>
                <w:szCs w:val="18"/>
              </w:rPr>
              <w:t>SGP National Coordinators; UNDP Country Office</w:t>
            </w:r>
          </w:p>
          <w:p w14:paraId="23C208E3" w14:textId="77777777" w:rsidR="009E60A8" w:rsidRPr="002926D7" w:rsidRDefault="009E60A8" w:rsidP="002926D7">
            <w:pPr>
              <w:jc w:val="left"/>
              <w:rPr>
                <w:rFonts w:cs="Calibri"/>
                <w:sz w:val="18"/>
                <w:szCs w:val="18"/>
              </w:rPr>
            </w:pPr>
          </w:p>
        </w:tc>
        <w:tc>
          <w:tcPr>
            <w:tcW w:w="1588" w:type="dxa"/>
          </w:tcPr>
          <w:p w14:paraId="65DBAD6D" w14:textId="3884BECF" w:rsidR="009E60A8" w:rsidRPr="002926D7" w:rsidRDefault="009E60A8" w:rsidP="002926D7">
            <w:pPr>
              <w:jc w:val="left"/>
              <w:rPr>
                <w:rFonts w:cs="Calibri"/>
                <w:sz w:val="18"/>
                <w:szCs w:val="18"/>
              </w:rPr>
            </w:pPr>
            <w:r w:rsidRPr="002926D7">
              <w:rPr>
                <w:rFonts w:cs="Calibri"/>
                <w:sz w:val="18"/>
                <w:szCs w:val="18"/>
              </w:rPr>
              <w:t>AMR; Grantee monitoring reports; Impact reviews; SGP database</w:t>
            </w:r>
          </w:p>
        </w:tc>
      </w:tr>
      <w:tr w:rsidR="009E60A8" w:rsidRPr="002926D7" w14:paraId="156A3DE0" w14:textId="77777777" w:rsidTr="00BB55E0">
        <w:trPr>
          <w:trHeight w:val="20"/>
          <w:jc w:val="center"/>
        </w:trPr>
        <w:tc>
          <w:tcPr>
            <w:tcW w:w="1411" w:type="dxa"/>
            <w:vMerge/>
          </w:tcPr>
          <w:p w14:paraId="76F7B112" w14:textId="77777777" w:rsidR="009E60A8" w:rsidRPr="002926D7" w:rsidRDefault="009E60A8" w:rsidP="002926D7">
            <w:pPr>
              <w:jc w:val="left"/>
              <w:rPr>
                <w:rFonts w:cs="Calibri"/>
                <w:b/>
                <w:sz w:val="18"/>
                <w:szCs w:val="18"/>
              </w:rPr>
            </w:pPr>
          </w:p>
        </w:tc>
        <w:tc>
          <w:tcPr>
            <w:tcW w:w="1399" w:type="dxa"/>
            <w:vMerge w:val="restart"/>
          </w:tcPr>
          <w:p w14:paraId="1750ED16" w14:textId="77777777" w:rsidR="009E60A8" w:rsidRPr="002926D7" w:rsidRDefault="009E60A8" w:rsidP="002926D7">
            <w:pPr>
              <w:jc w:val="left"/>
              <w:rPr>
                <w:rFonts w:cs="Calibri"/>
                <w:b/>
                <w:sz w:val="18"/>
                <w:szCs w:val="18"/>
              </w:rPr>
            </w:pPr>
            <w:r w:rsidRPr="002926D7">
              <w:rPr>
                <w:rFonts w:cs="Calibri"/>
                <w:b/>
                <w:sz w:val="18"/>
                <w:szCs w:val="18"/>
              </w:rPr>
              <w:t>Project Outcome 3.1</w:t>
            </w:r>
          </w:p>
          <w:p w14:paraId="16A42E0D" w14:textId="77777777" w:rsidR="009E60A8" w:rsidRPr="002926D7" w:rsidRDefault="009E60A8" w:rsidP="002926D7">
            <w:pPr>
              <w:jc w:val="left"/>
              <w:rPr>
                <w:rFonts w:cs="Calibri"/>
                <w:b/>
                <w:sz w:val="18"/>
                <w:szCs w:val="18"/>
              </w:rPr>
            </w:pPr>
            <w:r w:rsidRPr="002926D7">
              <w:rPr>
                <w:rFonts w:eastAsia="Calibri" w:cstheme="minorHAnsi"/>
                <w:bCs/>
                <w:color w:val="000000" w:themeColor="text1"/>
                <w:sz w:val="18"/>
                <w:szCs w:val="18"/>
              </w:rPr>
              <w:t>Sustainability and impact of community-led collective action enhanced through knowledge management and learning approaches across landscapes-seascapes and regions.</w:t>
            </w:r>
          </w:p>
        </w:tc>
        <w:tc>
          <w:tcPr>
            <w:tcW w:w="3150" w:type="dxa"/>
          </w:tcPr>
          <w:p w14:paraId="33876005" w14:textId="010B80B9" w:rsidR="009E60A8" w:rsidRPr="002926D7" w:rsidRDefault="009E60A8" w:rsidP="002926D7">
            <w:pPr>
              <w:jc w:val="left"/>
              <w:rPr>
                <w:rFonts w:cs="Calibri"/>
                <w:b/>
                <w:sz w:val="18"/>
                <w:szCs w:val="18"/>
              </w:rPr>
            </w:pPr>
            <w:r w:rsidRPr="002926D7">
              <w:rPr>
                <w:rFonts w:cstheme="minorHAnsi"/>
                <w:b/>
                <w:iCs/>
                <w:sz w:val="18"/>
                <w:szCs w:val="18"/>
              </w:rPr>
              <w:t xml:space="preserve">Indicator </w:t>
            </w:r>
            <w:r w:rsidR="00A1598C" w:rsidRPr="002926D7">
              <w:rPr>
                <w:rFonts w:cstheme="minorHAnsi"/>
                <w:b/>
                <w:iCs/>
                <w:sz w:val="18"/>
                <w:szCs w:val="18"/>
              </w:rPr>
              <w:t>21</w:t>
            </w:r>
            <w:r w:rsidRPr="002926D7">
              <w:rPr>
                <w:rFonts w:cstheme="minorHAnsi"/>
                <w:bCs/>
                <w:iCs/>
                <w:sz w:val="18"/>
                <w:szCs w:val="18"/>
              </w:rPr>
              <w:t xml:space="preserve">: </w:t>
            </w:r>
            <w:r w:rsidRPr="002926D7">
              <w:rPr>
                <w:rFonts w:cstheme="minorHAnsi"/>
                <w:bCs/>
                <w:sz w:val="18"/>
                <w:szCs w:val="18"/>
              </w:rPr>
              <w:t>Number of countries undertaking South-South exchanges between communities, NGOs/CSOs, or other partners within or across countries.</w:t>
            </w:r>
          </w:p>
        </w:tc>
        <w:tc>
          <w:tcPr>
            <w:tcW w:w="1719" w:type="dxa"/>
          </w:tcPr>
          <w:p w14:paraId="6B7B7B9A" w14:textId="77777777" w:rsidR="009E60A8" w:rsidRPr="002926D7" w:rsidRDefault="009E60A8" w:rsidP="002926D7">
            <w:pPr>
              <w:jc w:val="left"/>
              <w:rPr>
                <w:rFonts w:cs="Calibri"/>
                <w:sz w:val="18"/>
                <w:szCs w:val="18"/>
              </w:rPr>
            </w:pPr>
            <w:r w:rsidRPr="002926D7">
              <w:rPr>
                <w:rFonts w:cstheme="minorHAnsi"/>
                <w:sz w:val="18"/>
                <w:szCs w:val="18"/>
              </w:rPr>
              <w:t>25 SGP countries (approx. 25% of the OP8 Part 1 portfolio)</w:t>
            </w:r>
          </w:p>
        </w:tc>
        <w:tc>
          <w:tcPr>
            <w:tcW w:w="2329" w:type="dxa"/>
          </w:tcPr>
          <w:p w14:paraId="7B41B056" w14:textId="77777777" w:rsidR="009E60A8" w:rsidRPr="002926D7" w:rsidRDefault="009E60A8" w:rsidP="002926D7">
            <w:pPr>
              <w:jc w:val="left"/>
              <w:rPr>
                <w:rFonts w:cs="Calibri"/>
                <w:sz w:val="18"/>
                <w:szCs w:val="18"/>
              </w:rPr>
            </w:pPr>
            <w:r w:rsidRPr="002926D7">
              <w:rPr>
                <w:rFonts w:cs="Calibri"/>
                <w:sz w:val="18"/>
                <w:szCs w:val="18"/>
              </w:rPr>
              <w:t>It measures</w:t>
            </w:r>
            <w:r w:rsidRPr="002926D7">
              <w:t xml:space="preserve"> </w:t>
            </w:r>
            <w:r w:rsidRPr="002926D7">
              <w:rPr>
                <w:rFonts w:cs="Calibri"/>
                <w:sz w:val="18"/>
                <w:szCs w:val="18"/>
              </w:rPr>
              <w:t xml:space="preserve">the extent to which countries engage in collaborative knowledge sharing, capacity building, and partnership activities within the South-South cooperation framework. </w:t>
            </w:r>
          </w:p>
        </w:tc>
        <w:tc>
          <w:tcPr>
            <w:tcW w:w="1207" w:type="dxa"/>
          </w:tcPr>
          <w:p w14:paraId="2216DAF1" w14:textId="77777777" w:rsidR="009E60A8" w:rsidRPr="002926D7" w:rsidRDefault="009E60A8" w:rsidP="002926D7">
            <w:pPr>
              <w:jc w:val="left"/>
              <w:rPr>
                <w:rFonts w:cs="Calibri"/>
                <w:sz w:val="18"/>
                <w:szCs w:val="18"/>
              </w:rPr>
            </w:pPr>
            <w:r w:rsidRPr="002926D7">
              <w:rPr>
                <w:rFonts w:cs="Calibri"/>
                <w:sz w:val="18"/>
                <w:szCs w:val="18"/>
              </w:rPr>
              <w:t xml:space="preserve">Annually </w:t>
            </w:r>
          </w:p>
        </w:tc>
        <w:tc>
          <w:tcPr>
            <w:tcW w:w="1682" w:type="dxa"/>
          </w:tcPr>
          <w:p w14:paraId="61DA013A" w14:textId="77777777" w:rsidR="009E60A8" w:rsidRPr="002926D7" w:rsidRDefault="009E60A8" w:rsidP="002926D7">
            <w:pPr>
              <w:jc w:val="left"/>
              <w:rPr>
                <w:rFonts w:cs="Calibri"/>
                <w:sz w:val="18"/>
                <w:szCs w:val="18"/>
              </w:rPr>
            </w:pPr>
            <w:r w:rsidRPr="002926D7">
              <w:rPr>
                <w:rFonts w:cs="Calibri"/>
                <w:sz w:val="18"/>
                <w:szCs w:val="18"/>
              </w:rPr>
              <w:t>SGP National Coordinators; UNDP Country Office</w:t>
            </w:r>
          </w:p>
          <w:p w14:paraId="036DF853" w14:textId="77777777" w:rsidR="009E60A8" w:rsidRPr="002926D7" w:rsidRDefault="009E60A8" w:rsidP="002926D7">
            <w:pPr>
              <w:jc w:val="left"/>
              <w:rPr>
                <w:rFonts w:cs="Calibri"/>
                <w:sz w:val="18"/>
                <w:szCs w:val="18"/>
              </w:rPr>
            </w:pPr>
          </w:p>
        </w:tc>
        <w:tc>
          <w:tcPr>
            <w:tcW w:w="1588" w:type="dxa"/>
          </w:tcPr>
          <w:p w14:paraId="2CDC2AFF" w14:textId="77777777" w:rsidR="009E60A8" w:rsidRPr="002926D7" w:rsidRDefault="009E60A8" w:rsidP="002926D7">
            <w:pPr>
              <w:jc w:val="left"/>
              <w:rPr>
                <w:rFonts w:cs="Calibri"/>
                <w:sz w:val="18"/>
                <w:szCs w:val="18"/>
              </w:rPr>
            </w:pPr>
            <w:r w:rsidRPr="002926D7">
              <w:rPr>
                <w:rFonts w:cs="Calibri"/>
                <w:sz w:val="18"/>
                <w:szCs w:val="18"/>
              </w:rPr>
              <w:t>AMR; Grantee monitoring reports; Impact reviews; SGP database</w:t>
            </w:r>
          </w:p>
        </w:tc>
      </w:tr>
      <w:tr w:rsidR="009E60A8" w:rsidRPr="002926D7" w14:paraId="4FA271E0" w14:textId="77777777" w:rsidTr="00BB55E0">
        <w:trPr>
          <w:trHeight w:val="20"/>
          <w:jc w:val="center"/>
        </w:trPr>
        <w:tc>
          <w:tcPr>
            <w:tcW w:w="1411" w:type="dxa"/>
            <w:vMerge/>
          </w:tcPr>
          <w:p w14:paraId="27D4678F" w14:textId="77777777" w:rsidR="009E60A8" w:rsidRPr="002926D7" w:rsidRDefault="009E60A8" w:rsidP="002926D7">
            <w:pPr>
              <w:jc w:val="left"/>
              <w:rPr>
                <w:rFonts w:cs="Calibri"/>
                <w:b/>
                <w:sz w:val="18"/>
                <w:szCs w:val="18"/>
              </w:rPr>
            </w:pPr>
          </w:p>
        </w:tc>
        <w:tc>
          <w:tcPr>
            <w:tcW w:w="1399" w:type="dxa"/>
            <w:vMerge/>
          </w:tcPr>
          <w:p w14:paraId="1A95A0BC" w14:textId="77777777" w:rsidR="009E60A8" w:rsidRPr="002926D7" w:rsidRDefault="009E60A8" w:rsidP="002926D7">
            <w:pPr>
              <w:jc w:val="left"/>
              <w:rPr>
                <w:rFonts w:cs="Calibri"/>
                <w:b/>
                <w:sz w:val="18"/>
                <w:szCs w:val="18"/>
              </w:rPr>
            </w:pPr>
          </w:p>
        </w:tc>
        <w:tc>
          <w:tcPr>
            <w:tcW w:w="3150" w:type="dxa"/>
          </w:tcPr>
          <w:p w14:paraId="79440038" w14:textId="3155F36D" w:rsidR="009E60A8" w:rsidRPr="002926D7" w:rsidRDefault="009E60A8" w:rsidP="002926D7">
            <w:pPr>
              <w:jc w:val="left"/>
              <w:rPr>
                <w:rFonts w:cs="Calibri"/>
                <w:b/>
                <w:sz w:val="18"/>
                <w:szCs w:val="18"/>
              </w:rPr>
            </w:pPr>
            <w:r w:rsidRPr="002926D7">
              <w:rPr>
                <w:rFonts w:cstheme="minorHAnsi"/>
                <w:b/>
                <w:iCs/>
                <w:sz w:val="18"/>
                <w:szCs w:val="18"/>
              </w:rPr>
              <w:t xml:space="preserve">Indicator </w:t>
            </w:r>
            <w:r w:rsidR="00A1598C" w:rsidRPr="002926D7">
              <w:rPr>
                <w:rFonts w:cstheme="minorHAnsi"/>
                <w:b/>
                <w:iCs/>
                <w:sz w:val="18"/>
                <w:szCs w:val="18"/>
              </w:rPr>
              <w:t>22</w:t>
            </w:r>
            <w:r w:rsidRPr="002926D7">
              <w:rPr>
                <w:rFonts w:cstheme="minorHAnsi"/>
                <w:bCs/>
                <w:iCs/>
                <w:sz w:val="18"/>
                <w:szCs w:val="18"/>
              </w:rPr>
              <w:t xml:space="preserve">: </w:t>
            </w:r>
            <w:r w:rsidRPr="002926D7">
              <w:rPr>
                <w:rFonts w:cstheme="minorHAnsi"/>
                <w:bCs/>
                <w:sz w:val="18"/>
                <w:szCs w:val="18"/>
              </w:rPr>
              <w:t>Number of South-South exchanges to transfer knowledge, replicate technology, tools or approaches on global environmental issues.</w:t>
            </w:r>
          </w:p>
        </w:tc>
        <w:tc>
          <w:tcPr>
            <w:tcW w:w="1719" w:type="dxa"/>
          </w:tcPr>
          <w:p w14:paraId="40C95FD3" w14:textId="77777777" w:rsidR="009E60A8" w:rsidRPr="002926D7" w:rsidRDefault="009E60A8" w:rsidP="002926D7">
            <w:pPr>
              <w:jc w:val="left"/>
              <w:rPr>
                <w:rFonts w:cs="Calibri"/>
                <w:sz w:val="18"/>
                <w:szCs w:val="18"/>
              </w:rPr>
            </w:pPr>
            <w:r w:rsidRPr="002926D7">
              <w:rPr>
                <w:rFonts w:cstheme="minorHAnsi"/>
                <w:sz w:val="18"/>
                <w:szCs w:val="18"/>
              </w:rPr>
              <w:t>40 exchanges</w:t>
            </w:r>
          </w:p>
        </w:tc>
        <w:tc>
          <w:tcPr>
            <w:tcW w:w="2329" w:type="dxa"/>
          </w:tcPr>
          <w:p w14:paraId="086E08AF" w14:textId="77777777" w:rsidR="009E60A8" w:rsidRPr="002926D7" w:rsidRDefault="009E60A8" w:rsidP="002926D7">
            <w:pPr>
              <w:jc w:val="left"/>
              <w:rPr>
                <w:rFonts w:cs="Calibri"/>
                <w:sz w:val="18"/>
                <w:szCs w:val="18"/>
              </w:rPr>
            </w:pPr>
            <w:r w:rsidRPr="002926D7">
              <w:rPr>
                <w:rFonts w:cs="Calibri"/>
                <w:sz w:val="18"/>
                <w:szCs w:val="18"/>
              </w:rPr>
              <w:t>It measures</w:t>
            </w:r>
            <w:r w:rsidRPr="002926D7">
              <w:t xml:space="preserve"> </w:t>
            </w:r>
            <w:r w:rsidRPr="002926D7">
              <w:rPr>
                <w:rFonts w:cs="Calibri"/>
                <w:sz w:val="18"/>
                <w:szCs w:val="18"/>
              </w:rPr>
              <w:t>the extent to which countries engage in collaborative knowledge sharing, capacity building, and partnership activities within the South-South cooperation framework.</w:t>
            </w:r>
          </w:p>
        </w:tc>
        <w:tc>
          <w:tcPr>
            <w:tcW w:w="1207" w:type="dxa"/>
          </w:tcPr>
          <w:p w14:paraId="004FCBB0" w14:textId="77777777" w:rsidR="009E60A8" w:rsidRPr="002926D7" w:rsidRDefault="009E60A8" w:rsidP="002926D7">
            <w:pPr>
              <w:jc w:val="left"/>
              <w:rPr>
                <w:rFonts w:cs="Calibri"/>
                <w:sz w:val="18"/>
                <w:szCs w:val="18"/>
              </w:rPr>
            </w:pPr>
            <w:r w:rsidRPr="002926D7">
              <w:rPr>
                <w:rFonts w:cs="Calibri"/>
                <w:sz w:val="18"/>
                <w:szCs w:val="18"/>
              </w:rPr>
              <w:t xml:space="preserve">Annually </w:t>
            </w:r>
          </w:p>
        </w:tc>
        <w:tc>
          <w:tcPr>
            <w:tcW w:w="1682" w:type="dxa"/>
          </w:tcPr>
          <w:p w14:paraId="1045D590" w14:textId="77777777" w:rsidR="009E60A8" w:rsidRPr="002926D7" w:rsidRDefault="009E60A8" w:rsidP="002926D7">
            <w:pPr>
              <w:jc w:val="left"/>
              <w:rPr>
                <w:rFonts w:cs="Calibri"/>
                <w:sz w:val="18"/>
                <w:szCs w:val="18"/>
              </w:rPr>
            </w:pPr>
            <w:r w:rsidRPr="002926D7">
              <w:rPr>
                <w:rFonts w:cs="Calibri"/>
                <w:sz w:val="18"/>
                <w:szCs w:val="18"/>
              </w:rPr>
              <w:t>UNDP Country Offices; National Coordinators</w:t>
            </w:r>
          </w:p>
        </w:tc>
        <w:tc>
          <w:tcPr>
            <w:tcW w:w="1588" w:type="dxa"/>
          </w:tcPr>
          <w:p w14:paraId="621EB8BF" w14:textId="77777777" w:rsidR="009E60A8" w:rsidRPr="002926D7" w:rsidRDefault="009E60A8" w:rsidP="002926D7">
            <w:pPr>
              <w:jc w:val="left"/>
              <w:rPr>
                <w:rFonts w:cs="Calibri"/>
                <w:sz w:val="18"/>
                <w:szCs w:val="18"/>
              </w:rPr>
            </w:pPr>
            <w:r w:rsidRPr="002926D7">
              <w:rPr>
                <w:rFonts w:cs="Calibri"/>
                <w:sz w:val="18"/>
                <w:szCs w:val="18"/>
              </w:rPr>
              <w:t>AMR; Grantee monitoring reports; Impact reviews; SGP database</w:t>
            </w:r>
          </w:p>
        </w:tc>
      </w:tr>
      <w:tr w:rsidR="009E60A8" w:rsidRPr="002926D7" w14:paraId="32F6FD94" w14:textId="77777777" w:rsidTr="00BB55E0">
        <w:trPr>
          <w:trHeight w:val="20"/>
          <w:jc w:val="center"/>
        </w:trPr>
        <w:tc>
          <w:tcPr>
            <w:tcW w:w="1411" w:type="dxa"/>
            <w:vMerge/>
          </w:tcPr>
          <w:p w14:paraId="25F77F69" w14:textId="77777777" w:rsidR="009E60A8" w:rsidRPr="002926D7" w:rsidRDefault="009E60A8" w:rsidP="002926D7">
            <w:pPr>
              <w:jc w:val="left"/>
              <w:rPr>
                <w:rFonts w:cs="Calibri"/>
                <w:b/>
                <w:sz w:val="18"/>
                <w:szCs w:val="18"/>
              </w:rPr>
            </w:pPr>
          </w:p>
        </w:tc>
        <w:tc>
          <w:tcPr>
            <w:tcW w:w="1399" w:type="dxa"/>
            <w:vMerge/>
          </w:tcPr>
          <w:p w14:paraId="22DF9B3D" w14:textId="77777777" w:rsidR="009E60A8" w:rsidRPr="002926D7" w:rsidRDefault="009E60A8" w:rsidP="002926D7">
            <w:pPr>
              <w:jc w:val="left"/>
              <w:rPr>
                <w:rFonts w:cs="Calibri"/>
                <w:b/>
                <w:sz w:val="18"/>
                <w:szCs w:val="18"/>
              </w:rPr>
            </w:pPr>
          </w:p>
        </w:tc>
        <w:tc>
          <w:tcPr>
            <w:tcW w:w="3150" w:type="dxa"/>
          </w:tcPr>
          <w:p w14:paraId="7753408F" w14:textId="49687B9C" w:rsidR="009E60A8" w:rsidRPr="002926D7" w:rsidRDefault="009E60A8" w:rsidP="002926D7">
            <w:pPr>
              <w:jc w:val="left"/>
              <w:rPr>
                <w:rFonts w:cstheme="minorHAnsi"/>
                <w:b/>
                <w:iCs/>
                <w:sz w:val="18"/>
                <w:szCs w:val="18"/>
              </w:rPr>
            </w:pPr>
            <w:r w:rsidRPr="002926D7">
              <w:rPr>
                <w:rFonts w:cstheme="minorHAnsi"/>
                <w:b/>
                <w:iCs/>
                <w:sz w:val="18"/>
                <w:szCs w:val="18"/>
              </w:rPr>
              <w:t xml:space="preserve">Indicator </w:t>
            </w:r>
            <w:r w:rsidR="00A1598C" w:rsidRPr="002926D7">
              <w:rPr>
                <w:rFonts w:cstheme="minorHAnsi"/>
                <w:b/>
                <w:iCs/>
                <w:sz w:val="18"/>
                <w:szCs w:val="18"/>
              </w:rPr>
              <w:t>23</w:t>
            </w:r>
            <w:r w:rsidRPr="002926D7">
              <w:rPr>
                <w:rFonts w:cstheme="minorHAnsi"/>
                <w:bCs/>
                <w:iCs/>
                <w:sz w:val="18"/>
                <w:szCs w:val="18"/>
              </w:rPr>
              <w:t xml:space="preserve">: </w:t>
            </w:r>
            <w:r w:rsidRPr="002926D7">
              <w:rPr>
                <w:rFonts w:cstheme="minorHAnsi"/>
                <w:iCs/>
                <w:sz w:val="18"/>
                <w:szCs w:val="18"/>
              </w:rPr>
              <w:t>Number of knowledge exchange/sharing events with participation of local communities</w:t>
            </w:r>
          </w:p>
        </w:tc>
        <w:tc>
          <w:tcPr>
            <w:tcW w:w="1719" w:type="dxa"/>
          </w:tcPr>
          <w:p w14:paraId="4FE0A024" w14:textId="77777777" w:rsidR="009E60A8" w:rsidRPr="002926D7" w:rsidRDefault="009E60A8" w:rsidP="002926D7">
            <w:pPr>
              <w:jc w:val="left"/>
              <w:rPr>
                <w:rFonts w:cstheme="minorHAnsi"/>
                <w:sz w:val="18"/>
                <w:szCs w:val="18"/>
              </w:rPr>
            </w:pPr>
            <w:r w:rsidRPr="002926D7">
              <w:rPr>
                <w:rFonts w:cstheme="minorHAnsi"/>
                <w:sz w:val="18"/>
                <w:szCs w:val="18"/>
              </w:rPr>
              <w:t>350</w:t>
            </w:r>
          </w:p>
        </w:tc>
        <w:tc>
          <w:tcPr>
            <w:tcW w:w="2329" w:type="dxa"/>
          </w:tcPr>
          <w:p w14:paraId="776C5805" w14:textId="77777777" w:rsidR="009E60A8" w:rsidRPr="002926D7" w:rsidRDefault="009E60A8" w:rsidP="002926D7">
            <w:pPr>
              <w:jc w:val="left"/>
              <w:rPr>
                <w:rFonts w:cs="Calibri"/>
                <w:sz w:val="18"/>
                <w:szCs w:val="18"/>
              </w:rPr>
            </w:pPr>
            <w:r w:rsidRPr="002926D7">
              <w:rPr>
                <w:rFonts w:cs="Calibri"/>
                <w:sz w:val="18"/>
                <w:szCs w:val="18"/>
              </w:rPr>
              <w:t xml:space="preserve">This indicator quantifies the activities designed to facilitate the exchange and sharing of knowledge, information, and </w:t>
            </w:r>
            <w:r w:rsidRPr="002926D7">
              <w:rPr>
                <w:rFonts w:cs="Calibri"/>
                <w:sz w:val="18"/>
                <w:szCs w:val="18"/>
              </w:rPr>
              <w:lastRenderedPageBreak/>
              <w:t>experiences, specifically involving the active participation of local communities</w:t>
            </w:r>
          </w:p>
        </w:tc>
        <w:tc>
          <w:tcPr>
            <w:tcW w:w="1207" w:type="dxa"/>
          </w:tcPr>
          <w:p w14:paraId="1279BAF2" w14:textId="77777777" w:rsidR="009E60A8" w:rsidRPr="002926D7" w:rsidRDefault="009E60A8" w:rsidP="002926D7">
            <w:pPr>
              <w:jc w:val="left"/>
              <w:rPr>
                <w:rFonts w:cs="Calibri"/>
                <w:sz w:val="18"/>
                <w:szCs w:val="18"/>
              </w:rPr>
            </w:pPr>
            <w:r w:rsidRPr="002926D7">
              <w:rPr>
                <w:rFonts w:cs="Calibri"/>
                <w:sz w:val="18"/>
                <w:szCs w:val="18"/>
              </w:rPr>
              <w:lastRenderedPageBreak/>
              <w:t>Annually</w:t>
            </w:r>
          </w:p>
        </w:tc>
        <w:tc>
          <w:tcPr>
            <w:tcW w:w="1682" w:type="dxa"/>
          </w:tcPr>
          <w:p w14:paraId="63058498" w14:textId="77777777" w:rsidR="009E60A8" w:rsidRPr="002926D7" w:rsidRDefault="009E60A8" w:rsidP="002926D7">
            <w:pPr>
              <w:jc w:val="left"/>
              <w:rPr>
                <w:rFonts w:cs="Calibri"/>
                <w:sz w:val="18"/>
                <w:szCs w:val="18"/>
              </w:rPr>
            </w:pPr>
            <w:r w:rsidRPr="002926D7">
              <w:rPr>
                <w:rFonts w:cs="Calibri"/>
                <w:sz w:val="18"/>
                <w:szCs w:val="18"/>
              </w:rPr>
              <w:t>SGP National Coordinators; UNDP Country Office</w:t>
            </w:r>
          </w:p>
          <w:p w14:paraId="65BC9B46" w14:textId="77777777" w:rsidR="009E60A8" w:rsidRPr="002926D7" w:rsidRDefault="009E60A8" w:rsidP="002926D7">
            <w:pPr>
              <w:jc w:val="left"/>
              <w:rPr>
                <w:rFonts w:cs="Calibri"/>
                <w:sz w:val="18"/>
                <w:szCs w:val="18"/>
              </w:rPr>
            </w:pPr>
          </w:p>
        </w:tc>
        <w:tc>
          <w:tcPr>
            <w:tcW w:w="1588" w:type="dxa"/>
          </w:tcPr>
          <w:p w14:paraId="0F9DC764" w14:textId="77777777" w:rsidR="009E60A8" w:rsidRPr="002926D7" w:rsidRDefault="009E60A8" w:rsidP="002926D7">
            <w:pPr>
              <w:jc w:val="left"/>
              <w:rPr>
                <w:rFonts w:cs="Calibri"/>
                <w:sz w:val="18"/>
                <w:szCs w:val="18"/>
              </w:rPr>
            </w:pPr>
            <w:r w:rsidRPr="002926D7">
              <w:rPr>
                <w:rFonts w:cs="Calibri"/>
                <w:sz w:val="18"/>
                <w:szCs w:val="18"/>
              </w:rPr>
              <w:t>Grantee monitoring reports; Impact reviews</w:t>
            </w:r>
          </w:p>
        </w:tc>
      </w:tr>
      <w:tr w:rsidR="009E60A8" w:rsidRPr="002926D7" w14:paraId="0ABD908F" w14:textId="77777777" w:rsidTr="00BB55E0">
        <w:trPr>
          <w:trHeight w:val="20"/>
          <w:jc w:val="center"/>
        </w:trPr>
        <w:tc>
          <w:tcPr>
            <w:tcW w:w="1411" w:type="dxa"/>
            <w:vMerge/>
          </w:tcPr>
          <w:p w14:paraId="486ADDB9" w14:textId="77777777" w:rsidR="009E60A8" w:rsidRPr="002926D7" w:rsidRDefault="009E60A8" w:rsidP="002926D7">
            <w:pPr>
              <w:jc w:val="left"/>
              <w:rPr>
                <w:rFonts w:cs="Calibri"/>
                <w:b/>
                <w:sz w:val="18"/>
                <w:szCs w:val="18"/>
              </w:rPr>
            </w:pPr>
          </w:p>
        </w:tc>
        <w:tc>
          <w:tcPr>
            <w:tcW w:w="1399" w:type="dxa"/>
            <w:vMerge/>
          </w:tcPr>
          <w:p w14:paraId="46C8DC92" w14:textId="77777777" w:rsidR="009E60A8" w:rsidRPr="002926D7" w:rsidRDefault="009E60A8" w:rsidP="002926D7">
            <w:pPr>
              <w:jc w:val="left"/>
              <w:rPr>
                <w:rFonts w:cs="Calibri"/>
                <w:b/>
                <w:sz w:val="18"/>
                <w:szCs w:val="18"/>
              </w:rPr>
            </w:pPr>
          </w:p>
        </w:tc>
        <w:tc>
          <w:tcPr>
            <w:tcW w:w="3150" w:type="dxa"/>
          </w:tcPr>
          <w:p w14:paraId="22C2A921" w14:textId="485ADAF0" w:rsidR="009E60A8" w:rsidRPr="002926D7" w:rsidRDefault="009E60A8" w:rsidP="002926D7">
            <w:pPr>
              <w:jc w:val="left"/>
              <w:rPr>
                <w:rFonts w:cs="Calibri"/>
                <w:b/>
                <w:sz w:val="18"/>
                <w:szCs w:val="18"/>
              </w:rPr>
            </w:pPr>
            <w:r w:rsidRPr="002926D7">
              <w:rPr>
                <w:rFonts w:cstheme="minorHAnsi"/>
                <w:b/>
                <w:iCs/>
                <w:sz w:val="18"/>
                <w:szCs w:val="18"/>
              </w:rPr>
              <w:t xml:space="preserve">Indicator </w:t>
            </w:r>
            <w:r w:rsidR="00A1598C" w:rsidRPr="002926D7">
              <w:rPr>
                <w:rFonts w:cstheme="minorHAnsi"/>
                <w:b/>
                <w:iCs/>
                <w:sz w:val="18"/>
                <w:szCs w:val="18"/>
              </w:rPr>
              <w:t>24</w:t>
            </w:r>
            <w:r w:rsidRPr="002926D7">
              <w:rPr>
                <w:rFonts w:cstheme="minorHAnsi"/>
                <w:bCs/>
                <w:iCs/>
                <w:sz w:val="18"/>
                <w:szCs w:val="18"/>
              </w:rPr>
              <w:t xml:space="preserve">: </w:t>
            </w:r>
            <w:r w:rsidRPr="002926D7">
              <w:rPr>
                <w:rFonts w:cstheme="minorHAnsi"/>
                <w:iCs/>
                <w:sz w:val="18"/>
                <w:szCs w:val="18"/>
              </w:rPr>
              <w:t>Number of countries with online knowledge repository developed as a result of SGP project</w:t>
            </w:r>
          </w:p>
        </w:tc>
        <w:tc>
          <w:tcPr>
            <w:tcW w:w="1719" w:type="dxa"/>
          </w:tcPr>
          <w:p w14:paraId="20DF1388" w14:textId="77777777" w:rsidR="009E60A8" w:rsidRPr="002926D7" w:rsidRDefault="009E60A8" w:rsidP="002926D7">
            <w:pPr>
              <w:jc w:val="left"/>
              <w:rPr>
                <w:rFonts w:cs="Calibri"/>
                <w:sz w:val="18"/>
                <w:szCs w:val="18"/>
              </w:rPr>
            </w:pPr>
            <w:r w:rsidRPr="002926D7">
              <w:rPr>
                <w:rFonts w:cstheme="minorHAnsi"/>
                <w:sz w:val="18"/>
                <w:szCs w:val="18"/>
              </w:rPr>
              <w:t>20</w:t>
            </w:r>
          </w:p>
        </w:tc>
        <w:tc>
          <w:tcPr>
            <w:tcW w:w="2329" w:type="dxa"/>
          </w:tcPr>
          <w:p w14:paraId="28FD1941" w14:textId="77777777" w:rsidR="009E60A8" w:rsidRPr="002926D7" w:rsidRDefault="009E60A8" w:rsidP="002926D7">
            <w:pPr>
              <w:jc w:val="left"/>
              <w:rPr>
                <w:rFonts w:cs="Calibri"/>
                <w:sz w:val="18"/>
                <w:szCs w:val="18"/>
              </w:rPr>
            </w:pPr>
            <w:r w:rsidRPr="002926D7">
              <w:rPr>
                <w:rFonts w:cs="Calibri"/>
                <w:sz w:val="18"/>
                <w:szCs w:val="18"/>
              </w:rPr>
              <w:t>This indicator quantifies the SGP countries where an internet-based database of knowledge, information, and resources has been created.</w:t>
            </w:r>
          </w:p>
        </w:tc>
        <w:tc>
          <w:tcPr>
            <w:tcW w:w="1207" w:type="dxa"/>
          </w:tcPr>
          <w:p w14:paraId="10BEAC15" w14:textId="77777777" w:rsidR="009E60A8" w:rsidRPr="002926D7" w:rsidRDefault="009E60A8" w:rsidP="002926D7">
            <w:pPr>
              <w:jc w:val="left"/>
              <w:rPr>
                <w:rFonts w:cs="Calibri"/>
                <w:sz w:val="18"/>
                <w:szCs w:val="18"/>
              </w:rPr>
            </w:pPr>
            <w:r w:rsidRPr="002926D7">
              <w:rPr>
                <w:rFonts w:cs="Calibri"/>
                <w:sz w:val="18"/>
                <w:szCs w:val="18"/>
              </w:rPr>
              <w:t>Annually</w:t>
            </w:r>
          </w:p>
        </w:tc>
        <w:tc>
          <w:tcPr>
            <w:tcW w:w="1682" w:type="dxa"/>
          </w:tcPr>
          <w:p w14:paraId="7DDC5075" w14:textId="77777777" w:rsidR="009E60A8" w:rsidRPr="002926D7" w:rsidRDefault="009E60A8" w:rsidP="002926D7">
            <w:pPr>
              <w:jc w:val="left"/>
              <w:rPr>
                <w:rFonts w:cs="Calibri"/>
                <w:sz w:val="18"/>
                <w:szCs w:val="18"/>
              </w:rPr>
            </w:pPr>
            <w:r w:rsidRPr="002926D7">
              <w:rPr>
                <w:rFonts w:cs="Calibri"/>
                <w:sz w:val="18"/>
                <w:szCs w:val="18"/>
              </w:rPr>
              <w:t>SGP National Coordinators; UNDP Country Office</w:t>
            </w:r>
          </w:p>
          <w:p w14:paraId="08078681" w14:textId="77777777" w:rsidR="009E60A8" w:rsidRPr="002926D7" w:rsidRDefault="009E60A8" w:rsidP="002926D7">
            <w:pPr>
              <w:jc w:val="left"/>
              <w:rPr>
                <w:rFonts w:cs="Calibri"/>
                <w:sz w:val="18"/>
                <w:szCs w:val="18"/>
              </w:rPr>
            </w:pPr>
          </w:p>
        </w:tc>
        <w:tc>
          <w:tcPr>
            <w:tcW w:w="1588" w:type="dxa"/>
          </w:tcPr>
          <w:p w14:paraId="23BFA8DB" w14:textId="77777777" w:rsidR="009E60A8" w:rsidRPr="002926D7" w:rsidRDefault="009E60A8" w:rsidP="002926D7">
            <w:pPr>
              <w:jc w:val="left"/>
              <w:rPr>
                <w:rFonts w:cs="Calibri"/>
                <w:sz w:val="18"/>
                <w:szCs w:val="18"/>
              </w:rPr>
            </w:pPr>
            <w:r w:rsidRPr="002926D7">
              <w:rPr>
                <w:rFonts w:cs="Calibri"/>
                <w:sz w:val="18"/>
                <w:szCs w:val="18"/>
              </w:rPr>
              <w:t>Grantee monitoring reports; Impact reviews</w:t>
            </w:r>
          </w:p>
        </w:tc>
      </w:tr>
      <w:tr w:rsidR="009E60A8" w:rsidRPr="002926D7" w14:paraId="5503D258" w14:textId="77777777" w:rsidTr="00BB55E0">
        <w:trPr>
          <w:trHeight w:val="20"/>
          <w:jc w:val="center"/>
        </w:trPr>
        <w:tc>
          <w:tcPr>
            <w:tcW w:w="1411" w:type="dxa"/>
            <w:vMerge/>
          </w:tcPr>
          <w:p w14:paraId="255F7DDD" w14:textId="77777777" w:rsidR="009E60A8" w:rsidRPr="002926D7" w:rsidRDefault="009E60A8" w:rsidP="002926D7">
            <w:pPr>
              <w:jc w:val="left"/>
              <w:rPr>
                <w:rFonts w:cs="Calibri"/>
                <w:b/>
                <w:sz w:val="18"/>
                <w:szCs w:val="18"/>
              </w:rPr>
            </w:pPr>
          </w:p>
        </w:tc>
        <w:tc>
          <w:tcPr>
            <w:tcW w:w="1399" w:type="dxa"/>
            <w:vMerge w:val="restart"/>
          </w:tcPr>
          <w:p w14:paraId="5B6C5ECD" w14:textId="77777777" w:rsidR="009E60A8" w:rsidRPr="002926D7" w:rsidRDefault="009E60A8" w:rsidP="002926D7">
            <w:pPr>
              <w:jc w:val="left"/>
              <w:rPr>
                <w:rFonts w:cs="Calibri"/>
                <w:b/>
                <w:sz w:val="18"/>
                <w:szCs w:val="18"/>
              </w:rPr>
            </w:pPr>
            <w:r w:rsidRPr="002926D7">
              <w:rPr>
                <w:rFonts w:cs="Calibri"/>
                <w:b/>
                <w:sz w:val="18"/>
                <w:szCs w:val="18"/>
              </w:rPr>
              <w:t>Project Outcome 4.1</w:t>
            </w:r>
          </w:p>
          <w:p w14:paraId="677DBE4E" w14:textId="77777777" w:rsidR="009E60A8" w:rsidRPr="002926D7" w:rsidRDefault="009E60A8" w:rsidP="002926D7">
            <w:pPr>
              <w:jc w:val="left"/>
              <w:rPr>
                <w:rFonts w:cs="Calibri"/>
                <w:b/>
                <w:sz w:val="18"/>
                <w:szCs w:val="18"/>
              </w:rPr>
            </w:pPr>
            <w:r w:rsidRPr="002926D7">
              <w:rPr>
                <w:rFonts w:eastAsia="Calibri" w:cstheme="minorHAnsi"/>
                <w:noProof/>
                <w:color w:val="000000" w:themeColor="text1"/>
                <w:sz w:val="18"/>
                <w:szCs w:val="18"/>
              </w:rPr>
              <w:t xml:space="preserve">Scale, durability and impact of locally-led community action strengthend </w:t>
            </w:r>
            <w:r w:rsidRPr="002926D7">
              <w:rPr>
                <w:rFonts w:eastAsia="Calibri" w:cstheme="minorHAnsi"/>
                <w:color w:val="000000" w:themeColor="text1"/>
                <w:sz w:val="18"/>
                <w:szCs w:val="18"/>
              </w:rPr>
              <w:t>through monitoring</w:t>
            </w:r>
            <w:r w:rsidRPr="002926D7">
              <w:rPr>
                <w:rFonts w:eastAsia="Calibri" w:cstheme="minorHAnsi"/>
                <w:noProof/>
                <w:color w:val="000000" w:themeColor="text1"/>
                <w:sz w:val="18"/>
                <w:szCs w:val="18"/>
              </w:rPr>
              <w:t>,</w:t>
            </w:r>
            <w:r w:rsidRPr="002926D7">
              <w:rPr>
                <w:rFonts w:eastAsia="Calibri" w:cstheme="minorHAnsi"/>
                <w:color w:val="000000" w:themeColor="text1"/>
                <w:sz w:val="18"/>
                <w:szCs w:val="18"/>
              </w:rPr>
              <w:t xml:space="preserve"> evaluation</w:t>
            </w:r>
            <w:r w:rsidRPr="002926D7">
              <w:rPr>
                <w:rFonts w:eastAsia="Calibri" w:cstheme="minorHAnsi"/>
                <w:noProof/>
                <w:color w:val="000000" w:themeColor="text1"/>
                <w:sz w:val="18"/>
                <w:szCs w:val="18"/>
              </w:rPr>
              <w:t xml:space="preserve"> and evidence-based learning.</w:t>
            </w:r>
          </w:p>
        </w:tc>
        <w:tc>
          <w:tcPr>
            <w:tcW w:w="3150" w:type="dxa"/>
          </w:tcPr>
          <w:p w14:paraId="5DFA9C63" w14:textId="608E0174" w:rsidR="009E60A8" w:rsidRPr="002926D7" w:rsidRDefault="009E60A8" w:rsidP="002926D7">
            <w:pPr>
              <w:jc w:val="left"/>
              <w:rPr>
                <w:rFonts w:cs="Calibri"/>
                <w:b/>
                <w:sz w:val="18"/>
                <w:szCs w:val="18"/>
              </w:rPr>
            </w:pPr>
            <w:r w:rsidRPr="002926D7">
              <w:rPr>
                <w:rFonts w:cstheme="minorHAnsi"/>
                <w:b/>
                <w:iCs/>
                <w:sz w:val="18"/>
                <w:szCs w:val="18"/>
              </w:rPr>
              <w:t xml:space="preserve">Indicator </w:t>
            </w:r>
            <w:r w:rsidR="00A1598C" w:rsidRPr="002926D7">
              <w:rPr>
                <w:rFonts w:cstheme="minorHAnsi"/>
                <w:b/>
                <w:iCs/>
                <w:sz w:val="18"/>
                <w:szCs w:val="18"/>
              </w:rPr>
              <w:t>25</w:t>
            </w:r>
            <w:r w:rsidRPr="002926D7">
              <w:rPr>
                <w:rFonts w:cstheme="minorHAnsi"/>
                <w:bCs/>
                <w:iCs/>
                <w:sz w:val="18"/>
                <w:szCs w:val="18"/>
              </w:rPr>
              <w:t xml:space="preserve">: </w:t>
            </w:r>
            <w:r w:rsidRPr="002926D7">
              <w:rPr>
                <w:rFonts w:cstheme="minorHAnsi"/>
                <w:iCs/>
                <w:sz w:val="18"/>
                <w:szCs w:val="18"/>
              </w:rPr>
              <w:t>Number of projects with meetings involving local CSOs/CBOs or communities to monitor project results, assess impacts, and identify lessons learned</w:t>
            </w:r>
          </w:p>
        </w:tc>
        <w:tc>
          <w:tcPr>
            <w:tcW w:w="1719" w:type="dxa"/>
          </w:tcPr>
          <w:p w14:paraId="724E6AF0" w14:textId="77777777" w:rsidR="009E60A8" w:rsidRPr="002926D7" w:rsidRDefault="009E60A8" w:rsidP="002926D7">
            <w:pPr>
              <w:jc w:val="left"/>
              <w:rPr>
                <w:rFonts w:cs="Calibri"/>
                <w:sz w:val="18"/>
                <w:szCs w:val="18"/>
              </w:rPr>
            </w:pPr>
            <w:r w:rsidRPr="002926D7">
              <w:rPr>
                <w:rFonts w:cstheme="minorHAnsi"/>
                <w:sz w:val="18"/>
                <w:szCs w:val="18"/>
              </w:rPr>
              <w:t>80% of projects</w:t>
            </w:r>
          </w:p>
        </w:tc>
        <w:tc>
          <w:tcPr>
            <w:tcW w:w="2329" w:type="dxa"/>
          </w:tcPr>
          <w:p w14:paraId="45696562" w14:textId="77777777" w:rsidR="009E60A8" w:rsidRPr="002926D7" w:rsidRDefault="009E60A8" w:rsidP="002926D7">
            <w:pPr>
              <w:jc w:val="left"/>
              <w:rPr>
                <w:rFonts w:cs="Calibri"/>
                <w:sz w:val="18"/>
                <w:szCs w:val="18"/>
              </w:rPr>
            </w:pPr>
            <w:r w:rsidRPr="002926D7">
              <w:rPr>
                <w:rFonts w:cs="Calibri"/>
                <w:sz w:val="18"/>
                <w:szCs w:val="18"/>
              </w:rPr>
              <w:t>This is a metric quantifying the frequency of organized sessions for participatory monitoring purposes.</w:t>
            </w:r>
          </w:p>
        </w:tc>
        <w:tc>
          <w:tcPr>
            <w:tcW w:w="1207" w:type="dxa"/>
          </w:tcPr>
          <w:p w14:paraId="77634587" w14:textId="77777777" w:rsidR="009E60A8" w:rsidRPr="002926D7" w:rsidRDefault="009E60A8" w:rsidP="002926D7">
            <w:pPr>
              <w:jc w:val="left"/>
              <w:rPr>
                <w:rFonts w:cs="Calibri"/>
                <w:sz w:val="18"/>
                <w:szCs w:val="18"/>
              </w:rPr>
            </w:pPr>
            <w:r w:rsidRPr="002926D7">
              <w:rPr>
                <w:rFonts w:cs="Calibri"/>
                <w:sz w:val="18"/>
                <w:szCs w:val="18"/>
              </w:rPr>
              <w:t xml:space="preserve">Annually </w:t>
            </w:r>
          </w:p>
        </w:tc>
        <w:tc>
          <w:tcPr>
            <w:tcW w:w="1682" w:type="dxa"/>
          </w:tcPr>
          <w:p w14:paraId="366F3F95" w14:textId="77777777" w:rsidR="009E60A8" w:rsidRPr="002926D7" w:rsidRDefault="009E60A8" w:rsidP="002926D7">
            <w:pPr>
              <w:jc w:val="left"/>
              <w:rPr>
                <w:rFonts w:cs="Calibri"/>
                <w:sz w:val="18"/>
                <w:szCs w:val="18"/>
              </w:rPr>
            </w:pPr>
            <w:r w:rsidRPr="002926D7">
              <w:rPr>
                <w:rFonts w:cs="Calibri"/>
                <w:sz w:val="18"/>
                <w:szCs w:val="18"/>
              </w:rPr>
              <w:t>SGP National Coordinators; UNDP Country Office</w:t>
            </w:r>
          </w:p>
          <w:p w14:paraId="64E71490" w14:textId="77777777" w:rsidR="009E60A8" w:rsidRPr="002926D7" w:rsidRDefault="009E60A8" w:rsidP="002926D7">
            <w:pPr>
              <w:jc w:val="left"/>
              <w:rPr>
                <w:rFonts w:cs="Calibri"/>
                <w:sz w:val="18"/>
                <w:szCs w:val="18"/>
              </w:rPr>
            </w:pPr>
          </w:p>
        </w:tc>
        <w:tc>
          <w:tcPr>
            <w:tcW w:w="1588" w:type="dxa"/>
          </w:tcPr>
          <w:p w14:paraId="100CC590" w14:textId="77777777" w:rsidR="009E60A8" w:rsidRPr="002926D7" w:rsidRDefault="009E60A8" w:rsidP="002926D7">
            <w:pPr>
              <w:jc w:val="left"/>
              <w:rPr>
                <w:rFonts w:cs="Calibri"/>
                <w:sz w:val="18"/>
                <w:szCs w:val="18"/>
              </w:rPr>
            </w:pPr>
            <w:r w:rsidRPr="002926D7">
              <w:rPr>
                <w:rFonts w:cs="Calibri"/>
                <w:sz w:val="18"/>
                <w:szCs w:val="18"/>
              </w:rPr>
              <w:t>Grantee monitoring reports; Impact reviews</w:t>
            </w:r>
          </w:p>
        </w:tc>
      </w:tr>
      <w:tr w:rsidR="009E60A8" w:rsidRPr="002926D7" w14:paraId="500E6E6C" w14:textId="77777777" w:rsidTr="00BB55E0">
        <w:trPr>
          <w:trHeight w:val="20"/>
          <w:jc w:val="center"/>
        </w:trPr>
        <w:tc>
          <w:tcPr>
            <w:tcW w:w="1411" w:type="dxa"/>
            <w:vMerge/>
          </w:tcPr>
          <w:p w14:paraId="0EA95A2E" w14:textId="77777777" w:rsidR="009E60A8" w:rsidRPr="002926D7" w:rsidRDefault="009E60A8" w:rsidP="002926D7">
            <w:pPr>
              <w:jc w:val="left"/>
              <w:rPr>
                <w:rFonts w:cs="Calibri"/>
                <w:b/>
                <w:sz w:val="18"/>
                <w:szCs w:val="18"/>
              </w:rPr>
            </w:pPr>
          </w:p>
        </w:tc>
        <w:tc>
          <w:tcPr>
            <w:tcW w:w="1399" w:type="dxa"/>
            <w:vMerge/>
          </w:tcPr>
          <w:p w14:paraId="11F552E2" w14:textId="77777777" w:rsidR="009E60A8" w:rsidRPr="002926D7" w:rsidRDefault="009E60A8" w:rsidP="002926D7">
            <w:pPr>
              <w:jc w:val="left"/>
              <w:rPr>
                <w:rFonts w:cs="Calibri"/>
                <w:b/>
                <w:sz w:val="18"/>
                <w:szCs w:val="18"/>
              </w:rPr>
            </w:pPr>
          </w:p>
        </w:tc>
        <w:tc>
          <w:tcPr>
            <w:tcW w:w="3150" w:type="dxa"/>
          </w:tcPr>
          <w:p w14:paraId="0B79561C" w14:textId="42DA97EE" w:rsidR="009E60A8" w:rsidRPr="002926D7" w:rsidRDefault="009E60A8" w:rsidP="002926D7">
            <w:pPr>
              <w:jc w:val="left"/>
              <w:rPr>
                <w:rFonts w:cs="Calibri"/>
                <w:b/>
                <w:sz w:val="18"/>
                <w:szCs w:val="18"/>
              </w:rPr>
            </w:pPr>
            <w:r w:rsidRPr="002926D7">
              <w:rPr>
                <w:rFonts w:cstheme="minorHAnsi"/>
                <w:b/>
                <w:iCs/>
                <w:sz w:val="18"/>
                <w:szCs w:val="18"/>
              </w:rPr>
              <w:t xml:space="preserve">Indicator </w:t>
            </w:r>
            <w:r w:rsidR="00A1598C" w:rsidRPr="002926D7">
              <w:rPr>
                <w:rFonts w:cstheme="minorHAnsi"/>
                <w:b/>
                <w:iCs/>
                <w:sz w:val="18"/>
                <w:szCs w:val="18"/>
              </w:rPr>
              <w:t>26</w:t>
            </w:r>
            <w:r w:rsidRPr="002926D7">
              <w:rPr>
                <w:rFonts w:cstheme="minorHAnsi"/>
                <w:bCs/>
                <w:iCs/>
                <w:sz w:val="18"/>
                <w:szCs w:val="18"/>
              </w:rPr>
              <w:t xml:space="preserve">: </w:t>
            </w:r>
            <w:r w:rsidRPr="002926D7">
              <w:rPr>
                <w:rFonts w:cstheme="minorHAnsi"/>
                <w:bCs/>
                <w:sz w:val="18"/>
                <w:szCs w:val="18"/>
              </w:rPr>
              <w:t>Number of country/cross-country impact reviews conducted with evidence of SGP impact and lessons learned.</w:t>
            </w:r>
          </w:p>
        </w:tc>
        <w:tc>
          <w:tcPr>
            <w:tcW w:w="1719" w:type="dxa"/>
          </w:tcPr>
          <w:p w14:paraId="48E937E1" w14:textId="77777777" w:rsidR="009E60A8" w:rsidRPr="002926D7" w:rsidRDefault="009E60A8" w:rsidP="002926D7">
            <w:pPr>
              <w:jc w:val="left"/>
              <w:rPr>
                <w:rFonts w:cs="Calibri"/>
                <w:sz w:val="18"/>
                <w:szCs w:val="18"/>
              </w:rPr>
            </w:pPr>
            <w:r w:rsidRPr="002926D7">
              <w:rPr>
                <w:rFonts w:cstheme="minorHAnsi"/>
                <w:sz w:val="18"/>
                <w:szCs w:val="18"/>
              </w:rPr>
              <w:t>4 impact reviews (one per geographic region)</w:t>
            </w:r>
          </w:p>
        </w:tc>
        <w:tc>
          <w:tcPr>
            <w:tcW w:w="2329" w:type="dxa"/>
          </w:tcPr>
          <w:p w14:paraId="3611860F" w14:textId="77777777" w:rsidR="009E60A8" w:rsidRPr="002926D7" w:rsidRDefault="009E60A8" w:rsidP="002926D7">
            <w:pPr>
              <w:jc w:val="left"/>
              <w:rPr>
                <w:rFonts w:cs="Calibri"/>
                <w:sz w:val="18"/>
                <w:szCs w:val="18"/>
              </w:rPr>
            </w:pPr>
            <w:r w:rsidRPr="002926D7">
              <w:rPr>
                <w:rFonts w:cs="Calibri"/>
                <w:sz w:val="18"/>
                <w:szCs w:val="18"/>
              </w:rPr>
              <w:t>Country or region level impact reviews to evaluate performance.</w:t>
            </w:r>
          </w:p>
        </w:tc>
        <w:tc>
          <w:tcPr>
            <w:tcW w:w="1207" w:type="dxa"/>
          </w:tcPr>
          <w:p w14:paraId="5950C6B0" w14:textId="77777777" w:rsidR="009E60A8" w:rsidRPr="002926D7" w:rsidRDefault="009E60A8" w:rsidP="002926D7">
            <w:pPr>
              <w:jc w:val="left"/>
              <w:rPr>
                <w:rFonts w:cs="Calibri"/>
                <w:sz w:val="18"/>
                <w:szCs w:val="18"/>
              </w:rPr>
            </w:pPr>
            <w:r w:rsidRPr="002926D7">
              <w:rPr>
                <w:rFonts w:cs="Calibri"/>
                <w:sz w:val="18"/>
                <w:szCs w:val="18"/>
              </w:rPr>
              <w:t xml:space="preserve">Annually </w:t>
            </w:r>
          </w:p>
        </w:tc>
        <w:tc>
          <w:tcPr>
            <w:tcW w:w="1682" w:type="dxa"/>
          </w:tcPr>
          <w:p w14:paraId="0AE33498" w14:textId="77777777" w:rsidR="009E60A8" w:rsidRPr="002926D7" w:rsidRDefault="009E60A8" w:rsidP="002926D7">
            <w:pPr>
              <w:jc w:val="left"/>
              <w:rPr>
                <w:rFonts w:cs="Calibri"/>
                <w:sz w:val="18"/>
                <w:szCs w:val="18"/>
              </w:rPr>
            </w:pPr>
            <w:r w:rsidRPr="002926D7">
              <w:rPr>
                <w:rFonts w:cs="Calibri"/>
                <w:sz w:val="18"/>
                <w:szCs w:val="18"/>
              </w:rPr>
              <w:t>UNDP Country Offices; National Coordinators</w:t>
            </w:r>
          </w:p>
        </w:tc>
        <w:tc>
          <w:tcPr>
            <w:tcW w:w="1588" w:type="dxa"/>
          </w:tcPr>
          <w:p w14:paraId="496558DA" w14:textId="77777777" w:rsidR="009E60A8" w:rsidRPr="002926D7" w:rsidRDefault="009E60A8" w:rsidP="002926D7">
            <w:pPr>
              <w:jc w:val="left"/>
              <w:rPr>
                <w:rFonts w:cs="Calibri"/>
                <w:sz w:val="18"/>
                <w:szCs w:val="18"/>
              </w:rPr>
            </w:pPr>
            <w:r w:rsidRPr="002926D7">
              <w:rPr>
                <w:rFonts w:cs="Calibri"/>
                <w:sz w:val="18"/>
                <w:szCs w:val="18"/>
              </w:rPr>
              <w:t>Impact reviews</w:t>
            </w:r>
          </w:p>
        </w:tc>
      </w:tr>
    </w:tbl>
    <w:p w14:paraId="3246E5FB" w14:textId="77777777" w:rsidR="00E17230" w:rsidRPr="002926D7" w:rsidRDefault="00E17230" w:rsidP="002926D7">
      <w:pPr>
        <w:rPr>
          <w:rFonts w:cs="Calibri"/>
        </w:rPr>
      </w:pPr>
    </w:p>
    <w:bookmarkEnd w:id="137"/>
    <w:p w14:paraId="64D4B1FC" w14:textId="77777777" w:rsidR="00E654DC" w:rsidRPr="002926D7" w:rsidRDefault="00E654DC" w:rsidP="002926D7">
      <w:pPr>
        <w:jc w:val="left"/>
        <w:rPr>
          <w:b/>
          <w:bCs/>
        </w:rPr>
      </w:pPr>
    </w:p>
    <w:p w14:paraId="19B65F8C" w14:textId="77777777" w:rsidR="00E17230" w:rsidRPr="002926D7" w:rsidRDefault="00E17230" w:rsidP="002926D7">
      <w:pPr>
        <w:jc w:val="left"/>
        <w:rPr>
          <w:b/>
          <w:bCs/>
        </w:rPr>
      </w:pPr>
    </w:p>
    <w:p w14:paraId="2D1B6F4B" w14:textId="77777777" w:rsidR="00E17230" w:rsidRPr="002926D7" w:rsidRDefault="00E17230" w:rsidP="002926D7">
      <w:pPr>
        <w:jc w:val="left"/>
        <w:rPr>
          <w:b/>
          <w:bCs/>
        </w:rPr>
      </w:pPr>
    </w:p>
    <w:p w14:paraId="7FF47F7A" w14:textId="77777777" w:rsidR="00E17230" w:rsidRPr="002926D7" w:rsidRDefault="00E17230" w:rsidP="002926D7">
      <w:pPr>
        <w:jc w:val="left"/>
        <w:rPr>
          <w:b/>
          <w:bCs/>
        </w:rPr>
      </w:pPr>
    </w:p>
    <w:p w14:paraId="508A6C39" w14:textId="77777777" w:rsidR="00E17230" w:rsidRPr="002926D7" w:rsidRDefault="00E17230" w:rsidP="002926D7">
      <w:pPr>
        <w:jc w:val="left"/>
        <w:rPr>
          <w:b/>
          <w:bCs/>
        </w:rPr>
      </w:pP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6"/>
        <w:gridCol w:w="3140"/>
        <w:gridCol w:w="4812"/>
        <w:gridCol w:w="2112"/>
      </w:tblGrid>
      <w:tr w:rsidR="00E17230" w:rsidRPr="002926D7" w14:paraId="228F1D4E" w14:textId="77777777" w:rsidTr="00FB54B2">
        <w:trPr>
          <w:tblHeader/>
        </w:trPr>
        <w:tc>
          <w:tcPr>
            <w:tcW w:w="1503" w:type="pct"/>
          </w:tcPr>
          <w:p w14:paraId="060C6E93"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Monitoring Activity</w:t>
            </w:r>
          </w:p>
        </w:tc>
        <w:tc>
          <w:tcPr>
            <w:tcW w:w="1091" w:type="pct"/>
          </w:tcPr>
          <w:p w14:paraId="25FABEAB" w14:textId="77777777" w:rsidR="00E17230" w:rsidRPr="002926D7" w:rsidRDefault="00E17230" w:rsidP="002926D7">
            <w:pPr>
              <w:contextualSpacing/>
              <w:rPr>
                <w:rFonts w:asciiTheme="minorHAnsi" w:hAnsiTheme="minorHAnsi" w:cstheme="minorHAnsi"/>
                <w:b/>
                <w:sz w:val="18"/>
                <w:szCs w:val="18"/>
              </w:rPr>
            </w:pPr>
          </w:p>
        </w:tc>
        <w:tc>
          <w:tcPr>
            <w:tcW w:w="1672" w:type="pct"/>
          </w:tcPr>
          <w:p w14:paraId="1F71619E" w14:textId="77777777" w:rsidR="00E17230" w:rsidRPr="002926D7" w:rsidRDefault="00E17230" w:rsidP="002926D7">
            <w:pPr>
              <w:contextualSpacing/>
              <w:rPr>
                <w:rFonts w:asciiTheme="minorHAnsi" w:hAnsiTheme="minorHAnsi" w:cstheme="minorHAnsi"/>
                <w:b/>
                <w:sz w:val="18"/>
                <w:szCs w:val="18"/>
              </w:rPr>
            </w:pPr>
          </w:p>
        </w:tc>
        <w:tc>
          <w:tcPr>
            <w:tcW w:w="734" w:type="pct"/>
          </w:tcPr>
          <w:p w14:paraId="5BBAA66A" w14:textId="77777777" w:rsidR="00E17230" w:rsidRPr="002926D7" w:rsidRDefault="00E17230" w:rsidP="002926D7">
            <w:pPr>
              <w:contextualSpacing/>
              <w:rPr>
                <w:rFonts w:asciiTheme="minorHAnsi" w:hAnsiTheme="minorHAnsi" w:cstheme="minorHAnsi"/>
                <w:b/>
                <w:sz w:val="18"/>
                <w:szCs w:val="18"/>
              </w:rPr>
            </w:pPr>
          </w:p>
        </w:tc>
      </w:tr>
      <w:tr w:rsidR="00E17230" w:rsidRPr="002926D7" w14:paraId="33F24204" w14:textId="77777777" w:rsidTr="00FB54B2">
        <w:trPr>
          <w:tblHeader/>
        </w:trPr>
        <w:tc>
          <w:tcPr>
            <w:tcW w:w="1503" w:type="pct"/>
            <w:shd w:val="clear" w:color="auto" w:fill="E7E6E6" w:themeFill="background2"/>
            <w:vAlign w:val="center"/>
          </w:tcPr>
          <w:p w14:paraId="67640948" w14:textId="77777777" w:rsidR="00E17230" w:rsidRPr="002926D7" w:rsidRDefault="00E17230" w:rsidP="002926D7">
            <w:pPr>
              <w:contextualSpacing/>
              <w:jc w:val="center"/>
              <w:rPr>
                <w:rFonts w:asciiTheme="minorHAnsi" w:hAnsiTheme="minorHAnsi" w:cstheme="minorHAnsi"/>
                <w:b/>
                <w:sz w:val="18"/>
                <w:szCs w:val="18"/>
              </w:rPr>
            </w:pPr>
          </w:p>
        </w:tc>
        <w:tc>
          <w:tcPr>
            <w:tcW w:w="1091" w:type="pct"/>
            <w:shd w:val="clear" w:color="auto" w:fill="E7E6E6" w:themeFill="background2"/>
            <w:vAlign w:val="center"/>
          </w:tcPr>
          <w:p w14:paraId="03C50818" w14:textId="77777777" w:rsidR="00E17230" w:rsidRPr="002926D7" w:rsidRDefault="00E17230" w:rsidP="002926D7">
            <w:pPr>
              <w:contextualSpacing/>
              <w:jc w:val="center"/>
              <w:rPr>
                <w:rFonts w:asciiTheme="minorHAnsi" w:hAnsiTheme="minorHAnsi" w:cstheme="minorHAnsi"/>
                <w:b/>
                <w:sz w:val="18"/>
                <w:szCs w:val="18"/>
              </w:rPr>
            </w:pPr>
            <w:r w:rsidRPr="002926D7">
              <w:rPr>
                <w:rFonts w:asciiTheme="minorHAnsi" w:hAnsiTheme="minorHAnsi" w:cstheme="minorHAnsi"/>
                <w:b/>
                <w:sz w:val="18"/>
                <w:szCs w:val="18"/>
              </w:rPr>
              <w:t>Frequency/Timeframe</w:t>
            </w:r>
          </w:p>
        </w:tc>
        <w:tc>
          <w:tcPr>
            <w:tcW w:w="1672" w:type="pct"/>
            <w:shd w:val="clear" w:color="auto" w:fill="E7E6E6" w:themeFill="background2"/>
            <w:vAlign w:val="center"/>
          </w:tcPr>
          <w:p w14:paraId="38D43AA4" w14:textId="77777777" w:rsidR="00E17230" w:rsidRPr="002926D7" w:rsidRDefault="00E17230" w:rsidP="002926D7">
            <w:pPr>
              <w:contextualSpacing/>
              <w:jc w:val="center"/>
              <w:rPr>
                <w:rFonts w:asciiTheme="minorHAnsi" w:hAnsiTheme="minorHAnsi" w:cstheme="minorHAnsi"/>
                <w:b/>
                <w:sz w:val="18"/>
                <w:szCs w:val="18"/>
              </w:rPr>
            </w:pPr>
            <w:r w:rsidRPr="002926D7">
              <w:rPr>
                <w:rFonts w:asciiTheme="minorHAnsi" w:hAnsiTheme="minorHAnsi" w:cstheme="minorHAnsi"/>
                <w:b/>
                <w:sz w:val="18"/>
                <w:szCs w:val="18"/>
              </w:rPr>
              <w:t>Expected Action</w:t>
            </w:r>
          </w:p>
        </w:tc>
        <w:tc>
          <w:tcPr>
            <w:tcW w:w="734" w:type="pct"/>
            <w:shd w:val="clear" w:color="auto" w:fill="E7E6E6" w:themeFill="background2"/>
            <w:vAlign w:val="center"/>
          </w:tcPr>
          <w:p w14:paraId="40DA68B7" w14:textId="77777777" w:rsidR="00E17230" w:rsidRPr="002926D7" w:rsidRDefault="00E17230" w:rsidP="002926D7">
            <w:pPr>
              <w:contextualSpacing/>
              <w:jc w:val="center"/>
              <w:rPr>
                <w:rFonts w:asciiTheme="minorHAnsi" w:hAnsiTheme="minorHAnsi" w:cstheme="minorHAnsi"/>
                <w:b/>
                <w:sz w:val="18"/>
                <w:szCs w:val="18"/>
              </w:rPr>
            </w:pPr>
            <w:r w:rsidRPr="002926D7">
              <w:rPr>
                <w:rFonts w:asciiTheme="minorHAnsi" w:hAnsiTheme="minorHAnsi" w:cstheme="minorHAnsi"/>
                <w:b/>
                <w:sz w:val="18"/>
                <w:szCs w:val="18"/>
              </w:rPr>
              <w:t xml:space="preserve">Partners </w:t>
            </w:r>
          </w:p>
          <w:p w14:paraId="15F004BB" w14:textId="77777777" w:rsidR="00E17230" w:rsidRPr="002926D7" w:rsidRDefault="00E17230" w:rsidP="002926D7">
            <w:pPr>
              <w:contextualSpacing/>
              <w:jc w:val="center"/>
              <w:rPr>
                <w:rFonts w:asciiTheme="minorHAnsi" w:hAnsiTheme="minorHAnsi" w:cstheme="minorHAnsi"/>
                <w:b/>
                <w:sz w:val="18"/>
                <w:szCs w:val="18"/>
              </w:rPr>
            </w:pPr>
            <w:r w:rsidRPr="002926D7">
              <w:rPr>
                <w:rFonts w:asciiTheme="minorHAnsi" w:hAnsiTheme="minorHAnsi" w:cstheme="minorHAnsi"/>
                <w:b/>
                <w:sz w:val="18"/>
                <w:szCs w:val="18"/>
              </w:rPr>
              <w:t>(if joint)</w:t>
            </w:r>
          </w:p>
        </w:tc>
      </w:tr>
      <w:tr w:rsidR="00E17230" w:rsidRPr="002926D7" w14:paraId="4E7B793F" w14:textId="77777777" w:rsidTr="00035A59">
        <w:tc>
          <w:tcPr>
            <w:tcW w:w="5000" w:type="pct"/>
            <w:gridSpan w:val="4"/>
            <w:shd w:val="clear" w:color="auto" w:fill="BDD6EE" w:themeFill="accent5" w:themeFillTint="66"/>
            <w:vAlign w:val="center"/>
          </w:tcPr>
          <w:p w14:paraId="6FDB6340" w14:textId="77777777" w:rsidR="00E17230" w:rsidRPr="002926D7" w:rsidRDefault="00E17230" w:rsidP="002926D7">
            <w:pPr>
              <w:contextualSpacing/>
              <w:jc w:val="center"/>
              <w:rPr>
                <w:rFonts w:asciiTheme="minorHAnsi" w:hAnsiTheme="minorHAnsi" w:cstheme="minorHAnsi"/>
                <w:b/>
                <w:sz w:val="18"/>
                <w:szCs w:val="18"/>
              </w:rPr>
            </w:pPr>
            <w:r w:rsidRPr="002926D7">
              <w:rPr>
                <w:rFonts w:asciiTheme="minorHAnsi" w:hAnsiTheme="minorHAnsi" w:cstheme="minorHAnsi"/>
                <w:b/>
                <w:sz w:val="18"/>
                <w:szCs w:val="18"/>
              </w:rPr>
              <w:t>Project Level</w:t>
            </w:r>
          </w:p>
        </w:tc>
      </w:tr>
      <w:tr w:rsidR="00E17230" w:rsidRPr="002926D7" w14:paraId="5CB4E3A7" w14:textId="77777777" w:rsidTr="00FB54B2">
        <w:tc>
          <w:tcPr>
            <w:tcW w:w="1503" w:type="pct"/>
            <w:vAlign w:val="center"/>
          </w:tcPr>
          <w:p w14:paraId="71E74E69"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 xml:space="preserve">Track results progress (see above table for details) </w:t>
            </w:r>
          </w:p>
        </w:tc>
        <w:tc>
          <w:tcPr>
            <w:tcW w:w="1091" w:type="pct"/>
            <w:vAlign w:val="center"/>
          </w:tcPr>
          <w:p w14:paraId="51B7FAE5" w14:textId="77777777" w:rsidR="00E17230" w:rsidRPr="002926D7" w:rsidRDefault="00E17230" w:rsidP="002926D7">
            <w:pPr>
              <w:spacing w:after="60"/>
              <w:contextualSpacing/>
              <w:rPr>
                <w:rFonts w:asciiTheme="minorHAnsi" w:hAnsiTheme="minorHAnsi" w:cstheme="minorHAnsi"/>
                <w:sz w:val="18"/>
                <w:szCs w:val="18"/>
              </w:rPr>
            </w:pPr>
            <w:r w:rsidRPr="002926D7">
              <w:rPr>
                <w:rFonts w:asciiTheme="minorHAnsi" w:hAnsiTheme="minorHAnsi" w:cstheme="minorHAnsi"/>
                <w:sz w:val="18"/>
                <w:szCs w:val="18"/>
              </w:rPr>
              <w:t>Annually and at mid-point and closure</w:t>
            </w:r>
          </w:p>
        </w:tc>
        <w:tc>
          <w:tcPr>
            <w:tcW w:w="1672" w:type="pct"/>
          </w:tcPr>
          <w:p w14:paraId="1A20FAA3" w14:textId="77777777" w:rsidR="00E17230" w:rsidRPr="002926D7" w:rsidRDefault="00E17230" w:rsidP="002926D7">
            <w:pPr>
              <w:pStyle w:val="Default"/>
              <w:spacing w:after="60"/>
              <w:rPr>
                <w:rFonts w:asciiTheme="minorHAnsi" w:hAnsiTheme="minorHAnsi" w:cstheme="minorHAnsi"/>
                <w:sz w:val="18"/>
                <w:szCs w:val="18"/>
              </w:rPr>
            </w:pPr>
            <w:r w:rsidRPr="002926D7">
              <w:rPr>
                <w:rFonts w:asciiTheme="minorHAnsi" w:hAnsiTheme="minorHAnsi" w:cstheme="minorHAnsi"/>
                <w:sz w:val="18"/>
                <w:szCs w:val="18"/>
              </w:rPr>
              <w:t>Slower than expected progress will be addressed by project management.</w:t>
            </w:r>
          </w:p>
        </w:tc>
        <w:tc>
          <w:tcPr>
            <w:tcW w:w="734" w:type="pct"/>
          </w:tcPr>
          <w:p w14:paraId="7E3BF1B7"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1D65A0E5" w14:textId="77777777" w:rsidTr="00FB54B2">
        <w:tc>
          <w:tcPr>
            <w:tcW w:w="1503" w:type="pct"/>
            <w:vAlign w:val="center"/>
          </w:tcPr>
          <w:p w14:paraId="228E6658"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M&amp;E Plan at grantee level</w:t>
            </w:r>
          </w:p>
        </w:tc>
        <w:tc>
          <w:tcPr>
            <w:tcW w:w="1091" w:type="pct"/>
            <w:vAlign w:val="center"/>
          </w:tcPr>
          <w:p w14:paraId="4BF90E4B" w14:textId="77777777" w:rsidR="00E17230" w:rsidRPr="002926D7" w:rsidRDefault="00E17230" w:rsidP="002926D7">
            <w:pPr>
              <w:spacing w:after="60"/>
              <w:contextualSpacing/>
              <w:rPr>
                <w:rFonts w:asciiTheme="minorHAnsi" w:hAnsiTheme="minorHAnsi" w:cstheme="minorHAnsi"/>
                <w:sz w:val="18"/>
                <w:szCs w:val="18"/>
              </w:rPr>
            </w:pPr>
            <w:r w:rsidRPr="002926D7">
              <w:rPr>
                <w:rFonts w:asciiTheme="minorHAnsi" w:hAnsiTheme="minorHAnsi" w:cstheme="minorHAnsi"/>
                <w:sz w:val="18"/>
                <w:szCs w:val="18"/>
              </w:rPr>
              <w:t>At project commitment stage</w:t>
            </w:r>
          </w:p>
        </w:tc>
        <w:tc>
          <w:tcPr>
            <w:tcW w:w="1672" w:type="pct"/>
            <w:vAlign w:val="center"/>
          </w:tcPr>
          <w:p w14:paraId="2CA6224C" w14:textId="77777777" w:rsidR="00E17230" w:rsidRPr="002926D7" w:rsidRDefault="00E17230" w:rsidP="002926D7">
            <w:pPr>
              <w:pStyle w:val="Default"/>
              <w:spacing w:after="60"/>
              <w:rPr>
                <w:rFonts w:asciiTheme="minorHAnsi" w:hAnsiTheme="minorHAnsi" w:cstheme="minorHAnsi"/>
                <w:color w:val="auto"/>
                <w:kern w:val="2"/>
                <w:sz w:val="18"/>
                <w:szCs w:val="18"/>
              </w:rPr>
            </w:pPr>
            <w:r w:rsidRPr="002926D7">
              <w:rPr>
                <w:rFonts w:asciiTheme="minorHAnsi" w:hAnsiTheme="minorHAnsi" w:cstheme="minorHAnsi"/>
                <w:color w:val="auto"/>
                <w:kern w:val="2"/>
                <w:sz w:val="18"/>
                <w:szCs w:val="18"/>
              </w:rPr>
              <w:t>Systematically monitor and assess the progress, performance, and impact of a project.</w:t>
            </w:r>
          </w:p>
        </w:tc>
        <w:tc>
          <w:tcPr>
            <w:tcW w:w="734" w:type="pct"/>
          </w:tcPr>
          <w:p w14:paraId="7C7E8949"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2A4E1C86" w14:textId="77777777" w:rsidTr="00FB54B2">
        <w:tc>
          <w:tcPr>
            <w:tcW w:w="1503" w:type="pct"/>
            <w:vAlign w:val="center"/>
          </w:tcPr>
          <w:p w14:paraId="5EDA2FE8"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Participatory monitoring at grantee level</w:t>
            </w:r>
          </w:p>
        </w:tc>
        <w:tc>
          <w:tcPr>
            <w:tcW w:w="1091" w:type="pct"/>
            <w:vAlign w:val="center"/>
          </w:tcPr>
          <w:p w14:paraId="736CB264" w14:textId="77777777" w:rsidR="00E17230" w:rsidRPr="002926D7" w:rsidRDefault="00E17230" w:rsidP="002926D7">
            <w:pPr>
              <w:spacing w:after="60"/>
              <w:contextualSpacing/>
              <w:rPr>
                <w:rFonts w:asciiTheme="minorHAnsi" w:hAnsiTheme="minorHAnsi" w:cstheme="minorHAnsi"/>
                <w:sz w:val="18"/>
                <w:szCs w:val="18"/>
              </w:rPr>
            </w:pPr>
            <w:r w:rsidRPr="002926D7">
              <w:rPr>
                <w:rFonts w:asciiTheme="minorHAnsi" w:hAnsiTheme="minorHAnsi" w:cstheme="minorHAnsi"/>
                <w:sz w:val="18"/>
                <w:szCs w:val="18"/>
              </w:rPr>
              <w:t>Ongoing throughout project implementation</w:t>
            </w:r>
          </w:p>
        </w:tc>
        <w:tc>
          <w:tcPr>
            <w:tcW w:w="1672" w:type="pct"/>
            <w:vAlign w:val="center"/>
          </w:tcPr>
          <w:p w14:paraId="2C04A1BD" w14:textId="77777777" w:rsidR="00E17230" w:rsidRPr="002926D7" w:rsidRDefault="00E17230" w:rsidP="002926D7">
            <w:pPr>
              <w:pStyle w:val="Default"/>
              <w:spacing w:after="60"/>
              <w:rPr>
                <w:rFonts w:asciiTheme="minorHAnsi" w:hAnsiTheme="minorHAnsi" w:cstheme="minorHAnsi"/>
                <w:sz w:val="18"/>
                <w:szCs w:val="18"/>
              </w:rPr>
            </w:pPr>
            <w:r w:rsidRPr="002926D7">
              <w:rPr>
                <w:rFonts w:asciiTheme="minorHAnsi" w:hAnsiTheme="minorHAnsi" w:cstheme="minorHAnsi"/>
                <w:color w:val="auto"/>
                <w:kern w:val="2"/>
                <w:sz w:val="18"/>
                <w:szCs w:val="18"/>
              </w:rPr>
              <w:t>Project stakeholders, including beneficiaries, are engaged in the monitoring process.</w:t>
            </w:r>
          </w:p>
        </w:tc>
        <w:tc>
          <w:tcPr>
            <w:tcW w:w="734" w:type="pct"/>
          </w:tcPr>
          <w:p w14:paraId="48BD896E"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28DF53A4" w14:textId="77777777" w:rsidTr="00FB54B2">
        <w:tc>
          <w:tcPr>
            <w:tcW w:w="1503" w:type="pct"/>
            <w:vAlign w:val="center"/>
          </w:tcPr>
          <w:p w14:paraId="11A9192C"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lastRenderedPageBreak/>
              <w:t>Project evaluation</w:t>
            </w:r>
          </w:p>
        </w:tc>
        <w:tc>
          <w:tcPr>
            <w:tcW w:w="1091" w:type="pct"/>
            <w:vAlign w:val="center"/>
          </w:tcPr>
          <w:p w14:paraId="1F377452"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Upon completion of project activities, as appropriate</w:t>
            </w:r>
          </w:p>
        </w:tc>
        <w:tc>
          <w:tcPr>
            <w:tcW w:w="1672" w:type="pct"/>
            <w:vAlign w:val="center"/>
          </w:tcPr>
          <w:p w14:paraId="2D761E45"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Analyze data to make assess the project's effectiveness</w:t>
            </w:r>
          </w:p>
        </w:tc>
        <w:tc>
          <w:tcPr>
            <w:tcW w:w="734" w:type="pct"/>
          </w:tcPr>
          <w:p w14:paraId="2774048D"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5471DF0F" w14:textId="77777777" w:rsidTr="00FB54B2">
        <w:tc>
          <w:tcPr>
            <w:tcW w:w="1503" w:type="pct"/>
            <w:vAlign w:val="center"/>
          </w:tcPr>
          <w:p w14:paraId="1A9879D2"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Project progress reports</w:t>
            </w:r>
          </w:p>
        </w:tc>
        <w:tc>
          <w:tcPr>
            <w:tcW w:w="1091" w:type="pct"/>
            <w:vAlign w:val="center"/>
          </w:tcPr>
          <w:p w14:paraId="66862C74"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At mid-term and final tranche</w:t>
            </w:r>
          </w:p>
        </w:tc>
        <w:tc>
          <w:tcPr>
            <w:tcW w:w="1672" w:type="pct"/>
            <w:vAlign w:val="center"/>
          </w:tcPr>
          <w:p w14:paraId="44643CB3"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Report project results</w:t>
            </w:r>
          </w:p>
        </w:tc>
        <w:tc>
          <w:tcPr>
            <w:tcW w:w="734" w:type="pct"/>
          </w:tcPr>
          <w:p w14:paraId="547981B5"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0CCDA806" w14:textId="77777777" w:rsidTr="00FB54B2">
        <w:tc>
          <w:tcPr>
            <w:tcW w:w="1503" w:type="pct"/>
            <w:vAlign w:val="center"/>
          </w:tcPr>
          <w:p w14:paraId="2F872847"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Project financial reports</w:t>
            </w:r>
          </w:p>
        </w:tc>
        <w:tc>
          <w:tcPr>
            <w:tcW w:w="1091" w:type="pct"/>
            <w:vAlign w:val="center"/>
          </w:tcPr>
          <w:p w14:paraId="6F20FFDC"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At each disbursement request</w:t>
            </w:r>
          </w:p>
        </w:tc>
        <w:tc>
          <w:tcPr>
            <w:tcW w:w="1672" w:type="pct"/>
            <w:vAlign w:val="center"/>
          </w:tcPr>
          <w:p w14:paraId="6004937B"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Track financial performance and assess cost-effectiveness</w:t>
            </w:r>
          </w:p>
        </w:tc>
        <w:tc>
          <w:tcPr>
            <w:tcW w:w="734" w:type="pct"/>
          </w:tcPr>
          <w:p w14:paraId="2A9AB991"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6905A107" w14:textId="77777777" w:rsidTr="00FB54B2">
        <w:tc>
          <w:tcPr>
            <w:tcW w:w="1503" w:type="pct"/>
            <w:vAlign w:val="center"/>
          </w:tcPr>
          <w:p w14:paraId="48B3B86F"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Project monitoring</w:t>
            </w:r>
          </w:p>
        </w:tc>
        <w:tc>
          <w:tcPr>
            <w:tcW w:w="1091" w:type="pct"/>
            <w:vAlign w:val="center"/>
          </w:tcPr>
          <w:p w14:paraId="31B75464"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At least once per project cycle</w:t>
            </w:r>
          </w:p>
        </w:tc>
        <w:tc>
          <w:tcPr>
            <w:tcW w:w="1672" w:type="pct"/>
            <w:vAlign w:val="center"/>
          </w:tcPr>
          <w:p w14:paraId="612D408A"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Monitoring conducted by SGP staff</w:t>
            </w:r>
          </w:p>
        </w:tc>
        <w:tc>
          <w:tcPr>
            <w:tcW w:w="734" w:type="pct"/>
          </w:tcPr>
          <w:p w14:paraId="2011E186"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030AD43C" w14:textId="77777777" w:rsidTr="00FB54B2">
        <w:tc>
          <w:tcPr>
            <w:tcW w:w="1503" w:type="pct"/>
            <w:vAlign w:val="center"/>
          </w:tcPr>
          <w:p w14:paraId="17FF7119"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Update project information in global project database</w:t>
            </w:r>
          </w:p>
        </w:tc>
        <w:tc>
          <w:tcPr>
            <w:tcW w:w="1091" w:type="pct"/>
            <w:vAlign w:val="center"/>
          </w:tcPr>
          <w:p w14:paraId="3DA2809B"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At start of project, on ongoing basis, and at project completion</w:t>
            </w:r>
          </w:p>
        </w:tc>
        <w:tc>
          <w:tcPr>
            <w:tcW w:w="1672" w:type="pct"/>
            <w:vAlign w:val="center"/>
          </w:tcPr>
          <w:p w14:paraId="1E2CA0D0"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Maintain project information and results</w:t>
            </w:r>
          </w:p>
        </w:tc>
        <w:tc>
          <w:tcPr>
            <w:tcW w:w="734" w:type="pct"/>
          </w:tcPr>
          <w:p w14:paraId="3122119F"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3A42B916" w14:textId="77777777" w:rsidTr="00035A59">
        <w:tc>
          <w:tcPr>
            <w:tcW w:w="5000" w:type="pct"/>
            <w:gridSpan w:val="4"/>
            <w:shd w:val="clear" w:color="auto" w:fill="BDD6EE" w:themeFill="accent5" w:themeFillTint="66"/>
            <w:vAlign w:val="center"/>
          </w:tcPr>
          <w:p w14:paraId="517CC29C" w14:textId="77777777" w:rsidR="00E17230" w:rsidRPr="002926D7" w:rsidRDefault="00E17230" w:rsidP="002926D7">
            <w:pPr>
              <w:contextualSpacing/>
              <w:jc w:val="left"/>
              <w:rPr>
                <w:rFonts w:asciiTheme="minorHAnsi" w:hAnsiTheme="minorHAnsi" w:cstheme="minorHAnsi"/>
                <w:b/>
                <w:sz w:val="18"/>
                <w:szCs w:val="18"/>
              </w:rPr>
            </w:pPr>
            <w:r w:rsidRPr="002926D7">
              <w:rPr>
                <w:rFonts w:asciiTheme="minorHAnsi" w:hAnsiTheme="minorHAnsi" w:cstheme="minorHAnsi"/>
                <w:b/>
                <w:sz w:val="18"/>
                <w:szCs w:val="18"/>
              </w:rPr>
              <w:t>Country Level</w:t>
            </w:r>
          </w:p>
        </w:tc>
      </w:tr>
      <w:tr w:rsidR="00E17230" w:rsidRPr="002926D7" w14:paraId="70F77DDB" w14:textId="77777777" w:rsidTr="00FB54B2">
        <w:tc>
          <w:tcPr>
            <w:tcW w:w="1503" w:type="pct"/>
            <w:vAlign w:val="center"/>
          </w:tcPr>
          <w:p w14:paraId="2CC34661"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 xml:space="preserve">Supervision missions </w:t>
            </w:r>
          </w:p>
        </w:tc>
        <w:tc>
          <w:tcPr>
            <w:tcW w:w="1091" w:type="pct"/>
            <w:vAlign w:val="center"/>
          </w:tcPr>
          <w:p w14:paraId="5A6FB25B"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Annually</w:t>
            </w:r>
          </w:p>
        </w:tc>
        <w:tc>
          <w:tcPr>
            <w:tcW w:w="1672" w:type="pct"/>
            <w:vAlign w:val="center"/>
          </w:tcPr>
          <w:p w14:paraId="0A1A32F7"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Manage projects to ensure effective implementation and achievement of objectives</w:t>
            </w:r>
          </w:p>
        </w:tc>
        <w:tc>
          <w:tcPr>
            <w:tcW w:w="734" w:type="pct"/>
          </w:tcPr>
          <w:p w14:paraId="2A21E268"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413E6918" w14:textId="77777777" w:rsidTr="00FB54B2">
        <w:tc>
          <w:tcPr>
            <w:tcW w:w="1503" w:type="pct"/>
            <w:vAlign w:val="center"/>
          </w:tcPr>
          <w:p w14:paraId="61A41EBC"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 xml:space="preserve">Learning and learning Missions </w:t>
            </w:r>
          </w:p>
        </w:tc>
        <w:tc>
          <w:tcPr>
            <w:tcW w:w="1091" w:type="pct"/>
            <w:vAlign w:val="center"/>
          </w:tcPr>
          <w:p w14:paraId="703C0CF4"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As needed</w:t>
            </w:r>
          </w:p>
        </w:tc>
        <w:tc>
          <w:tcPr>
            <w:tcW w:w="1672" w:type="pct"/>
            <w:vAlign w:val="center"/>
          </w:tcPr>
          <w:p w14:paraId="4AC9D3BE"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Relevant lessons are captured by the project team and used to inform management decisions.</w:t>
            </w:r>
          </w:p>
        </w:tc>
        <w:tc>
          <w:tcPr>
            <w:tcW w:w="734" w:type="pct"/>
          </w:tcPr>
          <w:p w14:paraId="3BCCF777"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1713FA0A" w14:textId="77777777" w:rsidTr="00FB54B2">
        <w:tc>
          <w:tcPr>
            <w:tcW w:w="1503" w:type="pct"/>
            <w:vAlign w:val="center"/>
          </w:tcPr>
          <w:p w14:paraId="1252A7E5"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Develop Country Programme Strategy</w:t>
            </w:r>
          </w:p>
        </w:tc>
        <w:tc>
          <w:tcPr>
            <w:tcW w:w="1091" w:type="pct"/>
            <w:vAlign w:val="center"/>
          </w:tcPr>
          <w:p w14:paraId="07FFBE6F"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At start of project</w:t>
            </w:r>
          </w:p>
        </w:tc>
        <w:tc>
          <w:tcPr>
            <w:tcW w:w="1672" w:type="pct"/>
            <w:vAlign w:val="center"/>
          </w:tcPr>
          <w:p w14:paraId="79394B50"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Elaborate a comprehensive and strategic plan to guide country programme’s activities</w:t>
            </w:r>
          </w:p>
        </w:tc>
        <w:tc>
          <w:tcPr>
            <w:tcW w:w="734" w:type="pct"/>
          </w:tcPr>
          <w:p w14:paraId="260B3599"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38162CCA" w14:textId="77777777" w:rsidTr="00FB54B2">
        <w:tc>
          <w:tcPr>
            <w:tcW w:w="1503" w:type="pct"/>
            <w:vAlign w:val="center"/>
          </w:tcPr>
          <w:p w14:paraId="746C01BC"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Review project results and analysis</w:t>
            </w:r>
          </w:p>
        </w:tc>
        <w:tc>
          <w:tcPr>
            <w:tcW w:w="1091" w:type="pct"/>
            <w:vAlign w:val="center"/>
          </w:tcPr>
          <w:p w14:paraId="6E8B7AA9"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Minimum twice per year</w:t>
            </w:r>
          </w:p>
        </w:tc>
        <w:tc>
          <w:tcPr>
            <w:tcW w:w="1672" w:type="pct"/>
            <w:vAlign w:val="center"/>
          </w:tcPr>
          <w:p w14:paraId="77ED9EDA"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Examine project outcomes to understand the project's performance and impact</w:t>
            </w:r>
          </w:p>
        </w:tc>
        <w:tc>
          <w:tcPr>
            <w:tcW w:w="734" w:type="pct"/>
          </w:tcPr>
          <w:p w14:paraId="71F3FBF7"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3AA2094F" w14:textId="77777777" w:rsidTr="00FB54B2">
        <w:tc>
          <w:tcPr>
            <w:tcW w:w="1503" w:type="pct"/>
            <w:vAlign w:val="center"/>
          </w:tcPr>
          <w:p w14:paraId="45C1172D"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Conduct country portfolio Review</w:t>
            </w:r>
          </w:p>
        </w:tc>
        <w:tc>
          <w:tcPr>
            <w:tcW w:w="1091" w:type="pct"/>
            <w:vAlign w:val="center"/>
          </w:tcPr>
          <w:p w14:paraId="1BA2F25D"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Once per operational phase</w:t>
            </w:r>
          </w:p>
        </w:tc>
        <w:tc>
          <w:tcPr>
            <w:tcW w:w="1672" w:type="pct"/>
            <w:vAlign w:val="center"/>
          </w:tcPr>
          <w:p w14:paraId="5538AB88"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Systematic assessment and evaluation of country portfolio within country’s context</w:t>
            </w:r>
          </w:p>
        </w:tc>
        <w:tc>
          <w:tcPr>
            <w:tcW w:w="734" w:type="pct"/>
          </w:tcPr>
          <w:p w14:paraId="7A1960C3"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230C0D14" w14:textId="77777777" w:rsidTr="00FB54B2">
        <w:tc>
          <w:tcPr>
            <w:tcW w:w="1503" w:type="pct"/>
            <w:vAlign w:val="center"/>
          </w:tcPr>
          <w:p w14:paraId="754BE7E6"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Maintain SGP database</w:t>
            </w:r>
          </w:p>
        </w:tc>
        <w:tc>
          <w:tcPr>
            <w:tcW w:w="1091" w:type="pct"/>
            <w:vAlign w:val="center"/>
          </w:tcPr>
          <w:p w14:paraId="7C0C5857"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Throughout the operational phase.</w:t>
            </w:r>
          </w:p>
        </w:tc>
        <w:tc>
          <w:tcPr>
            <w:tcW w:w="1672" w:type="pct"/>
            <w:vAlign w:val="center"/>
          </w:tcPr>
          <w:p w14:paraId="00A5F021"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Timely update project information and results</w:t>
            </w:r>
          </w:p>
        </w:tc>
        <w:tc>
          <w:tcPr>
            <w:tcW w:w="734" w:type="pct"/>
          </w:tcPr>
          <w:p w14:paraId="78F9D277"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76001983" w14:textId="77777777" w:rsidTr="00FB54B2">
        <w:tc>
          <w:tcPr>
            <w:tcW w:w="1503" w:type="pct"/>
            <w:vAlign w:val="center"/>
          </w:tcPr>
          <w:p w14:paraId="205E8239"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Audit</w:t>
            </w:r>
          </w:p>
        </w:tc>
        <w:tc>
          <w:tcPr>
            <w:tcW w:w="1091" w:type="pct"/>
            <w:vAlign w:val="center"/>
          </w:tcPr>
          <w:p w14:paraId="64B682E5"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Annually for selected countries on risk-assessment basis</w:t>
            </w:r>
          </w:p>
        </w:tc>
        <w:tc>
          <w:tcPr>
            <w:tcW w:w="1672" w:type="pct"/>
            <w:vAlign w:val="center"/>
          </w:tcPr>
          <w:p w14:paraId="48C88241"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Independent entities examine financial and operational aspects of country programme.</w:t>
            </w:r>
          </w:p>
        </w:tc>
        <w:tc>
          <w:tcPr>
            <w:tcW w:w="734" w:type="pct"/>
          </w:tcPr>
          <w:p w14:paraId="4F39C324"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External</w:t>
            </w:r>
          </w:p>
        </w:tc>
      </w:tr>
      <w:tr w:rsidR="00E17230" w:rsidRPr="002926D7" w14:paraId="2A9D1C4A" w14:textId="77777777" w:rsidTr="00035A59">
        <w:tc>
          <w:tcPr>
            <w:tcW w:w="5000" w:type="pct"/>
            <w:gridSpan w:val="4"/>
            <w:shd w:val="clear" w:color="auto" w:fill="BDD6EE" w:themeFill="accent5" w:themeFillTint="66"/>
            <w:vAlign w:val="center"/>
          </w:tcPr>
          <w:p w14:paraId="7CDFA3D5" w14:textId="77777777" w:rsidR="00E17230" w:rsidRPr="002926D7" w:rsidRDefault="00E17230" w:rsidP="002926D7">
            <w:pPr>
              <w:contextualSpacing/>
              <w:jc w:val="left"/>
              <w:rPr>
                <w:rFonts w:asciiTheme="minorHAnsi" w:hAnsiTheme="minorHAnsi" w:cstheme="minorHAnsi"/>
                <w:b/>
                <w:sz w:val="18"/>
                <w:szCs w:val="18"/>
              </w:rPr>
            </w:pPr>
            <w:r w:rsidRPr="002926D7">
              <w:rPr>
                <w:rFonts w:asciiTheme="minorHAnsi" w:hAnsiTheme="minorHAnsi" w:cstheme="minorHAnsi"/>
                <w:b/>
                <w:sz w:val="18"/>
                <w:szCs w:val="18"/>
              </w:rPr>
              <w:t>Global Level</w:t>
            </w:r>
          </w:p>
        </w:tc>
      </w:tr>
      <w:tr w:rsidR="00E17230" w:rsidRPr="002926D7" w14:paraId="5193482C" w14:textId="77777777" w:rsidTr="00FB54B2">
        <w:tc>
          <w:tcPr>
            <w:tcW w:w="1503" w:type="pct"/>
            <w:vAlign w:val="center"/>
          </w:tcPr>
          <w:p w14:paraId="68530ABD"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Inception Workshop and Report</w:t>
            </w:r>
          </w:p>
        </w:tc>
        <w:tc>
          <w:tcPr>
            <w:tcW w:w="1091" w:type="pct"/>
            <w:vAlign w:val="center"/>
          </w:tcPr>
          <w:p w14:paraId="54CFD5EB"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Inception Workshop within 2 months of the First Disbursement</w:t>
            </w:r>
          </w:p>
        </w:tc>
        <w:tc>
          <w:tcPr>
            <w:tcW w:w="1672" w:type="pct"/>
          </w:tcPr>
          <w:p w14:paraId="444E695E"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Involve stakeholders to initiate planning</w:t>
            </w:r>
          </w:p>
        </w:tc>
        <w:tc>
          <w:tcPr>
            <w:tcW w:w="734" w:type="pct"/>
          </w:tcPr>
          <w:p w14:paraId="0F2D228E"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516480E9" w14:textId="77777777" w:rsidTr="00FB54B2">
        <w:tc>
          <w:tcPr>
            <w:tcW w:w="1503" w:type="pct"/>
            <w:vAlign w:val="center"/>
          </w:tcPr>
          <w:p w14:paraId="1A44AEBB"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Monitor and manage risk</w:t>
            </w:r>
          </w:p>
        </w:tc>
        <w:tc>
          <w:tcPr>
            <w:tcW w:w="1091" w:type="pct"/>
            <w:vAlign w:val="center"/>
          </w:tcPr>
          <w:p w14:paraId="57F0013E"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Quarterly</w:t>
            </w:r>
          </w:p>
        </w:tc>
        <w:tc>
          <w:tcPr>
            <w:tcW w:w="1672" w:type="pct"/>
          </w:tcPr>
          <w:p w14:paraId="2D6C820A"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Risks are identified by project management and actions are taken to manage risk. The risk log is actively maintained to keep track of identified risks and actions taken.</w:t>
            </w:r>
          </w:p>
        </w:tc>
        <w:tc>
          <w:tcPr>
            <w:tcW w:w="734" w:type="pct"/>
          </w:tcPr>
          <w:p w14:paraId="36C57D4B"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46CF9158" w14:textId="77777777" w:rsidTr="00FB54B2">
        <w:tc>
          <w:tcPr>
            <w:tcW w:w="1503" w:type="pct"/>
          </w:tcPr>
          <w:p w14:paraId="17B23C3F"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Monitor SESP, ESMF, stakeholder engagement plan, gender action plan</w:t>
            </w:r>
          </w:p>
        </w:tc>
        <w:tc>
          <w:tcPr>
            <w:tcW w:w="1091" w:type="pct"/>
            <w:vAlign w:val="center"/>
          </w:tcPr>
          <w:p w14:paraId="2BBDE8F2"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ongoing</w:t>
            </w:r>
          </w:p>
        </w:tc>
        <w:tc>
          <w:tcPr>
            <w:tcW w:w="1672" w:type="pct"/>
            <w:vAlign w:val="center"/>
          </w:tcPr>
          <w:p w14:paraId="2F9E5E43"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Project safeguard instruments regularly monitored and updated accordingly.</w:t>
            </w:r>
          </w:p>
        </w:tc>
        <w:tc>
          <w:tcPr>
            <w:tcW w:w="734" w:type="pct"/>
          </w:tcPr>
          <w:p w14:paraId="6992FBB7"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1AB588EE" w14:textId="77777777" w:rsidTr="00FB54B2">
        <w:tc>
          <w:tcPr>
            <w:tcW w:w="1503" w:type="pct"/>
            <w:vAlign w:val="center"/>
          </w:tcPr>
          <w:p w14:paraId="2407AC18"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Annual programme quality assurance</w:t>
            </w:r>
          </w:p>
        </w:tc>
        <w:tc>
          <w:tcPr>
            <w:tcW w:w="1091" w:type="pct"/>
            <w:vAlign w:val="center"/>
          </w:tcPr>
          <w:p w14:paraId="5561E75D"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Annually</w:t>
            </w:r>
          </w:p>
        </w:tc>
        <w:tc>
          <w:tcPr>
            <w:tcW w:w="1672" w:type="pct"/>
            <w:vAlign w:val="center"/>
          </w:tcPr>
          <w:p w14:paraId="27F5C20A"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Areas of strength and weakness will be reviewed by project management and used to inform decisions to improve project performance.</w:t>
            </w:r>
          </w:p>
        </w:tc>
        <w:tc>
          <w:tcPr>
            <w:tcW w:w="734" w:type="pct"/>
          </w:tcPr>
          <w:p w14:paraId="1A21B8A6"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5FCB47C4" w14:textId="77777777" w:rsidTr="00FB54B2">
        <w:tc>
          <w:tcPr>
            <w:tcW w:w="1503" w:type="pct"/>
            <w:vAlign w:val="center"/>
          </w:tcPr>
          <w:p w14:paraId="4152D705"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Review and make course Corrections with NSC and programme stakeholders</w:t>
            </w:r>
          </w:p>
        </w:tc>
        <w:tc>
          <w:tcPr>
            <w:tcW w:w="1091" w:type="pct"/>
            <w:vAlign w:val="center"/>
          </w:tcPr>
          <w:p w14:paraId="220FBC60"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At least annually</w:t>
            </w:r>
          </w:p>
        </w:tc>
        <w:tc>
          <w:tcPr>
            <w:tcW w:w="1672" w:type="pct"/>
          </w:tcPr>
          <w:p w14:paraId="50BA7562"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Performance data, risks, lessons and quality will be discussed by the project board and used to make course corrections.</w:t>
            </w:r>
          </w:p>
        </w:tc>
        <w:tc>
          <w:tcPr>
            <w:tcW w:w="734" w:type="pct"/>
          </w:tcPr>
          <w:p w14:paraId="1C360785"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0E21AE42" w14:textId="77777777" w:rsidTr="00FB54B2">
        <w:tc>
          <w:tcPr>
            <w:tcW w:w="1503" w:type="pct"/>
            <w:vAlign w:val="center"/>
          </w:tcPr>
          <w:p w14:paraId="148D0ADD"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Annual GEF Project Implementation Report (PIR)</w:t>
            </w:r>
          </w:p>
        </w:tc>
        <w:tc>
          <w:tcPr>
            <w:tcW w:w="1091" w:type="pct"/>
            <w:vAlign w:val="center"/>
          </w:tcPr>
          <w:p w14:paraId="01E67FE7"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Annually typically between June-September</w:t>
            </w:r>
          </w:p>
        </w:tc>
        <w:tc>
          <w:tcPr>
            <w:tcW w:w="1672" w:type="pct"/>
          </w:tcPr>
          <w:p w14:paraId="02C57C91"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Mandatory contribution by CPMT, COs and RTAs. Strengths and weaknesses will be reviewed by project management and used to inform decisions to improve project performance</w:t>
            </w:r>
          </w:p>
        </w:tc>
        <w:tc>
          <w:tcPr>
            <w:tcW w:w="734" w:type="pct"/>
          </w:tcPr>
          <w:p w14:paraId="6D486A44"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4BB90C64" w14:textId="77777777" w:rsidTr="00FB54B2">
        <w:tc>
          <w:tcPr>
            <w:tcW w:w="1503" w:type="pct"/>
            <w:vAlign w:val="center"/>
          </w:tcPr>
          <w:p w14:paraId="3D26DA0A"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Programme review (SGP Global Programme Board)</w:t>
            </w:r>
          </w:p>
        </w:tc>
        <w:tc>
          <w:tcPr>
            <w:tcW w:w="1091" w:type="pct"/>
            <w:vAlign w:val="center"/>
          </w:tcPr>
          <w:p w14:paraId="16879717"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At least annually</w:t>
            </w:r>
          </w:p>
        </w:tc>
        <w:tc>
          <w:tcPr>
            <w:tcW w:w="1672" w:type="pct"/>
            <w:vAlign w:val="center"/>
          </w:tcPr>
          <w:p w14:paraId="6ABBFE95"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 xml:space="preserve">Any quality concerns or slower than expected progress should be discussed by the project board and management actions agreed to address the issues identified. </w:t>
            </w:r>
          </w:p>
        </w:tc>
        <w:tc>
          <w:tcPr>
            <w:tcW w:w="734" w:type="pct"/>
          </w:tcPr>
          <w:p w14:paraId="492280EE"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5B47B62F" w14:textId="77777777" w:rsidTr="00FB54B2">
        <w:tc>
          <w:tcPr>
            <w:tcW w:w="1503" w:type="pct"/>
            <w:vAlign w:val="center"/>
          </w:tcPr>
          <w:p w14:paraId="151D41AE"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lastRenderedPageBreak/>
              <w:t>Annual Monitoring Report (AMR)</w:t>
            </w:r>
          </w:p>
        </w:tc>
        <w:tc>
          <w:tcPr>
            <w:tcW w:w="1091" w:type="pct"/>
            <w:vAlign w:val="center"/>
          </w:tcPr>
          <w:p w14:paraId="1E6D7286"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Annually</w:t>
            </w:r>
          </w:p>
        </w:tc>
        <w:tc>
          <w:tcPr>
            <w:tcW w:w="1672" w:type="pct"/>
            <w:vAlign w:val="center"/>
          </w:tcPr>
          <w:p w14:paraId="67CF4F00"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Comprehensive report on progress towards achievement of programme results.</w:t>
            </w:r>
          </w:p>
        </w:tc>
        <w:tc>
          <w:tcPr>
            <w:tcW w:w="734" w:type="pct"/>
          </w:tcPr>
          <w:p w14:paraId="1716A86A"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2CFCB215" w14:textId="77777777" w:rsidTr="00FB54B2">
        <w:tc>
          <w:tcPr>
            <w:tcW w:w="1503" w:type="pct"/>
            <w:vAlign w:val="center"/>
          </w:tcPr>
          <w:p w14:paraId="69251472"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Maintain SGP database</w:t>
            </w:r>
          </w:p>
        </w:tc>
        <w:tc>
          <w:tcPr>
            <w:tcW w:w="1091" w:type="pct"/>
            <w:vAlign w:val="center"/>
          </w:tcPr>
          <w:p w14:paraId="4E8E3E6B"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Ongoing</w:t>
            </w:r>
          </w:p>
        </w:tc>
        <w:tc>
          <w:tcPr>
            <w:tcW w:w="1672" w:type="pct"/>
            <w:vAlign w:val="center"/>
          </w:tcPr>
          <w:p w14:paraId="41FD6304"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Quality assurance of data, regular backup, address technical issues</w:t>
            </w:r>
          </w:p>
        </w:tc>
        <w:tc>
          <w:tcPr>
            <w:tcW w:w="734" w:type="pct"/>
          </w:tcPr>
          <w:p w14:paraId="30CC699E"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1DABE205" w14:textId="77777777" w:rsidTr="00FB54B2">
        <w:tc>
          <w:tcPr>
            <w:tcW w:w="1503" w:type="pct"/>
            <w:vAlign w:val="center"/>
          </w:tcPr>
          <w:p w14:paraId="7548A7BE"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Data analysis by region and typology</w:t>
            </w:r>
          </w:p>
        </w:tc>
        <w:tc>
          <w:tcPr>
            <w:tcW w:w="1091" w:type="pct"/>
            <w:vAlign w:val="center"/>
          </w:tcPr>
          <w:p w14:paraId="7F58153D"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Annually</w:t>
            </w:r>
          </w:p>
        </w:tc>
        <w:tc>
          <w:tcPr>
            <w:tcW w:w="1672" w:type="pct"/>
            <w:vAlign w:val="center"/>
          </w:tcPr>
          <w:p w14:paraId="7133B0AE"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Identify patterns for informed decision-making</w:t>
            </w:r>
          </w:p>
        </w:tc>
        <w:tc>
          <w:tcPr>
            <w:tcW w:w="734" w:type="pct"/>
          </w:tcPr>
          <w:p w14:paraId="670DF639"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3074E8A9" w14:textId="77777777" w:rsidTr="00FB54B2">
        <w:tc>
          <w:tcPr>
            <w:tcW w:w="1503" w:type="pct"/>
            <w:vAlign w:val="center"/>
          </w:tcPr>
          <w:p w14:paraId="660A9036"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 xml:space="preserve">Manage country and thematic impact reviews </w:t>
            </w:r>
          </w:p>
        </w:tc>
        <w:tc>
          <w:tcPr>
            <w:tcW w:w="1091" w:type="pct"/>
            <w:vAlign w:val="center"/>
          </w:tcPr>
          <w:p w14:paraId="3E4B62E0"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Ongoing</w:t>
            </w:r>
          </w:p>
        </w:tc>
        <w:tc>
          <w:tcPr>
            <w:tcW w:w="1672" w:type="pct"/>
            <w:vAlign w:val="center"/>
          </w:tcPr>
          <w:p w14:paraId="6D1CFD7E"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Assess the impact and effectiveness of SGP interventions and support generating methodologically solid evidence</w:t>
            </w:r>
          </w:p>
          <w:p w14:paraId="0C35CDFA" w14:textId="77777777" w:rsidR="00E17230" w:rsidRPr="002926D7" w:rsidRDefault="00E17230" w:rsidP="002926D7">
            <w:pPr>
              <w:spacing w:after="60"/>
              <w:contextualSpacing/>
              <w:jc w:val="left"/>
              <w:rPr>
                <w:rFonts w:asciiTheme="minorHAnsi" w:hAnsiTheme="minorHAnsi" w:cstheme="minorHAnsi"/>
                <w:sz w:val="18"/>
                <w:szCs w:val="18"/>
              </w:rPr>
            </w:pPr>
          </w:p>
        </w:tc>
        <w:tc>
          <w:tcPr>
            <w:tcW w:w="734" w:type="pct"/>
          </w:tcPr>
          <w:p w14:paraId="072BA566"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3084BF25" w14:textId="77777777" w:rsidTr="00FB54B2">
        <w:tc>
          <w:tcPr>
            <w:tcW w:w="1503" w:type="pct"/>
            <w:vAlign w:val="center"/>
          </w:tcPr>
          <w:p w14:paraId="100E747D"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Programme Delivery Reports (GEF Financial Reporting)</w:t>
            </w:r>
          </w:p>
        </w:tc>
        <w:tc>
          <w:tcPr>
            <w:tcW w:w="1091" w:type="pct"/>
            <w:vAlign w:val="center"/>
          </w:tcPr>
          <w:p w14:paraId="159791C4"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Quarterly</w:t>
            </w:r>
          </w:p>
        </w:tc>
        <w:tc>
          <w:tcPr>
            <w:tcW w:w="1672" w:type="pct"/>
            <w:vAlign w:val="center"/>
          </w:tcPr>
          <w:p w14:paraId="72BFC213"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Assess efficiency of programme progress and performance</w:t>
            </w:r>
          </w:p>
        </w:tc>
        <w:tc>
          <w:tcPr>
            <w:tcW w:w="734" w:type="pct"/>
          </w:tcPr>
          <w:p w14:paraId="418543BF"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N/A</w:t>
            </w:r>
          </w:p>
        </w:tc>
      </w:tr>
      <w:tr w:rsidR="00E17230" w:rsidRPr="002926D7" w14:paraId="05DA25ED" w14:textId="77777777" w:rsidTr="00FB54B2">
        <w:tc>
          <w:tcPr>
            <w:tcW w:w="1503" w:type="pct"/>
            <w:vAlign w:val="center"/>
          </w:tcPr>
          <w:p w14:paraId="6FA5B03A"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Contribute to UNDP and GEF country and thematic evaluations</w:t>
            </w:r>
          </w:p>
        </w:tc>
        <w:tc>
          <w:tcPr>
            <w:tcW w:w="1091" w:type="pct"/>
            <w:vAlign w:val="center"/>
          </w:tcPr>
          <w:p w14:paraId="42668D58"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Ad hoc</w:t>
            </w:r>
          </w:p>
        </w:tc>
        <w:tc>
          <w:tcPr>
            <w:tcW w:w="1672" w:type="pct"/>
            <w:vAlign w:val="center"/>
          </w:tcPr>
          <w:p w14:paraId="73492E93"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Collect and provide relevant information for the assessment of programme effectiveness and impacts</w:t>
            </w:r>
          </w:p>
        </w:tc>
        <w:tc>
          <w:tcPr>
            <w:tcW w:w="734" w:type="pct"/>
          </w:tcPr>
          <w:p w14:paraId="598CB3CA"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UNDP and/or GEF Evaluation Offices</w:t>
            </w:r>
          </w:p>
        </w:tc>
      </w:tr>
      <w:tr w:rsidR="00E17230" w:rsidRPr="002926D7" w14:paraId="4E882826" w14:textId="77777777" w:rsidTr="00FB54B2">
        <w:tc>
          <w:tcPr>
            <w:tcW w:w="1503" w:type="pct"/>
            <w:vAlign w:val="center"/>
          </w:tcPr>
          <w:p w14:paraId="1CEDAAE6"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Mid-term Review (MTR)</w:t>
            </w:r>
          </w:p>
        </w:tc>
        <w:tc>
          <w:tcPr>
            <w:tcW w:w="1091" w:type="pct"/>
            <w:vAlign w:val="center"/>
          </w:tcPr>
          <w:p w14:paraId="64C1FD10"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By mid-term evaluation date</w:t>
            </w:r>
          </w:p>
        </w:tc>
        <w:tc>
          <w:tcPr>
            <w:tcW w:w="1672" w:type="pct"/>
            <w:vAlign w:val="center"/>
          </w:tcPr>
          <w:p w14:paraId="011641E8" w14:textId="77777777" w:rsidR="00E17230" w:rsidRPr="002926D7" w:rsidRDefault="00E17230" w:rsidP="002926D7">
            <w:pPr>
              <w:spacing w:after="60"/>
              <w:contextualSpacing/>
              <w:jc w:val="left"/>
              <w:rPr>
                <w:rFonts w:asciiTheme="minorHAnsi" w:hAnsiTheme="minorHAnsi" w:cstheme="minorHAnsi"/>
                <w:sz w:val="18"/>
                <w:szCs w:val="18"/>
              </w:rPr>
            </w:pPr>
          </w:p>
        </w:tc>
        <w:tc>
          <w:tcPr>
            <w:tcW w:w="734" w:type="pct"/>
          </w:tcPr>
          <w:p w14:paraId="4DEB14C2" w14:textId="77777777" w:rsidR="00E17230" w:rsidRPr="002926D7" w:rsidRDefault="00E17230" w:rsidP="002926D7">
            <w:pPr>
              <w:contextualSpacing/>
              <w:jc w:val="left"/>
              <w:rPr>
                <w:rFonts w:asciiTheme="minorHAnsi" w:hAnsiTheme="minorHAnsi" w:cstheme="minorHAnsi"/>
                <w:sz w:val="18"/>
                <w:szCs w:val="18"/>
              </w:rPr>
            </w:pPr>
          </w:p>
        </w:tc>
      </w:tr>
      <w:tr w:rsidR="00E17230" w:rsidRPr="002926D7" w14:paraId="1F9066A6" w14:textId="77777777" w:rsidTr="00FB54B2">
        <w:tc>
          <w:tcPr>
            <w:tcW w:w="1503" w:type="pct"/>
            <w:vAlign w:val="center"/>
          </w:tcPr>
          <w:p w14:paraId="58791EA8"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Terminal Evaluation (TE)</w:t>
            </w:r>
          </w:p>
        </w:tc>
        <w:tc>
          <w:tcPr>
            <w:tcW w:w="1091" w:type="pct"/>
            <w:vAlign w:val="center"/>
          </w:tcPr>
          <w:p w14:paraId="3999FF9A"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By Terminal evaluation date</w:t>
            </w:r>
          </w:p>
        </w:tc>
        <w:tc>
          <w:tcPr>
            <w:tcW w:w="1672" w:type="pct"/>
            <w:vAlign w:val="center"/>
          </w:tcPr>
          <w:p w14:paraId="63EF985A" w14:textId="77777777" w:rsidR="00E17230" w:rsidRPr="002926D7" w:rsidRDefault="00E17230" w:rsidP="002926D7">
            <w:pPr>
              <w:spacing w:after="60"/>
              <w:contextualSpacing/>
              <w:jc w:val="left"/>
              <w:rPr>
                <w:rFonts w:asciiTheme="minorHAnsi" w:hAnsiTheme="minorHAnsi" w:cstheme="minorHAnsi"/>
                <w:sz w:val="18"/>
                <w:szCs w:val="18"/>
              </w:rPr>
            </w:pPr>
          </w:p>
        </w:tc>
        <w:tc>
          <w:tcPr>
            <w:tcW w:w="734" w:type="pct"/>
          </w:tcPr>
          <w:p w14:paraId="79B493A0" w14:textId="77777777" w:rsidR="00E17230" w:rsidRPr="002926D7" w:rsidRDefault="00E17230" w:rsidP="002926D7">
            <w:pPr>
              <w:contextualSpacing/>
              <w:jc w:val="left"/>
              <w:rPr>
                <w:rFonts w:asciiTheme="minorHAnsi" w:hAnsiTheme="minorHAnsi" w:cstheme="minorHAnsi"/>
                <w:sz w:val="18"/>
                <w:szCs w:val="18"/>
              </w:rPr>
            </w:pPr>
          </w:p>
        </w:tc>
      </w:tr>
      <w:tr w:rsidR="00E17230" w:rsidRPr="002926D7" w14:paraId="3DA81930" w14:textId="77777777" w:rsidTr="00FB54B2">
        <w:tc>
          <w:tcPr>
            <w:tcW w:w="1503" w:type="pct"/>
            <w:vAlign w:val="center"/>
          </w:tcPr>
          <w:p w14:paraId="01BEBC29" w14:textId="77777777" w:rsidR="00E17230" w:rsidRPr="002926D7" w:rsidRDefault="00E17230" w:rsidP="002926D7">
            <w:pPr>
              <w:contextualSpacing/>
              <w:rPr>
                <w:rFonts w:asciiTheme="minorHAnsi" w:hAnsiTheme="minorHAnsi" w:cstheme="minorHAnsi"/>
                <w:b/>
                <w:sz w:val="18"/>
                <w:szCs w:val="18"/>
              </w:rPr>
            </w:pPr>
            <w:r w:rsidRPr="002926D7">
              <w:rPr>
                <w:rFonts w:asciiTheme="minorHAnsi" w:hAnsiTheme="minorHAnsi" w:cstheme="minorHAnsi"/>
                <w:b/>
                <w:sz w:val="18"/>
                <w:szCs w:val="18"/>
              </w:rPr>
              <w:t>SGP Independent Evaluation</w:t>
            </w:r>
          </w:p>
        </w:tc>
        <w:tc>
          <w:tcPr>
            <w:tcW w:w="1091" w:type="pct"/>
            <w:vAlign w:val="center"/>
          </w:tcPr>
          <w:p w14:paraId="0D4519CF" w14:textId="77777777" w:rsidR="00E17230" w:rsidRPr="002926D7" w:rsidRDefault="00E17230" w:rsidP="002926D7">
            <w:pPr>
              <w:contextualSpacing/>
              <w:jc w:val="center"/>
              <w:rPr>
                <w:rFonts w:asciiTheme="minorHAnsi" w:hAnsiTheme="minorHAnsi" w:cstheme="minorHAnsi"/>
                <w:sz w:val="18"/>
                <w:szCs w:val="18"/>
              </w:rPr>
            </w:pPr>
            <w:r w:rsidRPr="002926D7">
              <w:rPr>
                <w:rFonts w:asciiTheme="minorHAnsi" w:hAnsiTheme="minorHAnsi" w:cstheme="minorHAnsi"/>
                <w:sz w:val="18"/>
                <w:szCs w:val="18"/>
              </w:rPr>
              <w:t>Once per Operational Phase</w:t>
            </w:r>
          </w:p>
        </w:tc>
        <w:tc>
          <w:tcPr>
            <w:tcW w:w="1672" w:type="pct"/>
            <w:vAlign w:val="center"/>
          </w:tcPr>
          <w:p w14:paraId="2EFBD46C" w14:textId="77777777" w:rsidR="00E17230" w:rsidRPr="002926D7" w:rsidRDefault="00E17230" w:rsidP="002926D7">
            <w:pPr>
              <w:spacing w:after="60"/>
              <w:contextualSpacing/>
              <w:jc w:val="left"/>
              <w:rPr>
                <w:rFonts w:asciiTheme="minorHAnsi" w:hAnsiTheme="minorHAnsi" w:cstheme="minorHAnsi"/>
                <w:sz w:val="18"/>
                <w:szCs w:val="18"/>
              </w:rPr>
            </w:pPr>
            <w:r w:rsidRPr="002926D7">
              <w:rPr>
                <w:rFonts w:asciiTheme="minorHAnsi" w:hAnsiTheme="minorHAnsi" w:cstheme="minorHAnsi"/>
                <w:sz w:val="18"/>
                <w:szCs w:val="18"/>
              </w:rPr>
              <w:t>Assess programme effectiveness, impact, and overall performance</w:t>
            </w:r>
          </w:p>
        </w:tc>
        <w:tc>
          <w:tcPr>
            <w:tcW w:w="734" w:type="pct"/>
          </w:tcPr>
          <w:p w14:paraId="0E1102E1" w14:textId="77777777" w:rsidR="00E17230" w:rsidRPr="002926D7" w:rsidRDefault="00E17230" w:rsidP="002926D7">
            <w:pPr>
              <w:contextualSpacing/>
              <w:jc w:val="left"/>
              <w:rPr>
                <w:rFonts w:asciiTheme="minorHAnsi" w:hAnsiTheme="minorHAnsi" w:cstheme="minorHAnsi"/>
                <w:sz w:val="18"/>
                <w:szCs w:val="18"/>
              </w:rPr>
            </w:pPr>
            <w:r w:rsidRPr="002926D7">
              <w:rPr>
                <w:rFonts w:asciiTheme="minorHAnsi" w:hAnsiTheme="minorHAnsi" w:cstheme="minorHAnsi"/>
                <w:sz w:val="18"/>
                <w:szCs w:val="18"/>
              </w:rPr>
              <w:t>UNDP and GEF Independent Evaluation Offices</w:t>
            </w:r>
          </w:p>
        </w:tc>
      </w:tr>
    </w:tbl>
    <w:p w14:paraId="4CA42FA8" w14:textId="77777777" w:rsidR="008F2FA8" w:rsidRPr="002926D7" w:rsidRDefault="008F2FA8" w:rsidP="002926D7">
      <w:pPr>
        <w:jc w:val="left"/>
        <w:rPr>
          <w:b/>
          <w:bCs/>
        </w:rPr>
      </w:pPr>
    </w:p>
    <w:p w14:paraId="5993A981" w14:textId="7C6282E2" w:rsidR="008F2FA8" w:rsidRPr="002926D7" w:rsidRDefault="008F2FA8" w:rsidP="002926D7">
      <w:pPr>
        <w:rPr>
          <w:b/>
          <w:bCs/>
        </w:rPr>
      </w:pPr>
      <w:bookmarkStart w:id="141" w:name="_Toc150787803"/>
      <w:r w:rsidRPr="002926D7">
        <w:rPr>
          <w:b/>
          <w:bCs/>
        </w:rPr>
        <w:t>Evaluation Plan</w:t>
      </w:r>
      <w:bookmarkEnd w:id="141"/>
    </w:p>
    <w:tbl>
      <w:tblPr>
        <w:tblW w:w="14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0"/>
        <w:gridCol w:w="1715"/>
        <w:gridCol w:w="1890"/>
        <w:gridCol w:w="2060"/>
        <w:gridCol w:w="2520"/>
        <w:gridCol w:w="2880"/>
      </w:tblGrid>
      <w:tr w:rsidR="008F2FA8" w:rsidRPr="002926D7" w14:paraId="430A1B98" w14:textId="77777777" w:rsidTr="00FB54B2">
        <w:trPr>
          <w:trHeight w:val="422"/>
          <w:jc w:val="center"/>
        </w:trPr>
        <w:tc>
          <w:tcPr>
            <w:tcW w:w="3420" w:type="dxa"/>
            <w:vAlign w:val="center"/>
          </w:tcPr>
          <w:p w14:paraId="10DAA683" w14:textId="77777777" w:rsidR="008F2FA8" w:rsidRPr="002926D7" w:rsidRDefault="008F2FA8" w:rsidP="002926D7">
            <w:pPr>
              <w:spacing w:after="60"/>
              <w:contextualSpacing/>
              <w:jc w:val="center"/>
              <w:rPr>
                <w:b/>
                <w:sz w:val="18"/>
                <w:szCs w:val="22"/>
              </w:rPr>
            </w:pPr>
            <w:r w:rsidRPr="002926D7">
              <w:rPr>
                <w:b/>
                <w:sz w:val="18"/>
                <w:szCs w:val="22"/>
              </w:rPr>
              <w:t>Evaluation Title</w:t>
            </w:r>
          </w:p>
        </w:tc>
        <w:tc>
          <w:tcPr>
            <w:tcW w:w="1715" w:type="dxa"/>
          </w:tcPr>
          <w:p w14:paraId="2F32B19A" w14:textId="77777777" w:rsidR="008F2FA8" w:rsidRPr="002926D7" w:rsidRDefault="008F2FA8" w:rsidP="002926D7">
            <w:pPr>
              <w:spacing w:after="60"/>
              <w:contextualSpacing/>
              <w:jc w:val="center"/>
              <w:rPr>
                <w:b/>
                <w:sz w:val="18"/>
                <w:szCs w:val="22"/>
              </w:rPr>
            </w:pPr>
            <w:r w:rsidRPr="002926D7">
              <w:rPr>
                <w:b/>
                <w:sz w:val="18"/>
                <w:szCs w:val="22"/>
              </w:rPr>
              <w:t>Partners (if joint)</w:t>
            </w:r>
          </w:p>
        </w:tc>
        <w:tc>
          <w:tcPr>
            <w:tcW w:w="1890" w:type="dxa"/>
            <w:vAlign w:val="center"/>
          </w:tcPr>
          <w:p w14:paraId="46D43BC2" w14:textId="77777777" w:rsidR="008F2FA8" w:rsidRPr="002926D7" w:rsidRDefault="008F2FA8" w:rsidP="002926D7">
            <w:pPr>
              <w:spacing w:after="60"/>
              <w:contextualSpacing/>
              <w:jc w:val="center"/>
              <w:rPr>
                <w:b/>
                <w:sz w:val="18"/>
                <w:szCs w:val="22"/>
              </w:rPr>
            </w:pPr>
            <w:r w:rsidRPr="002926D7">
              <w:rPr>
                <w:b/>
                <w:sz w:val="18"/>
                <w:szCs w:val="22"/>
              </w:rPr>
              <w:t>Related Strategic Plan Output</w:t>
            </w:r>
          </w:p>
        </w:tc>
        <w:tc>
          <w:tcPr>
            <w:tcW w:w="2060" w:type="dxa"/>
            <w:vAlign w:val="center"/>
          </w:tcPr>
          <w:p w14:paraId="57056102" w14:textId="77777777" w:rsidR="008F2FA8" w:rsidRPr="002926D7" w:rsidRDefault="008F2FA8" w:rsidP="002926D7">
            <w:pPr>
              <w:spacing w:after="60"/>
              <w:contextualSpacing/>
              <w:jc w:val="center"/>
              <w:rPr>
                <w:b/>
                <w:sz w:val="18"/>
                <w:szCs w:val="22"/>
              </w:rPr>
            </w:pPr>
            <w:r w:rsidRPr="002926D7">
              <w:rPr>
                <w:b/>
                <w:sz w:val="18"/>
                <w:szCs w:val="22"/>
              </w:rPr>
              <w:t>UNSDCF/CPD Outcome</w:t>
            </w:r>
          </w:p>
        </w:tc>
        <w:tc>
          <w:tcPr>
            <w:tcW w:w="2520" w:type="dxa"/>
            <w:vAlign w:val="center"/>
          </w:tcPr>
          <w:p w14:paraId="04677A46" w14:textId="77777777" w:rsidR="008F2FA8" w:rsidRPr="002926D7" w:rsidRDefault="008F2FA8" w:rsidP="002926D7">
            <w:pPr>
              <w:spacing w:after="60"/>
              <w:contextualSpacing/>
              <w:jc w:val="center"/>
              <w:rPr>
                <w:b/>
                <w:sz w:val="18"/>
                <w:szCs w:val="22"/>
              </w:rPr>
            </w:pPr>
            <w:r w:rsidRPr="002926D7">
              <w:rPr>
                <w:b/>
                <w:sz w:val="18"/>
                <w:szCs w:val="22"/>
              </w:rPr>
              <w:t>Planned Completion Date</w:t>
            </w:r>
          </w:p>
        </w:tc>
        <w:tc>
          <w:tcPr>
            <w:tcW w:w="2880" w:type="dxa"/>
            <w:vAlign w:val="center"/>
          </w:tcPr>
          <w:p w14:paraId="10CA7C2A" w14:textId="77777777" w:rsidR="008F2FA8" w:rsidRPr="002926D7" w:rsidRDefault="008F2FA8" w:rsidP="002926D7">
            <w:pPr>
              <w:spacing w:after="60"/>
              <w:contextualSpacing/>
              <w:jc w:val="center"/>
              <w:rPr>
                <w:b/>
                <w:sz w:val="18"/>
                <w:szCs w:val="22"/>
              </w:rPr>
            </w:pPr>
            <w:r w:rsidRPr="002926D7">
              <w:rPr>
                <w:b/>
                <w:sz w:val="18"/>
                <w:szCs w:val="22"/>
              </w:rPr>
              <w:t>Key Evaluation Stakeholders</w:t>
            </w:r>
          </w:p>
        </w:tc>
      </w:tr>
      <w:tr w:rsidR="008F2FA8" w:rsidRPr="002926D7" w14:paraId="10D97A5B" w14:textId="77777777" w:rsidTr="00FB54B2">
        <w:trPr>
          <w:trHeight w:val="440"/>
          <w:jc w:val="center"/>
        </w:trPr>
        <w:tc>
          <w:tcPr>
            <w:tcW w:w="3420" w:type="dxa"/>
            <w:vAlign w:val="center"/>
          </w:tcPr>
          <w:p w14:paraId="75D162DE" w14:textId="77777777" w:rsidR="008F2FA8" w:rsidRPr="002926D7" w:rsidRDefault="008F2FA8" w:rsidP="002926D7">
            <w:pPr>
              <w:spacing w:after="60"/>
              <w:contextualSpacing/>
              <w:jc w:val="center"/>
              <w:rPr>
                <w:sz w:val="18"/>
                <w:szCs w:val="22"/>
              </w:rPr>
            </w:pPr>
            <w:r w:rsidRPr="002926D7">
              <w:rPr>
                <w:sz w:val="18"/>
                <w:szCs w:val="22"/>
              </w:rPr>
              <w:t>Independent Mid-Term Review (MTR)</w:t>
            </w:r>
          </w:p>
          <w:p w14:paraId="7CCAD7E1" w14:textId="53EB3B3A" w:rsidR="008F2FA8" w:rsidRPr="002926D7" w:rsidRDefault="008F2FA8" w:rsidP="002926D7">
            <w:pPr>
              <w:spacing w:after="60"/>
              <w:contextualSpacing/>
              <w:jc w:val="center"/>
              <w:rPr>
                <w:i/>
                <w:iCs/>
                <w:sz w:val="18"/>
                <w:szCs w:val="22"/>
              </w:rPr>
            </w:pPr>
          </w:p>
        </w:tc>
        <w:tc>
          <w:tcPr>
            <w:tcW w:w="1715" w:type="dxa"/>
            <w:vAlign w:val="center"/>
          </w:tcPr>
          <w:p w14:paraId="0CC8CF0C" w14:textId="15626E3A" w:rsidR="00F624F5" w:rsidRPr="002926D7" w:rsidRDefault="00F624F5" w:rsidP="002926D7">
            <w:pPr>
              <w:spacing w:after="60"/>
              <w:contextualSpacing/>
              <w:jc w:val="center"/>
              <w:rPr>
                <w:rFonts w:cs="Calibri"/>
                <w:iCs/>
                <w:sz w:val="18"/>
                <w:szCs w:val="22"/>
              </w:rPr>
            </w:pPr>
            <w:r w:rsidRPr="002926D7">
              <w:rPr>
                <w:rFonts w:cs="Calibri"/>
                <w:iCs/>
                <w:sz w:val="18"/>
                <w:szCs w:val="22"/>
              </w:rPr>
              <w:t>N/A</w:t>
            </w:r>
          </w:p>
        </w:tc>
        <w:tc>
          <w:tcPr>
            <w:tcW w:w="1890" w:type="dxa"/>
            <w:vAlign w:val="center"/>
          </w:tcPr>
          <w:p w14:paraId="0EBBC007" w14:textId="5F99723F" w:rsidR="008F2FA8" w:rsidRPr="002926D7" w:rsidRDefault="00473BA6" w:rsidP="002926D7">
            <w:pPr>
              <w:spacing w:after="60"/>
              <w:contextualSpacing/>
              <w:jc w:val="center"/>
              <w:rPr>
                <w:iCs/>
                <w:sz w:val="18"/>
                <w:szCs w:val="22"/>
              </w:rPr>
            </w:pPr>
            <w:r w:rsidRPr="002926D7">
              <w:rPr>
                <w:rFonts w:cs="Calibri"/>
                <w:iCs/>
                <w:sz w:val="18"/>
                <w:szCs w:val="22"/>
              </w:rPr>
              <w:t>4.1, 4.2</w:t>
            </w:r>
          </w:p>
        </w:tc>
        <w:tc>
          <w:tcPr>
            <w:tcW w:w="2060" w:type="dxa"/>
            <w:vAlign w:val="center"/>
          </w:tcPr>
          <w:p w14:paraId="53C276A7" w14:textId="3FF65E6B" w:rsidR="008F2FA8" w:rsidRPr="002926D7" w:rsidRDefault="00F624F5" w:rsidP="002926D7">
            <w:pPr>
              <w:spacing w:after="60"/>
              <w:contextualSpacing/>
              <w:jc w:val="center"/>
              <w:rPr>
                <w:iCs/>
                <w:sz w:val="18"/>
                <w:szCs w:val="22"/>
              </w:rPr>
            </w:pPr>
            <w:r w:rsidRPr="002926D7">
              <w:rPr>
                <w:rFonts w:cs="Calibri"/>
                <w:iCs/>
                <w:sz w:val="18"/>
                <w:szCs w:val="22"/>
              </w:rPr>
              <w:t>Multiple</w:t>
            </w:r>
          </w:p>
        </w:tc>
        <w:tc>
          <w:tcPr>
            <w:tcW w:w="2520" w:type="dxa"/>
            <w:vAlign w:val="center"/>
          </w:tcPr>
          <w:p w14:paraId="664EC1A7" w14:textId="77777777" w:rsidR="008F2FA8" w:rsidRPr="002926D7" w:rsidRDefault="008F2FA8" w:rsidP="002926D7">
            <w:pPr>
              <w:spacing w:after="60"/>
              <w:jc w:val="left"/>
              <w:rPr>
                <w:rFonts w:cs="Arial"/>
                <w:sz w:val="18"/>
                <w:szCs w:val="22"/>
              </w:rPr>
            </w:pPr>
            <w:r w:rsidRPr="002926D7">
              <w:rPr>
                <w:rFonts w:cs="Arial"/>
                <w:sz w:val="18"/>
                <w:szCs w:val="22"/>
              </w:rPr>
              <w:t>By the MTR submission date included on cover page of Project Document</w:t>
            </w:r>
          </w:p>
        </w:tc>
        <w:tc>
          <w:tcPr>
            <w:tcW w:w="2880" w:type="dxa"/>
            <w:vAlign w:val="center"/>
          </w:tcPr>
          <w:p w14:paraId="76680D77" w14:textId="66BD2516" w:rsidR="008F2FA8" w:rsidRPr="002926D7" w:rsidRDefault="00F624F5" w:rsidP="002926D7">
            <w:pPr>
              <w:spacing w:after="60"/>
              <w:contextualSpacing/>
              <w:jc w:val="center"/>
              <w:rPr>
                <w:iCs/>
                <w:sz w:val="18"/>
                <w:szCs w:val="22"/>
              </w:rPr>
            </w:pPr>
            <w:r w:rsidRPr="002926D7">
              <w:rPr>
                <w:iCs/>
                <w:sz w:val="18"/>
                <w:szCs w:val="22"/>
              </w:rPr>
              <w:t>Members of NSCs, members of GEF SGP Steering Committee, members of SGP Global Programme Board, UNDP BPPS, CPMT, co-financing partners, grantees and local beneficiaries</w:t>
            </w:r>
          </w:p>
        </w:tc>
      </w:tr>
      <w:tr w:rsidR="008F2FA8" w:rsidRPr="002926D7" w14:paraId="386D0499" w14:textId="77777777" w:rsidTr="00FB54B2">
        <w:trPr>
          <w:trHeight w:val="440"/>
          <w:jc w:val="center"/>
        </w:trPr>
        <w:tc>
          <w:tcPr>
            <w:tcW w:w="3420" w:type="dxa"/>
            <w:vAlign w:val="center"/>
          </w:tcPr>
          <w:p w14:paraId="0237ACBC" w14:textId="77777777" w:rsidR="008F2FA8" w:rsidRPr="002926D7" w:rsidRDefault="008F2FA8" w:rsidP="002926D7">
            <w:pPr>
              <w:spacing w:after="60"/>
              <w:contextualSpacing/>
              <w:jc w:val="center"/>
              <w:rPr>
                <w:sz w:val="18"/>
                <w:szCs w:val="22"/>
              </w:rPr>
            </w:pPr>
            <w:r w:rsidRPr="002926D7">
              <w:rPr>
                <w:sz w:val="18"/>
                <w:szCs w:val="22"/>
              </w:rPr>
              <w:t>Independent Terminal Evaluation (TE)</w:t>
            </w:r>
          </w:p>
        </w:tc>
        <w:tc>
          <w:tcPr>
            <w:tcW w:w="1715" w:type="dxa"/>
            <w:vAlign w:val="center"/>
          </w:tcPr>
          <w:p w14:paraId="2CEA5A33" w14:textId="2F9335B3" w:rsidR="008F2FA8" w:rsidRPr="002926D7" w:rsidRDefault="00F624F5" w:rsidP="002926D7">
            <w:pPr>
              <w:spacing w:after="60"/>
              <w:contextualSpacing/>
              <w:jc w:val="center"/>
              <w:rPr>
                <w:rFonts w:cs="Calibri"/>
                <w:iCs/>
                <w:sz w:val="18"/>
                <w:szCs w:val="22"/>
              </w:rPr>
            </w:pPr>
            <w:r w:rsidRPr="002926D7">
              <w:rPr>
                <w:rFonts w:cs="Calibri"/>
                <w:iCs/>
                <w:sz w:val="18"/>
                <w:szCs w:val="22"/>
              </w:rPr>
              <w:t>N/A</w:t>
            </w:r>
          </w:p>
        </w:tc>
        <w:tc>
          <w:tcPr>
            <w:tcW w:w="1890" w:type="dxa"/>
            <w:vAlign w:val="center"/>
          </w:tcPr>
          <w:p w14:paraId="35932F52" w14:textId="639CB167" w:rsidR="008F2FA8" w:rsidRPr="002926D7" w:rsidRDefault="00473BA6" w:rsidP="002926D7">
            <w:pPr>
              <w:spacing w:after="60"/>
              <w:contextualSpacing/>
              <w:jc w:val="center"/>
              <w:rPr>
                <w:sz w:val="18"/>
                <w:szCs w:val="22"/>
              </w:rPr>
            </w:pPr>
            <w:r w:rsidRPr="002926D7">
              <w:rPr>
                <w:rFonts w:cs="Calibri"/>
                <w:iCs/>
                <w:sz w:val="18"/>
                <w:szCs w:val="22"/>
              </w:rPr>
              <w:t>4.1, 4.2</w:t>
            </w:r>
          </w:p>
        </w:tc>
        <w:tc>
          <w:tcPr>
            <w:tcW w:w="2060" w:type="dxa"/>
            <w:vAlign w:val="center"/>
          </w:tcPr>
          <w:p w14:paraId="6A8B30A2" w14:textId="12E7E157" w:rsidR="008F2FA8" w:rsidRPr="002926D7" w:rsidRDefault="00F624F5" w:rsidP="002926D7">
            <w:pPr>
              <w:spacing w:after="60"/>
              <w:contextualSpacing/>
              <w:jc w:val="center"/>
              <w:rPr>
                <w:iCs/>
                <w:sz w:val="18"/>
                <w:szCs w:val="22"/>
              </w:rPr>
            </w:pPr>
            <w:r w:rsidRPr="002926D7">
              <w:rPr>
                <w:rFonts w:cs="Calibri"/>
                <w:iCs/>
                <w:sz w:val="18"/>
                <w:szCs w:val="22"/>
              </w:rPr>
              <w:t>Multiple</w:t>
            </w:r>
          </w:p>
        </w:tc>
        <w:tc>
          <w:tcPr>
            <w:tcW w:w="2520" w:type="dxa"/>
            <w:vAlign w:val="center"/>
          </w:tcPr>
          <w:p w14:paraId="78D59A81" w14:textId="77777777" w:rsidR="008F2FA8" w:rsidRPr="002926D7" w:rsidRDefault="008F2FA8" w:rsidP="002926D7">
            <w:pPr>
              <w:spacing w:after="60"/>
              <w:jc w:val="left"/>
              <w:rPr>
                <w:rFonts w:cs="Arial"/>
                <w:sz w:val="18"/>
                <w:szCs w:val="22"/>
              </w:rPr>
            </w:pPr>
            <w:r w:rsidRPr="002926D7">
              <w:rPr>
                <w:rFonts w:cs="Arial"/>
                <w:sz w:val="18"/>
                <w:szCs w:val="22"/>
              </w:rPr>
              <w:t>By the TE submission date included on cover page of Project Document</w:t>
            </w:r>
          </w:p>
        </w:tc>
        <w:tc>
          <w:tcPr>
            <w:tcW w:w="2880" w:type="dxa"/>
            <w:vAlign w:val="center"/>
          </w:tcPr>
          <w:p w14:paraId="35953708" w14:textId="41535C5A" w:rsidR="008F2FA8" w:rsidRPr="002926D7" w:rsidRDefault="00F624F5" w:rsidP="002926D7">
            <w:pPr>
              <w:spacing w:after="60"/>
              <w:contextualSpacing/>
              <w:jc w:val="center"/>
              <w:rPr>
                <w:iCs/>
                <w:sz w:val="18"/>
                <w:szCs w:val="22"/>
              </w:rPr>
            </w:pPr>
            <w:r w:rsidRPr="002926D7">
              <w:rPr>
                <w:iCs/>
                <w:sz w:val="18"/>
                <w:szCs w:val="22"/>
              </w:rPr>
              <w:t>Members of NSCs, members of GEF SGP Steering Committee, members of SGP Global Programme Board, UNDP BPPS, CPMT, co-financing partners, grantees and local beneficiaries</w:t>
            </w:r>
          </w:p>
        </w:tc>
      </w:tr>
    </w:tbl>
    <w:p w14:paraId="0D1B456F" w14:textId="77777777" w:rsidR="008F2FA8" w:rsidRPr="002926D7" w:rsidRDefault="008F2FA8" w:rsidP="002926D7">
      <w:pPr>
        <w:spacing w:after="60"/>
        <w:rPr>
          <w:rFonts w:cs="Arial"/>
          <w:b/>
          <w:bCs/>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168"/>
        <w:gridCol w:w="2222"/>
      </w:tblGrid>
      <w:tr w:rsidR="000B142C" w:rsidRPr="002926D7" w14:paraId="13DA0E38" w14:textId="77777777" w:rsidTr="000B142C">
        <w:trPr>
          <w:tblHeader/>
          <w:jc w:val="center"/>
        </w:trPr>
        <w:tc>
          <w:tcPr>
            <w:tcW w:w="5000" w:type="pct"/>
            <w:gridSpan w:val="2"/>
            <w:shd w:val="clear" w:color="auto" w:fill="E7E6E6" w:themeFill="background2"/>
          </w:tcPr>
          <w:p w14:paraId="52EE1CF7" w14:textId="77777777" w:rsidR="000B142C" w:rsidRPr="002926D7" w:rsidRDefault="000B142C" w:rsidP="002926D7">
            <w:pPr>
              <w:rPr>
                <w:i/>
              </w:rPr>
            </w:pPr>
            <w:r w:rsidRPr="002926D7">
              <w:rPr>
                <w:rFonts w:cs="Arial"/>
                <w:b/>
              </w:rPr>
              <w:t xml:space="preserve">Monitoring and Evaluation Budget for project execution: </w:t>
            </w:r>
          </w:p>
        </w:tc>
      </w:tr>
      <w:tr w:rsidR="000B142C" w:rsidRPr="002926D7" w14:paraId="18BAE807" w14:textId="77777777" w:rsidTr="000B142C">
        <w:trPr>
          <w:trHeight w:val="404"/>
          <w:tblHeader/>
          <w:jc w:val="center"/>
        </w:trPr>
        <w:tc>
          <w:tcPr>
            <w:tcW w:w="4228" w:type="pct"/>
            <w:shd w:val="clear" w:color="auto" w:fill="E7E6E6" w:themeFill="background2"/>
          </w:tcPr>
          <w:p w14:paraId="2F602FB2" w14:textId="77777777" w:rsidR="000B142C" w:rsidRPr="002926D7" w:rsidRDefault="000B142C" w:rsidP="002926D7">
            <w:pPr>
              <w:spacing w:after="60"/>
              <w:rPr>
                <w:rFonts w:cs="Calibri"/>
                <w:b/>
                <w:szCs w:val="20"/>
              </w:rPr>
            </w:pPr>
            <w:r w:rsidRPr="002926D7">
              <w:rPr>
                <w:rFonts w:cs="Calibri"/>
                <w:b/>
                <w:szCs w:val="20"/>
              </w:rPr>
              <w:t>GEF M&amp;E requirements to be undertaken by Central Programme Management Team (CPMT)</w:t>
            </w:r>
          </w:p>
        </w:tc>
        <w:tc>
          <w:tcPr>
            <w:tcW w:w="772" w:type="pct"/>
            <w:shd w:val="clear" w:color="auto" w:fill="E7E6E6" w:themeFill="background2"/>
          </w:tcPr>
          <w:p w14:paraId="18127FBB" w14:textId="77777777" w:rsidR="000B142C" w:rsidRPr="002926D7" w:rsidRDefault="000B142C" w:rsidP="002926D7">
            <w:pPr>
              <w:spacing w:after="60"/>
              <w:jc w:val="center"/>
              <w:rPr>
                <w:rFonts w:cs="Calibri"/>
                <w:b/>
                <w:szCs w:val="20"/>
              </w:rPr>
            </w:pPr>
            <w:r w:rsidRPr="002926D7">
              <w:rPr>
                <w:rFonts w:cs="Calibri"/>
                <w:b/>
                <w:szCs w:val="20"/>
              </w:rPr>
              <w:t>Indicative costs (US$)</w:t>
            </w:r>
          </w:p>
        </w:tc>
      </w:tr>
      <w:tr w:rsidR="000B142C" w:rsidRPr="002926D7" w14:paraId="63C52114" w14:textId="77777777" w:rsidTr="00035A59">
        <w:trPr>
          <w:trHeight w:val="413"/>
          <w:jc w:val="center"/>
        </w:trPr>
        <w:tc>
          <w:tcPr>
            <w:tcW w:w="4228" w:type="pct"/>
          </w:tcPr>
          <w:p w14:paraId="556405C5" w14:textId="77777777" w:rsidR="000B142C" w:rsidRPr="002926D7" w:rsidRDefault="000B142C" w:rsidP="002926D7">
            <w:pPr>
              <w:spacing w:after="60"/>
              <w:rPr>
                <w:rFonts w:cs="Calibri"/>
                <w:szCs w:val="20"/>
              </w:rPr>
            </w:pPr>
            <w:r w:rsidRPr="002926D7">
              <w:rPr>
                <w:rFonts w:cs="Calibri"/>
                <w:b/>
                <w:szCs w:val="20"/>
              </w:rPr>
              <w:t xml:space="preserve">Inception Workshops </w:t>
            </w:r>
          </w:p>
        </w:tc>
        <w:tc>
          <w:tcPr>
            <w:tcW w:w="772" w:type="pct"/>
          </w:tcPr>
          <w:p w14:paraId="793E3D5D" w14:textId="77777777" w:rsidR="000B142C" w:rsidRPr="002926D7" w:rsidRDefault="000B142C" w:rsidP="002926D7">
            <w:pPr>
              <w:spacing w:after="60"/>
              <w:jc w:val="center"/>
              <w:rPr>
                <w:rFonts w:cs="Calibri"/>
                <w:szCs w:val="20"/>
              </w:rPr>
            </w:pPr>
            <w:r w:rsidRPr="002926D7">
              <w:rPr>
                <w:rFonts w:cs="Calibri"/>
                <w:szCs w:val="20"/>
              </w:rPr>
              <w:t>200,000</w:t>
            </w:r>
          </w:p>
        </w:tc>
      </w:tr>
      <w:tr w:rsidR="000B142C" w:rsidRPr="002926D7" w14:paraId="0B8BA056" w14:textId="77777777" w:rsidTr="00035A59">
        <w:trPr>
          <w:jc w:val="center"/>
        </w:trPr>
        <w:tc>
          <w:tcPr>
            <w:tcW w:w="4228" w:type="pct"/>
          </w:tcPr>
          <w:p w14:paraId="1C92E5B1" w14:textId="77777777" w:rsidR="000B142C" w:rsidRPr="002926D7" w:rsidRDefault="000B142C" w:rsidP="002926D7">
            <w:pPr>
              <w:spacing w:after="60"/>
              <w:rPr>
                <w:rFonts w:cs="Calibri"/>
                <w:szCs w:val="20"/>
              </w:rPr>
            </w:pPr>
            <w:r w:rsidRPr="002926D7">
              <w:rPr>
                <w:rFonts w:cs="Calibri"/>
                <w:b/>
                <w:szCs w:val="20"/>
              </w:rPr>
              <w:t xml:space="preserve">M&amp;E required to report on progress made in reaching GEF core indicators and programme results included in the programme results framework  </w:t>
            </w:r>
          </w:p>
        </w:tc>
        <w:tc>
          <w:tcPr>
            <w:tcW w:w="772" w:type="pct"/>
          </w:tcPr>
          <w:p w14:paraId="4A828095" w14:textId="77777777" w:rsidR="000B142C" w:rsidRPr="002926D7" w:rsidRDefault="000B142C" w:rsidP="002926D7">
            <w:pPr>
              <w:spacing w:after="60"/>
              <w:jc w:val="center"/>
              <w:rPr>
                <w:rFonts w:cs="Calibri"/>
                <w:szCs w:val="20"/>
                <w:lang w:val="en-GB"/>
              </w:rPr>
            </w:pPr>
            <w:r w:rsidRPr="002926D7">
              <w:rPr>
                <w:rFonts w:cs="Calibri"/>
                <w:szCs w:val="20"/>
                <w:lang w:val="en-GB"/>
              </w:rPr>
              <w:t>1,100,000</w:t>
            </w:r>
          </w:p>
        </w:tc>
      </w:tr>
      <w:tr w:rsidR="000B142C" w:rsidRPr="002926D7" w14:paraId="5AF85C8A" w14:textId="77777777" w:rsidTr="00035A59">
        <w:trPr>
          <w:jc w:val="center"/>
        </w:trPr>
        <w:tc>
          <w:tcPr>
            <w:tcW w:w="4228" w:type="pct"/>
          </w:tcPr>
          <w:p w14:paraId="0692AC4F" w14:textId="77777777" w:rsidR="000B142C" w:rsidRPr="002926D7" w:rsidRDefault="000B142C" w:rsidP="002926D7">
            <w:pPr>
              <w:rPr>
                <w:rFonts w:cs="Calibri"/>
                <w:szCs w:val="20"/>
              </w:rPr>
            </w:pPr>
            <w:r w:rsidRPr="002926D7">
              <w:rPr>
                <w:rFonts w:cs="Calibri"/>
                <w:b/>
                <w:szCs w:val="20"/>
              </w:rPr>
              <w:t>Preparation of the annual GEF Project Implementation Report (PIR) and annual monitoring report (AMR)</w:t>
            </w:r>
          </w:p>
        </w:tc>
        <w:tc>
          <w:tcPr>
            <w:tcW w:w="772" w:type="pct"/>
          </w:tcPr>
          <w:p w14:paraId="43E8F47E" w14:textId="77777777" w:rsidR="000B142C" w:rsidRPr="002926D7" w:rsidRDefault="000B142C" w:rsidP="002926D7">
            <w:pPr>
              <w:spacing w:after="60"/>
              <w:jc w:val="center"/>
              <w:rPr>
                <w:rFonts w:cs="Calibri"/>
                <w:szCs w:val="20"/>
                <w:lang w:val="en-GB"/>
              </w:rPr>
            </w:pPr>
            <w:r w:rsidRPr="002926D7">
              <w:rPr>
                <w:rFonts w:cs="Calibri"/>
                <w:szCs w:val="20"/>
                <w:lang w:val="en-GB"/>
              </w:rPr>
              <w:t>576,302</w:t>
            </w:r>
          </w:p>
        </w:tc>
      </w:tr>
      <w:tr w:rsidR="000B142C" w:rsidRPr="002926D7" w14:paraId="4AE7E95A" w14:textId="77777777" w:rsidTr="00035A59">
        <w:trPr>
          <w:jc w:val="center"/>
        </w:trPr>
        <w:tc>
          <w:tcPr>
            <w:tcW w:w="4228" w:type="pct"/>
          </w:tcPr>
          <w:p w14:paraId="05030103" w14:textId="77777777" w:rsidR="000B142C" w:rsidRPr="002926D7" w:rsidRDefault="000B142C" w:rsidP="002926D7">
            <w:pPr>
              <w:spacing w:after="60"/>
              <w:rPr>
                <w:rFonts w:cs="Calibri"/>
                <w:i/>
                <w:szCs w:val="20"/>
              </w:rPr>
            </w:pPr>
            <w:r w:rsidRPr="002926D7">
              <w:rPr>
                <w:rFonts w:cs="Calibri"/>
                <w:b/>
                <w:szCs w:val="20"/>
              </w:rPr>
              <w:lastRenderedPageBreak/>
              <w:t xml:space="preserve">Monitoring all requirements (SESP, ESMF, stakeholder engagement plan, gender action plan, CPS progress) </w:t>
            </w:r>
          </w:p>
        </w:tc>
        <w:tc>
          <w:tcPr>
            <w:tcW w:w="772" w:type="pct"/>
          </w:tcPr>
          <w:p w14:paraId="5F4A92A0" w14:textId="77777777" w:rsidR="000B142C" w:rsidRPr="002926D7" w:rsidRDefault="000B142C" w:rsidP="002926D7">
            <w:pPr>
              <w:spacing w:after="60"/>
              <w:jc w:val="center"/>
              <w:rPr>
                <w:rFonts w:cs="Calibri"/>
                <w:szCs w:val="20"/>
              </w:rPr>
            </w:pPr>
            <w:r w:rsidRPr="002926D7">
              <w:rPr>
                <w:rFonts w:cs="Calibri"/>
                <w:szCs w:val="20"/>
              </w:rPr>
              <w:t>400,000</w:t>
            </w:r>
          </w:p>
        </w:tc>
      </w:tr>
      <w:tr w:rsidR="000B142C" w:rsidRPr="002926D7" w14:paraId="6E02283E" w14:textId="77777777" w:rsidTr="00035A59">
        <w:trPr>
          <w:jc w:val="center"/>
        </w:trPr>
        <w:tc>
          <w:tcPr>
            <w:tcW w:w="4228" w:type="pct"/>
          </w:tcPr>
          <w:p w14:paraId="3DF00ABF" w14:textId="77777777" w:rsidR="000B142C" w:rsidRPr="002926D7" w:rsidRDefault="000B142C" w:rsidP="002926D7">
            <w:pPr>
              <w:spacing w:after="60"/>
              <w:rPr>
                <w:rFonts w:cs="Calibri"/>
                <w:b/>
                <w:szCs w:val="20"/>
              </w:rPr>
            </w:pPr>
            <w:r w:rsidRPr="002926D7">
              <w:rPr>
                <w:rFonts w:cs="Calibri"/>
                <w:b/>
                <w:szCs w:val="20"/>
              </w:rPr>
              <w:t xml:space="preserve">Monitoring missions </w:t>
            </w:r>
          </w:p>
        </w:tc>
        <w:tc>
          <w:tcPr>
            <w:tcW w:w="772" w:type="pct"/>
          </w:tcPr>
          <w:p w14:paraId="3CD90E30" w14:textId="77777777" w:rsidR="000B142C" w:rsidRPr="002926D7" w:rsidRDefault="000B142C" w:rsidP="002926D7">
            <w:pPr>
              <w:spacing w:after="60"/>
              <w:jc w:val="center"/>
              <w:rPr>
                <w:rFonts w:cs="Calibri"/>
                <w:szCs w:val="20"/>
              </w:rPr>
            </w:pPr>
            <w:r w:rsidRPr="002926D7">
              <w:rPr>
                <w:rFonts w:cs="Calibri"/>
                <w:szCs w:val="20"/>
              </w:rPr>
              <w:t>350,000</w:t>
            </w:r>
          </w:p>
        </w:tc>
      </w:tr>
      <w:tr w:rsidR="000B142C" w:rsidRPr="002926D7" w14:paraId="1A785CB8" w14:textId="77777777" w:rsidTr="00035A59">
        <w:trPr>
          <w:trHeight w:val="377"/>
          <w:jc w:val="center"/>
        </w:trPr>
        <w:tc>
          <w:tcPr>
            <w:tcW w:w="4228" w:type="pct"/>
          </w:tcPr>
          <w:p w14:paraId="63CEC670" w14:textId="77777777" w:rsidR="000B142C" w:rsidRPr="002926D7" w:rsidRDefault="000B142C" w:rsidP="002926D7">
            <w:pPr>
              <w:spacing w:after="60"/>
              <w:rPr>
                <w:rFonts w:cs="Calibri"/>
                <w:b/>
                <w:szCs w:val="20"/>
              </w:rPr>
            </w:pPr>
            <w:r w:rsidRPr="002926D7">
              <w:rPr>
                <w:rFonts w:cs="Calibri"/>
                <w:b/>
                <w:szCs w:val="20"/>
              </w:rPr>
              <w:t xml:space="preserve">Independent Mid-term Review (MTR): </w:t>
            </w:r>
          </w:p>
        </w:tc>
        <w:tc>
          <w:tcPr>
            <w:tcW w:w="772" w:type="pct"/>
          </w:tcPr>
          <w:p w14:paraId="0E9F9088" w14:textId="77777777" w:rsidR="000B142C" w:rsidRPr="002926D7" w:rsidRDefault="000B142C" w:rsidP="002926D7">
            <w:pPr>
              <w:spacing w:after="60"/>
              <w:jc w:val="center"/>
              <w:rPr>
                <w:rFonts w:cs="Arial"/>
              </w:rPr>
            </w:pPr>
            <w:r w:rsidRPr="002926D7">
              <w:rPr>
                <w:rFonts w:cs="Arial"/>
              </w:rPr>
              <w:t>200,000</w:t>
            </w:r>
          </w:p>
        </w:tc>
      </w:tr>
      <w:tr w:rsidR="000B142C" w:rsidRPr="002926D7" w14:paraId="401F9DEA" w14:textId="77777777" w:rsidTr="00035A59">
        <w:trPr>
          <w:jc w:val="center"/>
        </w:trPr>
        <w:tc>
          <w:tcPr>
            <w:tcW w:w="4228" w:type="pct"/>
          </w:tcPr>
          <w:p w14:paraId="1689B1DF" w14:textId="77777777" w:rsidR="000B142C" w:rsidRPr="002926D7" w:rsidRDefault="000B142C" w:rsidP="002926D7">
            <w:pPr>
              <w:spacing w:after="60"/>
              <w:rPr>
                <w:rFonts w:cs="Calibri"/>
                <w:b/>
                <w:bCs/>
                <w:i/>
                <w:iCs/>
                <w:szCs w:val="20"/>
              </w:rPr>
            </w:pPr>
            <w:r w:rsidRPr="002926D7">
              <w:rPr>
                <w:rFonts w:cs="Calibri"/>
                <w:b/>
                <w:szCs w:val="20"/>
              </w:rPr>
              <w:t xml:space="preserve">Independent Terminal Evaluation (TE): </w:t>
            </w:r>
          </w:p>
        </w:tc>
        <w:tc>
          <w:tcPr>
            <w:tcW w:w="772" w:type="pct"/>
          </w:tcPr>
          <w:p w14:paraId="3B79863D" w14:textId="77777777" w:rsidR="000B142C" w:rsidRPr="002926D7" w:rsidRDefault="000B142C" w:rsidP="002926D7">
            <w:pPr>
              <w:tabs>
                <w:tab w:val="center" w:pos="1216"/>
              </w:tabs>
              <w:spacing w:after="60"/>
              <w:jc w:val="center"/>
              <w:rPr>
                <w:rFonts w:cs="Arial"/>
              </w:rPr>
            </w:pPr>
            <w:r w:rsidRPr="002926D7">
              <w:rPr>
                <w:rFonts w:cs="Arial"/>
              </w:rPr>
              <w:t>200,000</w:t>
            </w:r>
          </w:p>
        </w:tc>
      </w:tr>
      <w:tr w:rsidR="000B142C" w:rsidRPr="002926D7" w14:paraId="2D20B17B" w14:textId="77777777" w:rsidTr="00035A59">
        <w:trPr>
          <w:jc w:val="center"/>
        </w:trPr>
        <w:tc>
          <w:tcPr>
            <w:tcW w:w="4228" w:type="pct"/>
          </w:tcPr>
          <w:p w14:paraId="17F9E5FD" w14:textId="77777777" w:rsidR="000B142C" w:rsidRPr="002926D7" w:rsidRDefault="000B142C" w:rsidP="002926D7">
            <w:pPr>
              <w:spacing w:after="60"/>
              <w:rPr>
                <w:rFonts w:cs="Calibri"/>
                <w:b/>
                <w:szCs w:val="20"/>
              </w:rPr>
            </w:pPr>
            <w:r w:rsidRPr="002926D7">
              <w:rPr>
                <w:rFonts w:cs="Calibri"/>
                <w:b/>
                <w:szCs w:val="20"/>
              </w:rPr>
              <w:t>Maintain SGP Database and online system</w:t>
            </w:r>
          </w:p>
        </w:tc>
        <w:tc>
          <w:tcPr>
            <w:tcW w:w="772" w:type="pct"/>
          </w:tcPr>
          <w:p w14:paraId="68F8D56D" w14:textId="77777777" w:rsidR="000B142C" w:rsidRPr="002926D7" w:rsidRDefault="000B142C" w:rsidP="002926D7">
            <w:pPr>
              <w:tabs>
                <w:tab w:val="center" w:pos="1216"/>
              </w:tabs>
              <w:spacing w:after="60"/>
              <w:jc w:val="center"/>
              <w:rPr>
                <w:rFonts w:cs="Arial"/>
              </w:rPr>
            </w:pPr>
            <w:r w:rsidRPr="002926D7">
              <w:rPr>
                <w:rFonts w:cs="Arial"/>
              </w:rPr>
              <w:t>100,000</w:t>
            </w:r>
          </w:p>
        </w:tc>
      </w:tr>
      <w:tr w:rsidR="000B142C" w:rsidRPr="002926D7" w14:paraId="236DB736" w14:textId="77777777" w:rsidTr="00035A59">
        <w:trPr>
          <w:jc w:val="center"/>
        </w:trPr>
        <w:tc>
          <w:tcPr>
            <w:tcW w:w="4228" w:type="pct"/>
          </w:tcPr>
          <w:p w14:paraId="5A459153" w14:textId="77777777" w:rsidR="000B142C" w:rsidRPr="002926D7" w:rsidRDefault="000B142C" w:rsidP="002926D7">
            <w:pPr>
              <w:spacing w:after="60"/>
              <w:rPr>
                <w:rFonts w:cs="Calibri"/>
                <w:b/>
                <w:szCs w:val="20"/>
              </w:rPr>
            </w:pPr>
            <w:r w:rsidRPr="002926D7">
              <w:rPr>
                <w:rFonts w:cs="Calibri"/>
                <w:b/>
                <w:szCs w:val="20"/>
              </w:rPr>
              <w:t>Programme quality assurance / technical assistance</w:t>
            </w:r>
          </w:p>
        </w:tc>
        <w:tc>
          <w:tcPr>
            <w:tcW w:w="772" w:type="pct"/>
          </w:tcPr>
          <w:p w14:paraId="39E50E98" w14:textId="77777777" w:rsidR="000B142C" w:rsidRPr="002926D7" w:rsidRDefault="000B142C" w:rsidP="002926D7">
            <w:pPr>
              <w:tabs>
                <w:tab w:val="center" w:pos="1216"/>
              </w:tabs>
              <w:spacing w:after="60"/>
              <w:jc w:val="center"/>
              <w:rPr>
                <w:rFonts w:cs="Arial"/>
              </w:rPr>
            </w:pPr>
            <w:r w:rsidRPr="002926D7">
              <w:rPr>
                <w:rFonts w:cs="Arial"/>
              </w:rPr>
              <w:t>1,000,000</w:t>
            </w:r>
          </w:p>
        </w:tc>
      </w:tr>
      <w:tr w:rsidR="000B142C" w:rsidRPr="002926D7" w14:paraId="5A4B274C" w14:textId="77777777" w:rsidTr="000B142C">
        <w:trPr>
          <w:cantSplit/>
          <w:trHeight w:val="431"/>
          <w:jc w:val="center"/>
        </w:trPr>
        <w:tc>
          <w:tcPr>
            <w:tcW w:w="4228" w:type="pct"/>
            <w:shd w:val="clear" w:color="auto" w:fill="E7E6E6" w:themeFill="background2"/>
          </w:tcPr>
          <w:p w14:paraId="431A4BDD" w14:textId="77777777" w:rsidR="000B142C" w:rsidRPr="002926D7" w:rsidRDefault="000B142C" w:rsidP="002926D7">
            <w:pPr>
              <w:spacing w:after="60"/>
              <w:rPr>
                <w:rFonts w:cs="Calibri"/>
                <w:b/>
                <w:szCs w:val="20"/>
              </w:rPr>
            </w:pPr>
            <w:r w:rsidRPr="002926D7">
              <w:rPr>
                <w:rFonts w:cs="Calibri"/>
                <w:b/>
                <w:szCs w:val="20"/>
              </w:rPr>
              <w:t xml:space="preserve">TOTAL indicative COST </w:t>
            </w:r>
          </w:p>
        </w:tc>
        <w:tc>
          <w:tcPr>
            <w:tcW w:w="772" w:type="pct"/>
            <w:shd w:val="clear" w:color="auto" w:fill="E7E6E6" w:themeFill="background2"/>
          </w:tcPr>
          <w:p w14:paraId="62DD2E6E" w14:textId="77777777" w:rsidR="000B142C" w:rsidRPr="002926D7" w:rsidRDefault="000B142C" w:rsidP="002926D7">
            <w:pPr>
              <w:spacing w:after="60"/>
              <w:jc w:val="center"/>
              <w:rPr>
                <w:rFonts w:cs="Calibri"/>
                <w:b/>
                <w:bCs/>
                <w:iCs/>
                <w:szCs w:val="20"/>
              </w:rPr>
            </w:pPr>
            <w:r w:rsidRPr="002926D7">
              <w:rPr>
                <w:rFonts w:cs="Calibri"/>
                <w:b/>
                <w:bCs/>
                <w:iCs/>
                <w:szCs w:val="20"/>
              </w:rPr>
              <w:t>4,126,302</w:t>
            </w:r>
          </w:p>
        </w:tc>
      </w:tr>
    </w:tbl>
    <w:p w14:paraId="3F9923B9" w14:textId="77777777" w:rsidR="008F2FA8" w:rsidRPr="002926D7" w:rsidRDefault="008F2FA8" w:rsidP="002926D7">
      <w:pPr>
        <w:jc w:val="left"/>
        <w:rPr>
          <w:b/>
          <w:bCs/>
        </w:rPr>
      </w:pPr>
    </w:p>
    <w:p w14:paraId="19108747" w14:textId="77777777" w:rsidR="008F2FA8" w:rsidRPr="002926D7" w:rsidRDefault="008F2FA8" w:rsidP="002926D7">
      <w:pPr>
        <w:jc w:val="left"/>
        <w:rPr>
          <w:b/>
          <w:bCs/>
        </w:rPr>
      </w:pPr>
    </w:p>
    <w:p w14:paraId="533B888D" w14:textId="77777777" w:rsidR="00B4693E" w:rsidRPr="002926D7" w:rsidRDefault="00B4693E" w:rsidP="002926D7">
      <w:pPr>
        <w:jc w:val="left"/>
        <w:rPr>
          <w:b/>
          <w:smallCaps/>
          <w:spacing w:val="-2"/>
          <w:sz w:val="28"/>
          <w:szCs w:val="20"/>
        </w:rPr>
      </w:pPr>
      <w:r w:rsidRPr="002926D7">
        <w:br w:type="page"/>
      </w:r>
    </w:p>
    <w:p w14:paraId="72C4965A" w14:textId="77777777" w:rsidR="0006795F" w:rsidRPr="002926D7" w:rsidRDefault="0006795F" w:rsidP="002926D7">
      <w:pPr>
        <w:pStyle w:val="Heading1"/>
        <w:spacing w:before="0" w:after="0"/>
        <w:jc w:val="left"/>
        <w:rPr>
          <w:rFonts w:ascii="Calibri" w:hAnsi="Calibri"/>
        </w:rPr>
        <w:sectPr w:rsidR="0006795F" w:rsidRPr="002926D7" w:rsidSect="00294901">
          <w:pgSz w:w="15840" w:h="12240" w:orient="landscape" w:code="1"/>
          <w:pgMar w:top="1152" w:right="720" w:bottom="1152" w:left="720" w:header="576" w:footer="432" w:gutter="0"/>
          <w:cols w:space="708"/>
          <w:docGrid w:linePitch="360"/>
        </w:sectPr>
      </w:pPr>
    </w:p>
    <w:p w14:paraId="33E17C61" w14:textId="0859A967" w:rsidR="003E3ABA" w:rsidRPr="002926D7" w:rsidRDefault="003E3ABA" w:rsidP="002926D7">
      <w:pPr>
        <w:pStyle w:val="Heading1"/>
        <w:spacing w:before="0" w:after="0"/>
        <w:jc w:val="left"/>
        <w:rPr>
          <w:rFonts w:ascii="Calibri" w:hAnsi="Calibri"/>
        </w:rPr>
      </w:pPr>
      <w:bookmarkStart w:id="142" w:name="_Toc151386983"/>
      <w:bookmarkStart w:id="143" w:name="_Hlk98959581"/>
      <w:bookmarkStart w:id="144" w:name="_Hlk150851335"/>
      <w:r w:rsidRPr="002926D7">
        <w:rPr>
          <w:rFonts w:ascii="Calibri" w:hAnsi="Calibri"/>
        </w:rPr>
        <w:lastRenderedPageBreak/>
        <w:t>Governance and Management Arrangements</w:t>
      </w:r>
      <w:bookmarkEnd w:id="142"/>
      <w:r w:rsidRPr="002926D7">
        <w:rPr>
          <w:rFonts w:ascii="Calibri" w:hAnsi="Calibri"/>
        </w:rPr>
        <w:t xml:space="preserve"> </w:t>
      </w:r>
    </w:p>
    <w:p w14:paraId="6C6D7239" w14:textId="77777777" w:rsidR="00A04E6F" w:rsidRPr="002926D7" w:rsidRDefault="00A04E6F" w:rsidP="002926D7">
      <w:pPr>
        <w:jc w:val="left"/>
        <w:rPr>
          <w:rFonts w:cs="Arial"/>
          <w:b/>
          <w:i/>
          <w:noProof/>
          <w:szCs w:val="20"/>
          <w:lang w:eastAsia="zh-CN"/>
        </w:rPr>
      </w:pPr>
    </w:p>
    <w:p w14:paraId="637794D9" w14:textId="773957C3" w:rsidR="001945BD" w:rsidRPr="002926D7" w:rsidRDefault="001945BD" w:rsidP="002926D7">
      <w:pPr>
        <w:rPr>
          <w:rFonts w:asciiTheme="minorHAnsi" w:hAnsiTheme="minorHAnsi" w:cstheme="minorHAnsi"/>
          <w:b/>
          <w:bCs/>
          <w:szCs w:val="20"/>
          <w:u w:val="single"/>
        </w:rPr>
      </w:pPr>
      <w:bookmarkStart w:id="145" w:name="_Hlk89352500"/>
      <w:bookmarkStart w:id="146" w:name="_Hlk35803533"/>
      <w:bookmarkStart w:id="147" w:name="_Hlk122101818"/>
      <w:bookmarkStart w:id="148" w:name="_Hlk86674994"/>
      <w:bookmarkStart w:id="149" w:name="_Hlk89352776"/>
      <w:bookmarkStart w:id="150" w:name="_Hlk67826762"/>
      <w:bookmarkStart w:id="151" w:name="_Hlk66114829"/>
      <w:bookmarkStart w:id="152" w:name="_Hlk123646928"/>
      <w:bookmarkStart w:id="153" w:name="_Hlk71020584"/>
      <w:bookmarkStart w:id="154" w:name="_Hlk70869908"/>
      <w:bookmarkStart w:id="155" w:name="_Hlk131966268"/>
      <w:r w:rsidRPr="002926D7">
        <w:rPr>
          <w:rFonts w:asciiTheme="minorHAnsi" w:hAnsiTheme="minorHAnsi" w:cstheme="minorHAnsi"/>
          <w:b/>
          <w:bCs/>
          <w:szCs w:val="20"/>
          <w:u w:val="single"/>
        </w:rPr>
        <w:t>Section 1: General roles and responsibilities in the programme’s governance mechanism</w:t>
      </w:r>
    </w:p>
    <w:p w14:paraId="7D96456F" w14:textId="77777777" w:rsidR="001945BD" w:rsidRPr="002926D7" w:rsidRDefault="001945BD" w:rsidP="002926D7">
      <w:pPr>
        <w:rPr>
          <w:rFonts w:asciiTheme="minorHAnsi" w:hAnsiTheme="minorHAnsi" w:cstheme="minorHAnsi"/>
          <w:szCs w:val="20"/>
        </w:rPr>
      </w:pPr>
    </w:p>
    <w:p w14:paraId="0D80F104" w14:textId="1CF15997" w:rsidR="00727760" w:rsidRPr="002926D7" w:rsidRDefault="001945BD" w:rsidP="002926D7">
      <w:pPr>
        <w:numPr>
          <w:ilvl w:val="0"/>
          <w:numId w:val="8"/>
        </w:numPr>
        <w:ind w:left="0" w:firstLine="0"/>
        <w:rPr>
          <w:rFonts w:asciiTheme="minorHAnsi" w:hAnsiTheme="minorHAnsi" w:cstheme="minorHAnsi"/>
          <w:iCs/>
          <w:szCs w:val="20"/>
        </w:rPr>
      </w:pPr>
      <w:bookmarkStart w:id="156" w:name="_Hlk71020514"/>
      <w:bookmarkStart w:id="157" w:name="_Hlk70869617"/>
      <w:r w:rsidRPr="002926D7">
        <w:rPr>
          <w:rFonts w:asciiTheme="minorHAnsi" w:hAnsiTheme="minorHAnsi" w:cstheme="minorHAnsi"/>
          <w:szCs w:val="20"/>
          <w:u w:val="single"/>
          <w:lang w:eastAsia="zh-CN"/>
        </w:rPr>
        <w:t>Implementing Partner</w:t>
      </w:r>
      <w:r w:rsidRPr="002926D7">
        <w:rPr>
          <w:rFonts w:asciiTheme="minorHAnsi" w:hAnsiTheme="minorHAnsi" w:cstheme="minorHAnsi"/>
          <w:szCs w:val="20"/>
          <w:lang w:eastAsia="zh-CN"/>
        </w:rPr>
        <w:t xml:space="preserve">: </w:t>
      </w:r>
      <w:bookmarkStart w:id="158" w:name="_Hlk42346706"/>
      <w:bookmarkStart w:id="159" w:name="_Hlk168064145"/>
      <w:bookmarkStart w:id="160" w:name="_Hlk101796608"/>
      <w:r w:rsidRPr="002926D7">
        <w:rPr>
          <w:rFonts w:asciiTheme="minorHAnsi" w:hAnsiTheme="minorHAnsi" w:cstheme="minorHAnsi"/>
          <w:szCs w:val="20"/>
          <w:lang w:eastAsia="zh-CN"/>
        </w:rPr>
        <w:t>The Implementing Partner for OP8</w:t>
      </w:r>
      <w:r w:rsidR="00A7581C" w:rsidRPr="002926D7">
        <w:rPr>
          <w:rFonts w:asciiTheme="minorHAnsi" w:hAnsiTheme="minorHAnsi" w:cstheme="minorHAnsi"/>
          <w:szCs w:val="20"/>
          <w:lang w:eastAsia="zh-CN"/>
        </w:rPr>
        <w:t>-Part 1 (Tranche 1)</w:t>
      </w:r>
      <w:r w:rsidRPr="002926D7">
        <w:rPr>
          <w:rFonts w:asciiTheme="minorHAnsi" w:hAnsiTheme="minorHAnsi" w:cstheme="minorHAnsi"/>
          <w:szCs w:val="20"/>
          <w:lang w:eastAsia="zh-CN"/>
        </w:rPr>
        <w:t xml:space="preserve"> is </w:t>
      </w:r>
      <w:bookmarkEnd w:id="158"/>
      <w:r w:rsidRPr="002926D7">
        <w:rPr>
          <w:rFonts w:asciiTheme="minorHAnsi" w:hAnsiTheme="minorHAnsi" w:cstheme="minorHAnsi"/>
          <w:szCs w:val="20"/>
        </w:rPr>
        <w:t>UNDP BPPS Nature Hub</w:t>
      </w:r>
      <w:r w:rsidR="00C26726" w:rsidRPr="002926D7">
        <w:rPr>
          <w:rFonts w:asciiTheme="minorHAnsi" w:hAnsiTheme="minorHAnsi" w:cstheme="minorHAnsi"/>
          <w:szCs w:val="20"/>
        </w:rPr>
        <w:t xml:space="preserve"> under the</w:t>
      </w:r>
      <w:r w:rsidR="00FD07B6" w:rsidRPr="002926D7">
        <w:rPr>
          <w:rFonts w:asciiTheme="minorHAnsi" w:eastAsia="Calibri" w:hAnsiTheme="minorHAnsi" w:cstheme="minorBidi"/>
          <w:szCs w:val="20"/>
        </w:rPr>
        <w:t xml:space="preserve"> Direct Implementation Modality (DIM)</w:t>
      </w:r>
      <w:bookmarkEnd w:id="159"/>
      <w:r w:rsidR="00FD07B6" w:rsidRPr="002926D7">
        <w:rPr>
          <w:rFonts w:asciiTheme="minorHAnsi" w:eastAsia="Calibri" w:hAnsiTheme="minorHAnsi" w:cstheme="minorBidi"/>
          <w:szCs w:val="20"/>
        </w:rPr>
        <w:t xml:space="preserve">. </w:t>
      </w:r>
    </w:p>
    <w:p w14:paraId="6242AF56" w14:textId="77777777" w:rsidR="001945BD" w:rsidRPr="002926D7" w:rsidRDefault="001945BD" w:rsidP="002926D7">
      <w:pPr>
        <w:rPr>
          <w:rFonts w:asciiTheme="minorHAnsi" w:hAnsiTheme="minorHAnsi" w:cstheme="minorHAnsi"/>
          <w:iCs/>
          <w:szCs w:val="20"/>
        </w:rPr>
      </w:pPr>
    </w:p>
    <w:p w14:paraId="334D66C9" w14:textId="1A3686A4" w:rsidR="001945BD" w:rsidRPr="002926D7" w:rsidRDefault="001945BD" w:rsidP="002926D7">
      <w:pPr>
        <w:numPr>
          <w:ilvl w:val="0"/>
          <w:numId w:val="8"/>
        </w:numPr>
        <w:ind w:left="0" w:firstLine="0"/>
        <w:rPr>
          <w:rFonts w:asciiTheme="minorHAnsi" w:hAnsiTheme="minorHAnsi" w:cstheme="minorHAnsi"/>
          <w:iCs/>
          <w:szCs w:val="20"/>
        </w:rPr>
      </w:pPr>
      <w:bookmarkStart w:id="161" w:name="_Hlk42346731"/>
      <w:r w:rsidRPr="002926D7">
        <w:rPr>
          <w:rFonts w:asciiTheme="minorHAnsi" w:hAnsiTheme="minorHAnsi" w:cstheme="minorHAnsi"/>
          <w:szCs w:val="20"/>
          <w:lang w:eastAsia="zh-CN"/>
        </w:rPr>
        <w:t xml:space="preserve">The Implementing Partner is the entity to which the UNDP Administrator has entrusted the implementation of UNDP assistance specified in this signed </w:t>
      </w:r>
      <w:r w:rsidR="00EF7B09" w:rsidRPr="002926D7">
        <w:rPr>
          <w:rFonts w:asciiTheme="minorHAnsi" w:hAnsiTheme="minorHAnsi" w:cstheme="minorHAnsi"/>
          <w:szCs w:val="20"/>
          <w:lang w:eastAsia="zh-CN"/>
        </w:rPr>
        <w:t>P</w:t>
      </w:r>
      <w:r w:rsidRPr="002926D7">
        <w:rPr>
          <w:rFonts w:asciiTheme="minorHAnsi" w:hAnsiTheme="minorHAnsi" w:cstheme="minorHAnsi"/>
          <w:szCs w:val="20"/>
          <w:lang w:eastAsia="zh-CN"/>
        </w:rPr>
        <w:t xml:space="preserve">roject </w:t>
      </w:r>
      <w:r w:rsidR="00EF7B09" w:rsidRPr="002926D7">
        <w:rPr>
          <w:rFonts w:asciiTheme="minorHAnsi" w:hAnsiTheme="minorHAnsi" w:cstheme="minorHAnsi"/>
          <w:szCs w:val="20"/>
          <w:lang w:eastAsia="zh-CN"/>
        </w:rPr>
        <w:t>D</w:t>
      </w:r>
      <w:r w:rsidRPr="002926D7">
        <w:rPr>
          <w:rFonts w:asciiTheme="minorHAnsi" w:hAnsiTheme="minorHAnsi" w:cstheme="minorHAnsi"/>
          <w:szCs w:val="20"/>
          <w:lang w:eastAsia="zh-CN"/>
        </w:rPr>
        <w:t>ocument along with the assumption of full responsibility and accountability for the effective use of GEF resources and the delivery of outputs, as set forth in this document</w:t>
      </w:r>
      <w:bookmarkEnd w:id="161"/>
      <w:r w:rsidRPr="002926D7">
        <w:rPr>
          <w:rFonts w:asciiTheme="minorHAnsi" w:hAnsiTheme="minorHAnsi" w:cstheme="minorHAnsi"/>
          <w:szCs w:val="20"/>
          <w:lang w:eastAsia="zh-CN"/>
        </w:rPr>
        <w:t>.</w:t>
      </w:r>
    </w:p>
    <w:bookmarkEnd w:id="145"/>
    <w:bookmarkEnd w:id="160"/>
    <w:p w14:paraId="3B6D001E" w14:textId="77777777" w:rsidR="001945BD" w:rsidRPr="002926D7" w:rsidRDefault="001945BD" w:rsidP="002926D7">
      <w:pPr>
        <w:rPr>
          <w:rFonts w:asciiTheme="minorHAnsi" w:hAnsiTheme="minorHAnsi" w:cstheme="minorHAnsi"/>
          <w:szCs w:val="20"/>
          <w:lang w:eastAsia="zh-CN"/>
        </w:rPr>
      </w:pPr>
    </w:p>
    <w:p w14:paraId="5FAA433B" w14:textId="0970DC4C" w:rsidR="001945BD" w:rsidRPr="002926D7" w:rsidRDefault="001945BD" w:rsidP="002926D7">
      <w:pPr>
        <w:numPr>
          <w:ilvl w:val="0"/>
          <w:numId w:val="8"/>
        </w:numPr>
        <w:ind w:left="0" w:firstLine="0"/>
        <w:rPr>
          <w:rFonts w:asciiTheme="minorHAnsi" w:hAnsiTheme="minorHAnsi" w:cstheme="minorHAnsi"/>
          <w:iCs/>
          <w:szCs w:val="20"/>
        </w:rPr>
      </w:pPr>
      <w:bookmarkStart w:id="162" w:name="_Hlk42346743"/>
      <w:bookmarkStart w:id="163" w:name="_Hlk89352604"/>
      <w:r w:rsidRPr="002926D7">
        <w:rPr>
          <w:rFonts w:asciiTheme="minorHAnsi" w:hAnsiTheme="minorHAnsi" w:cstheme="minorHAnsi"/>
          <w:szCs w:val="20"/>
          <w:lang w:eastAsia="zh-CN"/>
        </w:rPr>
        <w:t>The Implementing Partner is responsible for executing this programme. Specific tasks include</w:t>
      </w:r>
      <w:bookmarkEnd w:id="162"/>
      <w:r w:rsidRPr="002926D7">
        <w:rPr>
          <w:rFonts w:asciiTheme="minorHAnsi" w:hAnsiTheme="minorHAnsi" w:cstheme="minorHAnsi"/>
          <w:szCs w:val="20"/>
          <w:lang w:eastAsia="zh-CN"/>
        </w:rPr>
        <w:t>:</w:t>
      </w:r>
    </w:p>
    <w:p w14:paraId="78C8D9E1" w14:textId="77777777" w:rsidR="000C0CFA" w:rsidRPr="002926D7" w:rsidRDefault="000C0CFA" w:rsidP="002926D7">
      <w:pPr>
        <w:pStyle w:val="ListParagraph"/>
        <w:rPr>
          <w:rFonts w:asciiTheme="minorHAnsi" w:hAnsiTheme="minorHAnsi" w:cstheme="minorHAnsi"/>
          <w:szCs w:val="20"/>
        </w:rPr>
      </w:pPr>
    </w:p>
    <w:p w14:paraId="21E22173" w14:textId="00EB25EE" w:rsidR="001945BD" w:rsidRPr="002926D7" w:rsidRDefault="001945BD" w:rsidP="002926D7">
      <w:pPr>
        <w:numPr>
          <w:ilvl w:val="0"/>
          <w:numId w:val="7"/>
        </w:numPr>
        <w:spacing w:before="60"/>
        <w:jc w:val="left"/>
        <w:rPr>
          <w:rFonts w:asciiTheme="minorHAnsi" w:hAnsiTheme="minorHAnsi" w:cstheme="minorHAnsi"/>
          <w:szCs w:val="20"/>
        </w:rPr>
      </w:pPr>
      <w:r w:rsidRPr="002926D7">
        <w:rPr>
          <w:rFonts w:asciiTheme="minorHAnsi" w:hAnsiTheme="minorHAnsi" w:cstheme="minorHAnsi"/>
          <w:szCs w:val="20"/>
        </w:rPr>
        <w:t xml:space="preserve">Programme planning, coordination, management, monitoring, evaluation and reporting.  This includes providing all required information and data necessary for timely, comprehensive and evidence-based project reporting, including results and financial data, as necessary. The Implementing Partner will strive to ensure programme-level M&amp;E is undertaken by qualified service providers. </w:t>
      </w:r>
    </w:p>
    <w:p w14:paraId="7B2A0BA5" w14:textId="143D247F" w:rsidR="001945BD" w:rsidRPr="002926D7" w:rsidRDefault="001945BD" w:rsidP="002926D7">
      <w:pPr>
        <w:numPr>
          <w:ilvl w:val="0"/>
          <w:numId w:val="7"/>
        </w:numPr>
        <w:spacing w:before="60"/>
        <w:rPr>
          <w:rFonts w:asciiTheme="minorHAnsi" w:hAnsiTheme="minorHAnsi" w:cstheme="minorHAnsi"/>
          <w:szCs w:val="20"/>
        </w:rPr>
      </w:pPr>
      <w:r w:rsidRPr="002926D7">
        <w:rPr>
          <w:rFonts w:asciiTheme="minorHAnsi" w:hAnsiTheme="minorHAnsi" w:cstheme="minorHAnsi"/>
          <w:szCs w:val="20"/>
        </w:rPr>
        <w:t xml:space="preserve">Overseeing the management of programme risks as included in this project document and new risks that may emerge during programme implementation. </w:t>
      </w:r>
    </w:p>
    <w:p w14:paraId="170DB51A" w14:textId="77777777" w:rsidR="001945BD" w:rsidRPr="002926D7" w:rsidRDefault="001945BD" w:rsidP="002926D7">
      <w:pPr>
        <w:numPr>
          <w:ilvl w:val="0"/>
          <w:numId w:val="7"/>
        </w:numPr>
        <w:spacing w:before="60"/>
        <w:rPr>
          <w:rFonts w:asciiTheme="minorHAnsi" w:hAnsiTheme="minorHAnsi" w:cstheme="minorHAnsi"/>
          <w:szCs w:val="20"/>
        </w:rPr>
      </w:pPr>
      <w:r w:rsidRPr="002926D7">
        <w:rPr>
          <w:rFonts w:asciiTheme="minorHAnsi" w:hAnsiTheme="minorHAnsi" w:cstheme="minorHAnsi"/>
          <w:szCs w:val="20"/>
        </w:rPr>
        <w:t>Procurement of goods and services, including human resources.</w:t>
      </w:r>
    </w:p>
    <w:p w14:paraId="03E9592D" w14:textId="08ADE499" w:rsidR="001945BD" w:rsidRPr="002926D7" w:rsidRDefault="001945BD" w:rsidP="002926D7">
      <w:pPr>
        <w:numPr>
          <w:ilvl w:val="0"/>
          <w:numId w:val="7"/>
        </w:numPr>
        <w:spacing w:before="60"/>
        <w:rPr>
          <w:rFonts w:asciiTheme="minorHAnsi" w:hAnsiTheme="minorHAnsi" w:cstheme="minorHAnsi"/>
          <w:szCs w:val="20"/>
        </w:rPr>
      </w:pPr>
      <w:r w:rsidRPr="002926D7">
        <w:rPr>
          <w:rFonts w:asciiTheme="minorHAnsi" w:hAnsiTheme="minorHAnsi" w:cstheme="minorHAnsi"/>
          <w:szCs w:val="20"/>
        </w:rPr>
        <w:t>Financial management, including overseeing financial expenditures against programme budgets.</w:t>
      </w:r>
    </w:p>
    <w:p w14:paraId="2A0EC5B3" w14:textId="77777777" w:rsidR="001945BD" w:rsidRPr="002926D7" w:rsidRDefault="001945BD" w:rsidP="002926D7">
      <w:pPr>
        <w:numPr>
          <w:ilvl w:val="0"/>
          <w:numId w:val="7"/>
        </w:numPr>
        <w:spacing w:before="60"/>
        <w:rPr>
          <w:rFonts w:asciiTheme="minorHAnsi" w:hAnsiTheme="minorHAnsi" w:cstheme="minorHAnsi"/>
          <w:szCs w:val="20"/>
        </w:rPr>
      </w:pPr>
      <w:r w:rsidRPr="002926D7">
        <w:rPr>
          <w:rFonts w:asciiTheme="minorHAnsi" w:hAnsiTheme="minorHAnsi" w:cstheme="minorHAnsi"/>
          <w:szCs w:val="20"/>
        </w:rPr>
        <w:t>Approving and signing the multiyear workplan.</w:t>
      </w:r>
    </w:p>
    <w:p w14:paraId="13C34044" w14:textId="77777777" w:rsidR="001945BD" w:rsidRPr="002926D7" w:rsidRDefault="001945BD" w:rsidP="002926D7">
      <w:pPr>
        <w:numPr>
          <w:ilvl w:val="0"/>
          <w:numId w:val="7"/>
        </w:numPr>
        <w:spacing w:before="60"/>
        <w:rPr>
          <w:rFonts w:asciiTheme="minorHAnsi" w:hAnsiTheme="minorHAnsi" w:cstheme="minorHAnsi"/>
          <w:szCs w:val="20"/>
        </w:rPr>
      </w:pPr>
      <w:r w:rsidRPr="002926D7">
        <w:rPr>
          <w:rFonts w:asciiTheme="minorHAnsi" w:hAnsiTheme="minorHAnsi" w:cstheme="minorHAnsi"/>
          <w:szCs w:val="20"/>
        </w:rPr>
        <w:t>Approving and signing the combined delivery report at the end of the year; and,</w:t>
      </w:r>
    </w:p>
    <w:p w14:paraId="44853B2F" w14:textId="77777777" w:rsidR="001945BD" w:rsidRPr="002926D7" w:rsidRDefault="001945BD" w:rsidP="002926D7">
      <w:pPr>
        <w:pStyle w:val="ListParagraph"/>
        <w:numPr>
          <w:ilvl w:val="0"/>
          <w:numId w:val="7"/>
        </w:numPr>
        <w:spacing w:before="60"/>
        <w:rPr>
          <w:rFonts w:asciiTheme="minorHAnsi" w:hAnsiTheme="minorHAnsi" w:cstheme="minorHAnsi"/>
          <w:szCs w:val="20"/>
        </w:rPr>
      </w:pPr>
      <w:r w:rsidRPr="002926D7">
        <w:rPr>
          <w:rFonts w:asciiTheme="minorHAnsi" w:hAnsiTheme="minorHAnsi" w:cstheme="minorHAnsi"/>
          <w:szCs w:val="20"/>
        </w:rPr>
        <w:t>Signing the financial report or the funding authorization and certificate of expenditures.</w:t>
      </w:r>
    </w:p>
    <w:p w14:paraId="463C42AE" w14:textId="77777777" w:rsidR="001945BD" w:rsidRPr="002926D7" w:rsidRDefault="001945BD" w:rsidP="002926D7">
      <w:pPr>
        <w:jc w:val="left"/>
        <w:rPr>
          <w:rFonts w:asciiTheme="minorHAnsi" w:hAnsiTheme="minorHAnsi" w:cstheme="minorHAnsi"/>
          <w:noProof/>
          <w:szCs w:val="20"/>
          <w:lang w:eastAsia="zh-CN"/>
        </w:rPr>
      </w:pPr>
    </w:p>
    <w:p w14:paraId="6AC82B77" w14:textId="19FF6D59" w:rsidR="00EF7B09" w:rsidRPr="002926D7" w:rsidRDefault="00EF7B09" w:rsidP="002926D7">
      <w:pPr>
        <w:numPr>
          <w:ilvl w:val="0"/>
          <w:numId w:val="8"/>
        </w:numPr>
        <w:ind w:left="0" w:firstLine="0"/>
        <w:rPr>
          <w:rFonts w:asciiTheme="minorHAnsi" w:hAnsiTheme="minorHAnsi" w:cstheme="minorHAnsi"/>
          <w:iCs/>
          <w:szCs w:val="20"/>
        </w:rPr>
      </w:pPr>
      <w:r w:rsidRPr="002926D7">
        <w:rPr>
          <w:rFonts w:asciiTheme="minorHAnsi" w:hAnsiTheme="minorHAnsi" w:cstheme="minorHAnsi"/>
          <w:szCs w:val="22"/>
        </w:rPr>
        <w:t>In line with SGP 2.0 Implementation Arrangements</w:t>
      </w:r>
      <w:r w:rsidR="008773FE" w:rsidRPr="002926D7">
        <w:rPr>
          <w:rStyle w:val="FootnoteReference"/>
          <w:szCs w:val="22"/>
        </w:rPr>
        <w:footnoteReference w:id="13"/>
      </w:r>
      <w:r w:rsidRPr="002926D7">
        <w:rPr>
          <w:rFonts w:asciiTheme="minorHAnsi" w:hAnsiTheme="minorHAnsi" w:cstheme="minorHAnsi"/>
          <w:szCs w:val="22"/>
        </w:rPr>
        <w:t>, UNDP “will develop execution arrangements most appropriate to the country context.” The option of UNDP itself directly funding grantees in some countries is based on UNDP’s established policies (e.g., Low Value Grant Policy) and procedures, while further replicating successful NGO execution arrangements experienced in other countries, depending on the volume of funding and capacity.</w:t>
      </w:r>
    </w:p>
    <w:p w14:paraId="0C251968" w14:textId="77777777" w:rsidR="00C26726" w:rsidRPr="002926D7" w:rsidRDefault="00C26726" w:rsidP="002926D7">
      <w:pPr>
        <w:rPr>
          <w:rFonts w:asciiTheme="minorHAnsi" w:hAnsiTheme="minorHAnsi" w:cstheme="minorHAnsi"/>
          <w:iCs/>
          <w:szCs w:val="20"/>
        </w:rPr>
      </w:pPr>
    </w:p>
    <w:p w14:paraId="49C62D9E" w14:textId="54544BB6" w:rsidR="00C26726" w:rsidRPr="002926D7" w:rsidRDefault="00C26726" w:rsidP="002926D7">
      <w:pPr>
        <w:numPr>
          <w:ilvl w:val="0"/>
          <w:numId w:val="8"/>
        </w:numPr>
        <w:ind w:left="0" w:firstLine="0"/>
        <w:rPr>
          <w:rFonts w:asciiTheme="minorHAnsi" w:hAnsiTheme="minorHAnsi" w:cstheme="minorHAnsi"/>
          <w:iCs/>
          <w:szCs w:val="20"/>
        </w:rPr>
      </w:pPr>
      <w:bookmarkStart w:id="164" w:name="_Hlk168064167"/>
      <w:r w:rsidRPr="002926D7">
        <w:rPr>
          <w:rFonts w:asciiTheme="minorHAnsi" w:eastAsia="Calibri" w:hAnsiTheme="minorHAnsi" w:cstheme="minorBidi"/>
          <w:szCs w:val="20"/>
        </w:rPr>
        <w:t>Adopting the DIM execution modality for SGP offers several advantages. Leveraging UNDP’s existing structure and administrative, financial, and monitoring systems will enhance clarity and integration of SGP activities at the country level, including better integration into UNDP’s strategic programming, enhanced reporting and resource mobilization capabilities, and the potential to leverage SGP’s experience for additional support to locally led action for the global environment</w:t>
      </w:r>
      <w:bookmarkEnd w:id="164"/>
      <w:r w:rsidRPr="002926D7">
        <w:rPr>
          <w:rFonts w:asciiTheme="minorHAnsi" w:eastAsia="Calibri" w:hAnsiTheme="minorHAnsi" w:cstheme="minorBidi"/>
          <w:szCs w:val="20"/>
        </w:rPr>
        <w:t>.</w:t>
      </w:r>
    </w:p>
    <w:p w14:paraId="622DCCE2" w14:textId="77777777" w:rsidR="00EF7B09" w:rsidRPr="002926D7" w:rsidRDefault="00EF7B09" w:rsidP="002926D7">
      <w:pPr>
        <w:rPr>
          <w:rFonts w:asciiTheme="minorHAnsi" w:hAnsiTheme="minorHAnsi" w:cstheme="minorHAnsi"/>
          <w:iCs/>
          <w:szCs w:val="20"/>
        </w:rPr>
      </w:pPr>
    </w:p>
    <w:p w14:paraId="0751BD21" w14:textId="6792B73C" w:rsidR="00096D2A" w:rsidRPr="002926D7" w:rsidRDefault="001945BD" w:rsidP="002926D7">
      <w:pPr>
        <w:numPr>
          <w:ilvl w:val="0"/>
          <w:numId w:val="8"/>
        </w:numPr>
        <w:ind w:left="0" w:firstLine="0"/>
        <w:rPr>
          <w:rFonts w:asciiTheme="minorHAnsi" w:hAnsiTheme="minorHAnsi" w:cstheme="minorHAnsi"/>
          <w:iCs/>
          <w:szCs w:val="20"/>
        </w:rPr>
      </w:pPr>
      <w:r w:rsidRPr="002926D7">
        <w:rPr>
          <w:rFonts w:asciiTheme="minorHAnsi" w:hAnsiTheme="minorHAnsi" w:cstheme="minorHAnsi"/>
          <w:b/>
          <w:bCs/>
          <w:iCs/>
          <w:szCs w:val="20"/>
          <w:u w:val="single"/>
        </w:rPr>
        <w:t>Responsible Parties</w:t>
      </w:r>
      <w:r w:rsidRPr="002926D7">
        <w:rPr>
          <w:rFonts w:asciiTheme="minorHAnsi" w:hAnsiTheme="minorHAnsi" w:cstheme="minorHAnsi"/>
          <w:iCs/>
          <w:szCs w:val="20"/>
        </w:rPr>
        <w:t xml:space="preserve">: </w:t>
      </w:r>
      <w:bookmarkStart w:id="165" w:name="_Hlk155796826"/>
      <w:r w:rsidR="00402EF3" w:rsidRPr="002926D7">
        <w:rPr>
          <w:rFonts w:asciiTheme="minorHAnsi" w:hAnsiTheme="minorHAnsi" w:cstheme="minorHAnsi"/>
          <w:szCs w:val="22"/>
        </w:rPr>
        <w:t>Responsible Parties (Agencies, NGOs) will be identified during project implementation to ensure seamless transition from OP7 to OP8 SGP operation</w:t>
      </w:r>
      <w:r w:rsidR="00D400E9" w:rsidRPr="002926D7">
        <w:rPr>
          <w:rFonts w:asciiTheme="minorHAnsi" w:hAnsiTheme="minorHAnsi" w:cstheme="minorHAnsi"/>
          <w:szCs w:val="22"/>
        </w:rPr>
        <w:t>, including a</w:t>
      </w:r>
      <w:r w:rsidR="00EF7B09" w:rsidRPr="002926D7">
        <w:rPr>
          <w:rFonts w:asciiTheme="minorHAnsi" w:hAnsiTheme="minorHAnsi" w:cstheme="minorHAnsi"/>
          <w:szCs w:val="22"/>
        </w:rPr>
        <w:t xml:space="preserve"> number of NGOs in selected countries</w:t>
      </w:r>
      <w:r w:rsidR="00D400E9" w:rsidRPr="002926D7">
        <w:rPr>
          <w:rFonts w:asciiTheme="minorHAnsi" w:hAnsiTheme="minorHAnsi" w:cstheme="minorHAnsi"/>
          <w:szCs w:val="22"/>
        </w:rPr>
        <w:t xml:space="preserve">, </w:t>
      </w:r>
      <w:r w:rsidR="00EF7B09" w:rsidRPr="002926D7">
        <w:rPr>
          <w:rFonts w:asciiTheme="minorHAnsi" w:hAnsiTheme="minorHAnsi" w:cstheme="minorHAnsi"/>
          <w:szCs w:val="22"/>
        </w:rPr>
        <w:t>for example, in Brazil, India, and the Philippines, and potentially other countries where the NGO execution modality will continue to be utilized</w:t>
      </w:r>
      <w:r w:rsidR="00EF7B09" w:rsidRPr="002926D7">
        <w:rPr>
          <w:rFonts w:asciiTheme="minorHAnsi" w:hAnsiTheme="minorHAnsi" w:cstheme="minorHAnsi"/>
          <w:iCs/>
          <w:szCs w:val="22"/>
        </w:rPr>
        <w:t>.</w:t>
      </w:r>
      <w:r w:rsidR="00EF7B09" w:rsidRPr="002926D7">
        <w:rPr>
          <w:rFonts w:asciiTheme="minorHAnsi" w:hAnsiTheme="minorHAnsi" w:cstheme="minorHAnsi"/>
          <w:szCs w:val="22"/>
        </w:rPr>
        <w:t xml:space="preserve"> This is in line with the experience gained from a number of Upgraded Country Programmes (GEF-6 and GEF-7) and also with the SGP 2.0 Implementation Arrangements, which encourage Implementing Agencies to work with local executing entities</w:t>
      </w:r>
      <w:r w:rsidR="00153135" w:rsidRPr="002926D7">
        <w:rPr>
          <w:rFonts w:asciiTheme="minorHAnsi" w:hAnsiTheme="minorHAnsi" w:cstheme="minorHAnsi"/>
          <w:szCs w:val="20"/>
        </w:rPr>
        <w:t>.</w:t>
      </w:r>
    </w:p>
    <w:p w14:paraId="50ACC6EB" w14:textId="77777777" w:rsidR="00096D2A" w:rsidRPr="002926D7" w:rsidRDefault="00096D2A" w:rsidP="002926D7">
      <w:pPr>
        <w:pStyle w:val="ListParagraph"/>
        <w:rPr>
          <w:rFonts w:asciiTheme="minorHAnsi" w:hAnsiTheme="minorHAnsi" w:cstheme="minorHAnsi"/>
          <w:iCs/>
          <w:szCs w:val="20"/>
        </w:rPr>
      </w:pPr>
    </w:p>
    <w:p w14:paraId="5B8970DD" w14:textId="09BC2724" w:rsidR="00096D2A" w:rsidRPr="002926D7" w:rsidRDefault="00FD07B6" w:rsidP="002926D7">
      <w:pPr>
        <w:numPr>
          <w:ilvl w:val="0"/>
          <w:numId w:val="8"/>
        </w:numPr>
        <w:ind w:left="0" w:firstLine="0"/>
        <w:rPr>
          <w:rFonts w:asciiTheme="minorHAnsi" w:hAnsiTheme="minorHAnsi" w:cstheme="minorHAnsi"/>
          <w:iCs/>
          <w:szCs w:val="20"/>
        </w:rPr>
      </w:pPr>
      <w:bookmarkStart w:id="166" w:name="_Hlk168064207"/>
      <w:r w:rsidRPr="002926D7">
        <w:rPr>
          <w:rFonts w:asciiTheme="minorHAnsi" w:hAnsiTheme="minorHAnsi" w:cstheme="minorHAnsi"/>
          <w:iCs/>
          <w:szCs w:val="20"/>
        </w:rPr>
        <w:t>Based on country level discussions and assessments of capacities, the most appropriate execution modality is determined for each country and UNDP will either: (i) plan to directly fund grantees in line with its established Low Value Grants Policy, which permits direct funding to grantees, or (ii) will do so indirectly, via “on-granting”, i.e., an arrangement where UNDP provides funds to another “grant-making institution” which will operate as executing entity in the country concerned</w:t>
      </w:r>
      <w:r w:rsidR="00096D2A" w:rsidRPr="002926D7">
        <w:rPr>
          <w:rFonts w:asciiTheme="minorHAnsi" w:hAnsiTheme="minorHAnsi" w:cstheme="minorHAnsi"/>
          <w:iCs/>
          <w:szCs w:val="20"/>
        </w:rPr>
        <w:t>.</w:t>
      </w:r>
    </w:p>
    <w:p w14:paraId="65D15DD3" w14:textId="77777777" w:rsidR="00096D2A" w:rsidRPr="002926D7" w:rsidRDefault="00096D2A" w:rsidP="002926D7">
      <w:pPr>
        <w:pStyle w:val="ListParagraph"/>
        <w:rPr>
          <w:rFonts w:asciiTheme="minorHAnsi" w:hAnsiTheme="minorHAnsi" w:cstheme="minorHAnsi"/>
          <w:szCs w:val="20"/>
        </w:rPr>
      </w:pPr>
    </w:p>
    <w:p w14:paraId="538218A4" w14:textId="4714A5E6" w:rsidR="00153135" w:rsidRPr="002926D7" w:rsidRDefault="00E939E7" w:rsidP="002926D7">
      <w:pPr>
        <w:numPr>
          <w:ilvl w:val="0"/>
          <w:numId w:val="8"/>
        </w:numPr>
        <w:ind w:left="0" w:firstLine="0"/>
        <w:rPr>
          <w:rFonts w:asciiTheme="minorHAnsi" w:hAnsiTheme="minorHAnsi" w:cstheme="minorHAnsi"/>
          <w:iCs/>
          <w:szCs w:val="20"/>
        </w:rPr>
      </w:pPr>
      <w:r w:rsidRPr="002926D7">
        <w:rPr>
          <w:rFonts w:asciiTheme="minorHAnsi" w:hAnsiTheme="minorHAnsi" w:cstheme="minorHAnsi"/>
          <w:szCs w:val="20"/>
        </w:rPr>
        <w:t xml:space="preserve"> </w:t>
      </w:r>
      <w:bookmarkStart w:id="167" w:name="_Hlk166780314"/>
      <w:r w:rsidRPr="002926D7">
        <w:rPr>
          <w:color w:val="212529"/>
        </w:rPr>
        <w:t>Building</w:t>
      </w:r>
      <w:r w:rsidRPr="002926D7">
        <w:rPr>
          <w:color w:val="212529"/>
          <w:spacing w:val="-2"/>
        </w:rPr>
        <w:t xml:space="preserve"> </w:t>
      </w:r>
      <w:r w:rsidRPr="002926D7">
        <w:rPr>
          <w:color w:val="212529"/>
        </w:rPr>
        <w:t>on</w:t>
      </w:r>
      <w:r w:rsidRPr="002926D7">
        <w:rPr>
          <w:color w:val="212529"/>
          <w:spacing w:val="-2"/>
        </w:rPr>
        <w:t xml:space="preserve"> </w:t>
      </w:r>
      <w:r w:rsidRPr="002926D7">
        <w:rPr>
          <w:color w:val="212529"/>
        </w:rPr>
        <w:t>more</w:t>
      </w:r>
      <w:r w:rsidRPr="002926D7">
        <w:rPr>
          <w:color w:val="212529"/>
          <w:spacing w:val="-2"/>
        </w:rPr>
        <w:t xml:space="preserve"> </w:t>
      </w:r>
      <w:r w:rsidRPr="002926D7">
        <w:rPr>
          <w:color w:val="212529"/>
        </w:rPr>
        <w:t>than</w:t>
      </w:r>
      <w:r w:rsidRPr="002926D7">
        <w:rPr>
          <w:color w:val="212529"/>
          <w:spacing w:val="-2"/>
        </w:rPr>
        <w:t xml:space="preserve"> </w:t>
      </w:r>
      <w:r w:rsidRPr="002926D7">
        <w:rPr>
          <w:color w:val="212529"/>
        </w:rPr>
        <w:t>30</w:t>
      </w:r>
      <w:r w:rsidRPr="002926D7">
        <w:rPr>
          <w:color w:val="212529"/>
          <w:spacing w:val="-2"/>
        </w:rPr>
        <w:t xml:space="preserve"> </w:t>
      </w:r>
      <w:r w:rsidRPr="002926D7">
        <w:rPr>
          <w:color w:val="212529"/>
        </w:rPr>
        <w:t>years</w:t>
      </w:r>
      <w:r w:rsidRPr="002926D7">
        <w:rPr>
          <w:color w:val="212529"/>
          <w:spacing w:val="-3"/>
        </w:rPr>
        <w:t xml:space="preserve"> </w:t>
      </w:r>
      <w:r w:rsidRPr="002926D7">
        <w:rPr>
          <w:color w:val="212529"/>
        </w:rPr>
        <w:t xml:space="preserve">of </w:t>
      </w:r>
      <w:r w:rsidRPr="002926D7">
        <w:rPr>
          <w:color w:val="212529"/>
          <w:spacing w:val="-2"/>
        </w:rPr>
        <w:t>successfully</w:t>
      </w:r>
      <w:r w:rsidRPr="002926D7">
        <w:rPr>
          <w:color w:val="212529"/>
          <w:spacing w:val="-6"/>
        </w:rPr>
        <w:t xml:space="preserve"> </w:t>
      </w:r>
      <w:r w:rsidRPr="002926D7">
        <w:rPr>
          <w:color w:val="212529"/>
          <w:spacing w:val="-2"/>
        </w:rPr>
        <w:t>supporting</w:t>
      </w:r>
      <w:r w:rsidRPr="002926D7">
        <w:rPr>
          <w:color w:val="212529"/>
          <w:spacing w:val="-7"/>
        </w:rPr>
        <w:t xml:space="preserve"> </w:t>
      </w:r>
      <w:r w:rsidRPr="002926D7">
        <w:rPr>
          <w:color w:val="212529"/>
          <w:spacing w:val="-2"/>
        </w:rPr>
        <w:t>locally</w:t>
      </w:r>
      <w:r w:rsidRPr="002926D7">
        <w:rPr>
          <w:color w:val="212529"/>
          <w:spacing w:val="-6"/>
        </w:rPr>
        <w:t xml:space="preserve"> </w:t>
      </w:r>
      <w:r w:rsidRPr="002926D7">
        <w:rPr>
          <w:color w:val="212529"/>
          <w:spacing w:val="-2"/>
        </w:rPr>
        <w:t>led</w:t>
      </w:r>
      <w:r w:rsidRPr="002926D7">
        <w:rPr>
          <w:color w:val="212529"/>
          <w:spacing w:val="-6"/>
        </w:rPr>
        <w:t xml:space="preserve"> </w:t>
      </w:r>
      <w:r w:rsidRPr="002926D7">
        <w:rPr>
          <w:color w:val="212529"/>
          <w:spacing w:val="-2"/>
        </w:rPr>
        <w:t>sustainable</w:t>
      </w:r>
      <w:r w:rsidRPr="002926D7">
        <w:rPr>
          <w:color w:val="212529"/>
          <w:spacing w:val="-6"/>
        </w:rPr>
        <w:t xml:space="preserve"> </w:t>
      </w:r>
      <w:r w:rsidRPr="002926D7">
        <w:rPr>
          <w:color w:val="212529"/>
          <w:spacing w:val="-2"/>
        </w:rPr>
        <w:t>development,</w:t>
      </w:r>
      <w:r w:rsidRPr="002926D7">
        <w:rPr>
          <w:color w:val="212529"/>
          <w:spacing w:val="-6"/>
        </w:rPr>
        <w:t xml:space="preserve"> </w:t>
      </w:r>
      <w:r w:rsidRPr="002926D7">
        <w:rPr>
          <w:color w:val="212529"/>
          <w:spacing w:val="-2"/>
        </w:rPr>
        <w:t>UNDP</w:t>
      </w:r>
      <w:r w:rsidRPr="002926D7">
        <w:rPr>
          <w:color w:val="212529"/>
          <w:spacing w:val="-6"/>
        </w:rPr>
        <w:t xml:space="preserve"> </w:t>
      </w:r>
      <w:r w:rsidRPr="002926D7">
        <w:rPr>
          <w:color w:val="212529"/>
          <w:spacing w:val="-2"/>
        </w:rPr>
        <w:t>aims</w:t>
      </w:r>
      <w:r w:rsidRPr="002926D7">
        <w:rPr>
          <w:color w:val="212529"/>
          <w:spacing w:val="-7"/>
        </w:rPr>
        <w:t xml:space="preserve"> </w:t>
      </w:r>
      <w:r w:rsidRPr="002926D7">
        <w:rPr>
          <w:color w:val="212529"/>
          <w:spacing w:val="-2"/>
        </w:rPr>
        <w:t>to</w:t>
      </w:r>
      <w:r w:rsidRPr="002926D7">
        <w:rPr>
          <w:color w:val="212529"/>
          <w:spacing w:val="-6"/>
        </w:rPr>
        <w:t xml:space="preserve"> </w:t>
      </w:r>
      <w:r w:rsidRPr="002926D7">
        <w:rPr>
          <w:color w:val="212529"/>
          <w:spacing w:val="-2"/>
        </w:rPr>
        <w:t>strategically</w:t>
      </w:r>
      <w:r w:rsidRPr="002926D7">
        <w:rPr>
          <w:color w:val="212529"/>
          <w:spacing w:val="-6"/>
        </w:rPr>
        <w:t xml:space="preserve"> </w:t>
      </w:r>
      <w:r w:rsidRPr="002926D7">
        <w:rPr>
          <w:color w:val="212529"/>
          <w:spacing w:val="-2"/>
        </w:rPr>
        <w:t xml:space="preserve">expand </w:t>
      </w:r>
      <w:r w:rsidRPr="002926D7">
        <w:rPr>
          <w:color w:val="212529"/>
        </w:rPr>
        <w:t>support</w:t>
      </w:r>
      <w:r w:rsidRPr="002926D7">
        <w:rPr>
          <w:color w:val="212529"/>
          <w:spacing w:val="-10"/>
        </w:rPr>
        <w:t xml:space="preserve"> </w:t>
      </w:r>
      <w:r w:rsidRPr="002926D7">
        <w:rPr>
          <w:color w:val="212529"/>
        </w:rPr>
        <w:t>for</w:t>
      </w:r>
      <w:r w:rsidRPr="002926D7">
        <w:rPr>
          <w:color w:val="212529"/>
          <w:spacing w:val="-10"/>
        </w:rPr>
        <w:t xml:space="preserve"> </w:t>
      </w:r>
      <w:r w:rsidRPr="002926D7">
        <w:rPr>
          <w:color w:val="212529"/>
        </w:rPr>
        <w:t>direct</w:t>
      </w:r>
      <w:r w:rsidRPr="002926D7">
        <w:rPr>
          <w:color w:val="212529"/>
          <w:spacing w:val="-11"/>
        </w:rPr>
        <w:t xml:space="preserve"> </w:t>
      </w:r>
      <w:r w:rsidRPr="002926D7">
        <w:rPr>
          <w:color w:val="212529"/>
        </w:rPr>
        <w:t>access</w:t>
      </w:r>
      <w:r w:rsidRPr="002926D7">
        <w:rPr>
          <w:color w:val="212529"/>
          <w:spacing w:val="-11"/>
        </w:rPr>
        <w:t xml:space="preserve"> </w:t>
      </w:r>
      <w:r w:rsidRPr="002926D7">
        <w:rPr>
          <w:color w:val="212529"/>
        </w:rPr>
        <w:t>to</w:t>
      </w:r>
      <w:r w:rsidRPr="002926D7">
        <w:rPr>
          <w:color w:val="212529"/>
          <w:spacing w:val="-10"/>
        </w:rPr>
        <w:t xml:space="preserve"> </w:t>
      </w:r>
      <w:r w:rsidRPr="002926D7">
        <w:rPr>
          <w:color w:val="212529"/>
        </w:rPr>
        <w:t>finance</w:t>
      </w:r>
      <w:r w:rsidRPr="002926D7">
        <w:rPr>
          <w:color w:val="212529"/>
          <w:spacing w:val="-10"/>
        </w:rPr>
        <w:t xml:space="preserve"> </w:t>
      </w:r>
      <w:r w:rsidRPr="002926D7">
        <w:rPr>
          <w:color w:val="212529"/>
        </w:rPr>
        <w:t>by</w:t>
      </w:r>
      <w:r w:rsidRPr="002926D7">
        <w:rPr>
          <w:color w:val="212529"/>
          <w:spacing w:val="-10"/>
        </w:rPr>
        <w:t xml:space="preserve"> </w:t>
      </w:r>
      <w:r w:rsidRPr="002926D7">
        <w:rPr>
          <w:color w:val="212529"/>
        </w:rPr>
        <w:t>civil</w:t>
      </w:r>
      <w:r w:rsidRPr="002926D7">
        <w:rPr>
          <w:color w:val="212529"/>
          <w:spacing w:val="-10"/>
        </w:rPr>
        <w:t xml:space="preserve"> </w:t>
      </w:r>
      <w:r w:rsidRPr="002926D7">
        <w:rPr>
          <w:color w:val="212529"/>
        </w:rPr>
        <w:t>society</w:t>
      </w:r>
      <w:r w:rsidRPr="002926D7">
        <w:rPr>
          <w:color w:val="212529"/>
          <w:spacing w:val="-10"/>
        </w:rPr>
        <w:t xml:space="preserve"> </w:t>
      </w:r>
      <w:r w:rsidRPr="002926D7">
        <w:rPr>
          <w:color w:val="212529"/>
        </w:rPr>
        <w:t>organizations,</w:t>
      </w:r>
      <w:r w:rsidRPr="002926D7">
        <w:rPr>
          <w:color w:val="212529"/>
          <w:spacing w:val="-10"/>
        </w:rPr>
        <w:t xml:space="preserve"> </w:t>
      </w:r>
      <w:r w:rsidRPr="002926D7">
        <w:rPr>
          <w:color w:val="212529"/>
        </w:rPr>
        <w:t>including</w:t>
      </w:r>
      <w:r w:rsidRPr="002926D7">
        <w:rPr>
          <w:color w:val="212529"/>
          <w:spacing w:val="-10"/>
        </w:rPr>
        <w:t xml:space="preserve"> </w:t>
      </w:r>
      <w:r w:rsidRPr="002926D7">
        <w:rPr>
          <w:color w:val="212529"/>
        </w:rPr>
        <w:t>expanding</w:t>
      </w:r>
      <w:r w:rsidRPr="002926D7">
        <w:rPr>
          <w:color w:val="212529"/>
          <w:spacing w:val="-10"/>
        </w:rPr>
        <w:t xml:space="preserve"> </w:t>
      </w:r>
      <w:r w:rsidRPr="002926D7">
        <w:rPr>
          <w:color w:val="212529"/>
        </w:rPr>
        <w:t>the</w:t>
      </w:r>
      <w:r w:rsidRPr="002926D7">
        <w:rPr>
          <w:color w:val="212529"/>
          <w:spacing w:val="-10"/>
        </w:rPr>
        <w:t xml:space="preserve"> </w:t>
      </w:r>
      <w:r w:rsidRPr="002926D7">
        <w:rPr>
          <w:color w:val="212529"/>
        </w:rPr>
        <w:t>pool of</w:t>
      </w:r>
      <w:r w:rsidRPr="002926D7">
        <w:rPr>
          <w:color w:val="212529"/>
          <w:spacing w:val="-3"/>
        </w:rPr>
        <w:t xml:space="preserve"> </w:t>
      </w:r>
      <w:r w:rsidRPr="002926D7">
        <w:rPr>
          <w:color w:val="212529"/>
        </w:rPr>
        <w:t>in-country,</w:t>
      </w:r>
      <w:r w:rsidRPr="002926D7">
        <w:rPr>
          <w:color w:val="212529"/>
          <w:spacing w:val="-4"/>
        </w:rPr>
        <w:t xml:space="preserve"> </w:t>
      </w:r>
      <w:r w:rsidRPr="002926D7">
        <w:rPr>
          <w:color w:val="212529"/>
        </w:rPr>
        <w:t>non-governmental</w:t>
      </w:r>
      <w:r w:rsidRPr="002926D7">
        <w:rPr>
          <w:color w:val="212529"/>
          <w:spacing w:val="-3"/>
        </w:rPr>
        <w:t xml:space="preserve"> </w:t>
      </w:r>
      <w:r w:rsidRPr="002926D7">
        <w:rPr>
          <w:color w:val="212529"/>
        </w:rPr>
        <w:t>National</w:t>
      </w:r>
      <w:r w:rsidRPr="002926D7">
        <w:rPr>
          <w:color w:val="212529"/>
          <w:spacing w:val="-3"/>
        </w:rPr>
        <w:t xml:space="preserve"> </w:t>
      </w:r>
      <w:r w:rsidRPr="002926D7">
        <w:rPr>
          <w:color w:val="212529"/>
        </w:rPr>
        <w:t>Host</w:t>
      </w:r>
      <w:r w:rsidRPr="002926D7">
        <w:rPr>
          <w:color w:val="212529"/>
          <w:spacing w:val="-3"/>
        </w:rPr>
        <w:t xml:space="preserve"> </w:t>
      </w:r>
      <w:r w:rsidRPr="002926D7">
        <w:rPr>
          <w:color w:val="212529"/>
        </w:rPr>
        <w:t>Institutions</w:t>
      </w:r>
      <w:r w:rsidRPr="002926D7">
        <w:rPr>
          <w:color w:val="212529"/>
          <w:spacing w:val="-4"/>
        </w:rPr>
        <w:t xml:space="preserve"> </w:t>
      </w:r>
      <w:r w:rsidRPr="002926D7">
        <w:rPr>
          <w:color w:val="212529"/>
        </w:rPr>
        <w:t>as</w:t>
      </w:r>
      <w:r w:rsidRPr="002926D7">
        <w:rPr>
          <w:color w:val="212529"/>
          <w:spacing w:val="-4"/>
        </w:rPr>
        <w:t xml:space="preserve"> </w:t>
      </w:r>
      <w:r w:rsidRPr="002926D7">
        <w:rPr>
          <w:color w:val="212529"/>
        </w:rPr>
        <w:t>a</w:t>
      </w:r>
      <w:r w:rsidRPr="002926D7">
        <w:rPr>
          <w:color w:val="212529"/>
          <w:spacing w:val="-3"/>
        </w:rPr>
        <w:t xml:space="preserve"> </w:t>
      </w:r>
      <w:r w:rsidRPr="002926D7">
        <w:rPr>
          <w:color w:val="212529"/>
        </w:rPr>
        <w:t>first</w:t>
      </w:r>
      <w:r w:rsidRPr="002926D7">
        <w:rPr>
          <w:color w:val="212529"/>
          <w:spacing w:val="-4"/>
        </w:rPr>
        <w:t xml:space="preserve"> </w:t>
      </w:r>
      <w:r w:rsidRPr="002926D7">
        <w:rPr>
          <w:color w:val="212529"/>
        </w:rPr>
        <w:t>step</w:t>
      </w:r>
      <w:r w:rsidRPr="002926D7">
        <w:rPr>
          <w:color w:val="212529"/>
          <w:spacing w:val="-3"/>
        </w:rPr>
        <w:t xml:space="preserve"> </w:t>
      </w:r>
      <w:r w:rsidRPr="002926D7">
        <w:rPr>
          <w:color w:val="212529"/>
        </w:rPr>
        <w:t>towards</w:t>
      </w:r>
      <w:r w:rsidRPr="002926D7">
        <w:rPr>
          <w:color w:val="212529"/>
          <w:spacing w:val="-4"/>
        </w:rPr>
        <w:t xml:space="preserve"> </w:t>
      </w:r>
      <w:r w:rsidRPr="002926D7">
        <w:rPr>
          <w:color w:val="212529"/>
        </w:rPr>
        <w:t>direct execution</w:t>
      </w:r>
      <w:r w:rsidRPr="002926D7">
        <w:rPr>
          <w:color w:val="212529"/>
          <w:spacing w:val="-2"/>
        </w:rPr>
        <w:t xml:space="preserve"> </w:t>
      </w:r>
      <w:r w:rsidRPr="002926D7">
        <w:rPr>
          <w:color w:val="212529"/>
        </w:rPr>
        <w:t>and</w:t>
      </w:r>
      <w:r w:rsidRPr="002926D7">
        <w:rPr>
          <w:color w:val="212529"/>
          <w:spacing w:val="-2"/>
        </w:rPr>
        <w:t xml:space="preserve"> </w:t>
      </w:r>
      <w:r w:rsidRPr="002926D7">
        <w:rPr>
          <w:color w:val="212529"/>
        </w:rPr>
        <w:t>on-granting</w:t>
      </w:r>
      <w:r w:rsidRPr="002926D7">
        <w:rPr>
          <w:color w:val="212529"/>
          <w:spacing w:val="-3"/>
        </w:rPr>
        <w:t xml:space="preserve"> </w:t>
      </w:r>
      <w:r w:rsidRPr="002926D7">
        <w:rPr>
          <w:color w:val="212529"/>
        </w:rPr>
        <w:t>by</w:t>
      </w:r>
      <w:r w:rsidRPr="002926D7">
        <w:rPr>
          <w:color w:val="212529"/>
          <w:spacing w:val="-2"/>
        </w:rPr>
        <w:t xml:space="preserve"> </w:t>
      </w:r>
      <w:r w:rsidRPr="002926D7">
        <w:rPr>
          <w:color w:val="212529"/>
        </w:rPr>
        <w:t>those</w:t>
      </w:r>
      <w:r w:rsidRPr="002926D7">
        <w:rPr>
          <w:color w:val="212529"/>
          <w:spacing w:val="-2"/>
        </w:rPr>
        <w:t xml:space="preserve"> </w:t>
      </w:r>
      <w:r w:rsidRPr="002926D7">
        <w:rPr>
          <w:color w:val="212529"/>
        </w:rPr>
        <w:t>CSOs</w:t>
      </w:r>
      <w:r w:rsidRPr="002926D7">
        <w:rPr>
          <w:color w:val="212529"/>
          <w:spacing w:val="-3"/>
        </w:rPr>
        <w:t xml:space="preserve"> </w:t>
      </w:r>
      <w:r w:rsidRPr="002926D7">
        <w:rPr>
          <w:color w:val="212529"/>
        </w:rPr>
        <w:t>who</w:t>
      </w:r>
      <w:r w:rsidRPr="002926D7">
        <w:rPr>
          <w:color w:val="212529"/>
          <w:spacing w:val="-2"/>
        </w:rPr>
        <w:t xml:space="preserve"> </w:t>
      </w:r>
      <w:r w:rsidRPr="002926D7">
        <w:rPr>
          <w:color w:val="212529"/>
        </w:rPr>
        <w:t>possess</w:t>
      </w:r>
      <w:r w:rsidRPr="002926D7">
        <w:rPr>
          <w:color w:val="212529"/>
          <w:spacing w:val="-2"/>
        </w:rPr>
        <w:t xml:space="preserve"> </w:t>
      </w:r>
      <w:r w:rsidRPr="002926D7">
        <w:rPr>
          <w:color w:val="212529"/>
        </w:rPr>
        <w:t>the</w:t>
      </w:r>
      <w:r w:rsidRPr="002926D7">
        <w:rPr>
          <w:color w:val="212529"/>
          <w:spacing w:val="-2"/>
        </w:rPr>
        <w:t xml:space="preserve"> </w:t>
      </w:r>
      <w:r w:rsidRPr="002926D7">
        <w:rPr>
          <w:color w:val="212529"/>
        </w:rPr>
        <w:t>administrative,</w:t>
      </w:r>
      <w:r w:rsidRPr="002926D7">
        <w:rPr>
          <w:color w:val="212529"/>
          <w:spacing w:val="-2"/>
        </w:rPr>
        <w:t xml:space="preserve"> </w:t>
      </w:r>
      <w:r w:rsidRPr="002926D7">
        <w:rPr>
          <w:color w:val="212529"/>
        </w:rPr>
        <w:t>fiduciary</w:t>
      </w:r>
      <w:r w:rsidRPr="002926D7">
        <w:rPr>
          <w:color w:val="212529"/>
          <w:spacing w:val="-2"/>
        </w:rPr>
        <w:t xml:space="preserve"> </w:t>
      </w:r>
      <w:r w:rsidRPr="002926D7">
        <w:rPr>
          <w:color w:val="212529"/>
        </w:rPr>
        <w:t>and technical</w:t>
      </w:r>
      <w:r w:rsidRPr="002926D7">
        <w:rPr>
          <w:color w:val="212529"/>
          <w:spacing w:val="-6"/>
        </w:rPr>
        <w:t xml:space="preserve"> </w:t>
      </w:r>
      <w:r w:rsidRPr="002926D7">
        <w:rPr>
          <w:color w:val="212529"/>
        </w:rPr>
        <w:t>capacities</w:t>
      </w:r>
      <w:r w:rsidRPr="002926D7">
        <w:rPr>
          <w:color w:val="212529"/>
          <w:spacing w:val="-7"/>
        </w:rPr>
        <w:t xml:space="preserve"> </w:t>
      </w:r>
      <w:r w:rsidRPr="002926D7">
        <w:rPr>
          <w:color w:val="212529"/>
        </w:rPr>
        <w:t>for</w:t>
      </w:r>
      <w:r w:rsidRPr="002926D7">
        <w:rPr>
          <w:color w:val="212529"/>
          <w:spacing w:val="-6"/>
        </w:rPr>
        <w:t xml:space="preserve"> </w:t>
      </w:r>
      <w:r w:rsidRPr="002926D7">
        <w:rPr>
          <w:color w:val="212529"/>
        </w:rPr>
        <w:t>effective</w:t>
      </w:r>
      <w:r w:rsidRPr="002926D7">
        <w:rPr>
          <w:color w:val="212529"/>
          <w:spacing w:val="-6"/>
        </w:rPr>
        <w:t xml:space="preserve"> </w:t>
      </w:r>
      <w:r w:rsidRPr="002926D7">
        <w:rPr>
          <w:color w:val="212529"/>
        </w:rPr>
        <w:t>Country</w:t>
      </w:r>
      <w:r w:rsidRPr="002926D7">
        <w:rPr>
          <w:color w:val="212529"/>
          <w:spacing w:val="-6"/>
        </w:rPr>
        <w:t xml:space="preserve"> </w:t>
      </w:r>
      <w:r w:rsidRPr="002926D7">
        <w:rPr>
          <w:color w:val="212529"/>
        </w:rPr>
        <w:t>Programme</w:t>
      </w:r>
      <w:r w:rsidRPr="002926D7">
        <w:rPr>
          <w:color w:val="212529"/>
          <w:spacing w:val="-6"/>
        </w:rPr>
        <w:t xml:space="preserve"> </w:t>
      </w:r>
      <w:r w:rsidRPr="002926D7">
        <w:rPr>
          <w:color w:val="212529"/>
        </w:rPr>
        <w:t>management.</w:t>
      </w:r>
      <w:r w:rsidRPr="002926D7">
        <w:rPr>
          <w:color w:val="212529"/>
          <w:spacing w:val="-6"/>
        </w:rPr>
        <w:t xml:space="preserve"> </w:t>
      </w:r>
      <w:r w:rsidRPr="002926D7">
        <w:rPr>
          <w:color w:val="212529"/>
        </w:rPr>
        <w:t>CSO</w:t>
      </w:r>
      <w:r w:rsidRPr="002926D7">
        <w:rPr>
          <w:color w:val="212529"/>
          <w:spacing w:val="-7"/>
        </w:rPr>
        <w:t xml:space="preserve"> </w:t>
      </w:r>
      <w:r w:rsidRPr="002926D7">
        <w:rPr>
          <w:color w:val="212529"/>
        </w:rPr>
        <w:t>execution</w:t>
      </w:r>
      <w:r w:rsidRPr="002926D7">
        <w:rPr>
          <w:color w:val="212529"/>
          <w:spacing w:val="-6"/>
        </w:rPr>
        <w:t xml:space="preserve"> </w:t>
      </w:r>
      <w:r w:rsidRPr="002926D7">
        <w:rPr>
          <w:color w:val="212529"/>
        </w:rPr>
        <w:t>is</w:t>
      </w:r>
      <w:r w:rsidRPr="002926D7">
        <w:rPr>
          <w:color w:val="212529"/>
          <w:spacing w:val="-6"/>
        </w:rPr>
        <w:t xml:space="preserve"> </w:t>
      </w:r>
      <w:r w:rsidRPr="002926D7">
        <w:rPr>
          <w:color w:val="212529"/>
        </w:rPr>
        <w:t xml:space="preserve">possible </w:t>
      </w:r>
      <w:r w:rsidRPr="002926D7">
        <w:rPr>
          <w:color w:val="212529"/>
          <w:spacing w:val="-2"/>
        </w:rPr>
        <w:t>in countries</w:t>
      </w:r>
      <w:r w:rsidRPr="002926D7">
        <w:rPr>
          <w:color w:val="212529"/>
          <w:spacing w:val="-3"/>
        </w:rPr>
        <w:t xml:space="preserve"> </w:t>
      </w:r>
      <w:r w:rsidRPr="002926D7">
        <w:rPr>
          <w:color w:val="212529"/>
          <w:spacing w:val="-2"/>
        </w:rPr>
        <w:t>with well-established philanthropic foundations</w:t>
      </w:r>
      <w:r w:rsidRPr="002926D7">
        <w:rPr>
          <w:color w:val="212529"/>
          <w:spacing w:val="-3"/>
        </w:rPr>
        <w:t xml:space="preserve"> </w:t>
      </w:r>
      <w:r w:rsidRPr="002926D7">
        <w:rPr>
          <w:color w:val="212529"/>
          <w:spacing w:val="-2"/>
        </w:rPr>
        <w:t>or NGOs, which ipso facto tends</w:t>
      </w:r>
      <w:r w:rsidRPr="002926D7">
        <w:rPr>
          <w:color w:val="212529"/>
          <w:spacing w:val="-3"/>
        </w:rPr>
        <w:t xml:space="preserve"> </w:t>
      </w:r>
      <w:r w:rsidRPr="002926D7">
        <w:rPr>
          <w:color w:val="212529"/>
          <w:spacing w:val="-2"/>
        </w:rPr>
        <w:t>to limit</w:t>
      </w:r>
      <w:r w:rsidRPr="002926D7">
        <w:rPr>
          <w:color w:val="212529"/>
          <w:spacing w:val="-4"/>
        </w:rPr>
        <w:t xml:space="preserve"> </w:t>
      </w:r>
      <w:r w:rsidRPr="002926D7">
        <w:rPr>
          <w:color w:val="212529"/>
          <w:spacing w:val="-2"/>
        </w:rPr>
        <w:t>the</w:t>
      </w:r>
      <w:r w:rsidRPr="002926D7">
        <w:rPr>
          <w:color w:val="212529"/>
          <w:spacing w:val="-4"/>
        </w:rPr>
        <w:t xml:space="preserve"> </w:t>
      </w:r>
      <w:r w:rsidRPr="002926D7">
        <w:rPr>
          <w:color w:val="212529"/>
          <w:spacing w:val="-2"/>
        </w:rPr>
        <w:t>possibility</w:t>
      </w:r>
      <w:r w:rsidRPr="002926D7">
        <w:rPr>
          <w:color w:val="212529"/>
          <w:spacing w:val="-4"/>
        </w:rPr>
        <w:t xml:space="preserve"> </w:t>
      </w:r>
      <w:r w:rsidRPr="002926D7">
        <w:rPr>
          <w:color w:val="212529"/>
          <w:spacing w:val="-2"/>
        </w:rPr>
        <w:t>of</w:t>
      </w:r>
      <w:r w:rsidRPr="002926D7">
        <w:rPr>
          <w:color w:val="212529"/>
          <w:spacing w:val="-4"/>
        </w:rPr>
        <w:t xml:space="preserve"> </w:t>
      </w:r>
      <w:r w:rsidRPr="002926D7">
        <w:rPr>
          <w:color w:val="212529"/>
          <w:spacing w:val="-2"/>
        </w:rPr>
        <w:t>this</w:t>
      </w:r>
      <w:r w:rsidRPr="002926D7">
        <w:rPr>
          <w:color w:val="212529"/>
          <w:spacing w:val="-5"/>
        </w:rPr>
        <w:t xml:space="preserve"> </w:t>
      </w:r>
      <w:r w:rsidRPr="002926D7">
        <w:rPr>
          <w:color w:val="212529"/>
          <w:spacing w:val="-2"/>
        </w:rPr>
        <w:t>modality</w:t>
      </w:r>
      <w:r w:rsidRPr="002926D7">
        <w:rPr>
          <w:color w:val="212529"/>
          <w:spacing w:val="-4"/>
        </w:rPr>
        <w:t xml:space="preserve"> </w:t>
      </w:r>
      <w:r w:rsidRPr="002926D7">
        <w:rPr>
          <w:color w:val="212529"/>
          <w:spacing w:val="-2"/>
        </w:rPr>
        <w:t>to</w:t>
      </w:r>
      <w:r w:rsidRPr="002926D7">
        <w:rPr>
          <w:color w:val="212529"/>
          <w:spacing w:val="-4"/>
        </w:rPr>
        <w:t xml:space="preserve"> </w:t>
      </w:r>
      <w:r w:rsidRPr="002926D7">
        <w:rPr>
          <w:color w:val="212529"/>
          <w:spacing w:val="-2"/>
        </w:rPr>
        <w:t>those</w:t>
      </w:r>
      <w:r w:rsidRPr="002926D7">
        <w:rPr>
          <w:color w:val="212529"/>
          <w:spacing w:val="-4"/>
        </w:rPr>
        <w:t xml:space="preserve"> </w:t>
      </w:r>
      <w:r w:rsidRPr="002926D7">
        <w:rPr>
          <w:color w:val="212529"/>
          <w:spacing w:val="-2"/>
        </w:rPr>
        <w:t>countries</w:t>
      </w:r>
      <w:r w:rsidRPr="002926D7">
        <w:rPr>
          <w:color w:val="212529"/>
          <w:spacing w:val="-4"/>
        </w:rPr>
        <w:t xml:space="preserve"> </w:t>
      </w:r>
      <w:r w:rsidRPr="002926D7">
        <w:rPr>
          <w:color w:val="212529"/>
          <w:spacing w:val="-2"/>
        </w:rPr>
        <w:t>with</w:t>
      </w:r>
      <w:r w:rsidRPr="002926D7">
        <w:rPr>
          <w:color w:val="212529"/>
          <w:spacing w:val="-4"/>
        </w:rPr>
        <w:t xml:space="preserve"> </w:t>
      </w:r>
      <w:r w:rsidRPr="002926D7">
        <w:rPr>
          <w:color w:val="212529"/>
          <w:spacing w:val="-2"/>
        </w:rPr>
        <w:t>a</w:t>
      </w:r>
      <w:r w:rsidRPr="002926D7">
        <w:rPr>
          <w:color w:val="212529"/>
          <w:spacing w:val="-4"/>
        </w:rPr>
        <w:t xml:space="preserve"> </w:t>
      </w:r>
      <w:r w:rsidRPr="002926D7">
        <w:rPr>
          <w:color w:val="212529"/>
          <w:spacing w:val="-2"/>
        </w:rPr>
        <w:t>longer</w:t>
      </w:r>
      <w:r w:rsidRPr="002926D7">
        <w:rPr>
          <w:color w:val="212529"/>
          <w:spacing w:val="-4"/>
        </w:rPr>
        <w:t xml:space="preserve"> </w:t>
      </w:r>
      <w:r w:rsidRPr="002926D7">
        <w:rPr>
          <w:color w:val="212529"/>
          <w:spacing w:val="-2"/>
        </w:rPr>
        <w:t>history</w:t>
      </w:r>
      <w:r w:rsidRPr="002926D7">
        <w:rPr>
          <w:color w:val="212529"/>
          <w:spacing w:val="-4"/>
        </w:rPr>
        <w:t xml:space="preserve"> </w:t>
      </w:r>
      <w:r w:rsidRPr="002926D7">
        <w:rPr>
          <w:color w:val="212529"/>
          <w:spacing w:val="-2"/>
        </w:rPr>
        <w:t>of</w:t>
      </w:r>
      <w:r w:rsidRPr="002926D7">
        <w:rPr>
          <w:color w:val="212529"/>
          <w:spacing w:val="-4"/>
        </w:rPr>
        <w:t xml:space="preserve"> </w:t>
      </w:r>
      <w:r w:rsidRPr="002926D7">
        <w:rPr>
          <w:color w:val="212529"/>
          <w:spacing w:val="-2"/>
        </w:rPr>
        <w:t>constructive</w:t>
      </w:r>
      <w:r w:rsidRPr="002926D7">
        <w:rPr>
          <w:color w:val="212529"/>
          <w:spacing w:val="-4"/>
        </w:rPr>
        <w:t xml:space="preserve"> </w:t>
      </w:r>
      <w:r w:rsidRPr="002926D7">
        <w:rPr>
          <w:color w:val="212529"/>
          <w:spacing w:val="-2"/>
        </w:rPr>
        <w:t xml:space="preserve">CSO </w:t>
      </w:r>
      <w:r w:rsidRPr="002926D7">
        <w:rPr>
          <w:color w:val="212529"/>
        </w:rPr>
        <w:t>engagement.</w:t>
      </w:r>
      <w:r w:rsidRPr="002926D7">
        <w:rPr>
          <w:color w:val="212529"/>
          <w:spacing w:val="-2"/>
        </w:rPr>
        <w:t xml:space="preserve"> </w:t>
      </w:r>
      <w:r w:rsidRPr="002926D7">
        <w:rPr>
          <w:color w:val="212529"/>
        </w:rPr>
        <w:t>During</w:t>
      </w:r>
      <w:r w:rsidRPr="002926D7">
        <w:rPr>
          <w:color w:val="212529"/>
          <w:spacing w:val="-2"/>
        </w:rPr>
        <w:t xml:space="preserve"> </w:t>
      </w:r>
      <w:r w:rsidRPr="002926D7">
        <w:rPr>
          <w:color w:val="212529"/>
        </w:rPr>
        <w:t>the</w:t>
      </w:r>
      <w:r w:rsidRPr="002926D7">
        <w:rPr>
          <w:color w:val="212529"/>
          <w:spacing w:val="-2"/>
        </w:rPr>
        <w:t xml:space="preserve"> </w:t>
      </w:r>
      <w:r w:rsidRPr="002926D7">
        <w:rPr>
          <w:color w:val="212529"/>
        </w:rPr>
        <w:t>course</w:t>
      </w:r>
      <w:r w:rsidRPr="002926D7">
        <w:rPr>
          <w:color w:val="212529"/>
          <w:spacing w:val="-2"/>
        </w:rPr>
        <w:t xml:space="preserve"> </w:t>
      </w:r>
      <w:r w:rsidRPr="002926D7">
        <w:rPr>
          <w:color w:val="212529"/>
        </w:rPr>
        <w:t>of</w:t>
      </w:r>
      <w:r w:rsidRPr="002926D7">
        <w:rPr>
          <w:color w:val="212529"/>
          <w:spacing w:val="-2"/>
        </w:rPr>
        <w:t xml:space="preserve"> </w:t>
      </w:r>
      <w:r w:rsidRPr="002926D7">
        <w:rPr>
          <w:color w:val="212529"/>
        </w:rPr>
        <w:t>OP8</w:t>
      </w:r>
      <w:r w:rsidRPr="002926D7">
        <w:rPr>
          <w:color w:val="212529"/>
          <w:spacing w:val="-2"/>
        </w:rPr>
        <w:t xml:space="preserve"> </w:t>
      </w:r>
      <w:r w:rsidRPr="002926D7">
        <w:rPr>
          <w:color w:val="212529"/>
        </w:rPr>
        <w:t>implementation,</w:t>
      </w:r>
      <w:r w:rsidR="001F7B8F" w:rsidRPr="002926D7">
        <w:rPr>
          <w:color w:val="212529"/>
        </w:rPr>
        <w:t xml:space="preserve"> as part of country programme strategy formulation and implementation,</w:t>
      </w:r>
      <w:r w:rsidRPr="002926D7">
        <w:rPr>
          <w:color w:val="212529"/>
          <w:spacing w:val="-2"/>
        </w:rPr>
        <w:t xml:space="preserve"> </w:t>
      </w:r>
      <w:r w:rsidRPr="002926D7">
        <w:rPr>
          <w:color w:val="212529"/>
        </w:rPr>
        <w:t>potential</w:t>
      </w:r>
      <w:r w:rsidRPr="002926D7">
        <w:rPr>
          <w:color w:val="212529"/>
          <w:spacing w:val="-3"/>
        </w:rPr>
        <w:t xml:space="preserve"> </w:t>
      </w:r>
      <w:r w:rsidRPr="002926D7">
        <w:rPr>
          <w:color w:val="212529"/>
        </w:rPr>
        <w:t>CSO</w:t>
      </w:r>
      <w:r w:rsidRPr="002926D7">
        <w:rPr>
          <w:color w:val="212529"/>
          <w:spacing w:val="-3"/>
        </w:rPr>
        <w:t xml:space="preserve"> </w:t>
      </w:r>
      <w:r w:rsidRPr="002926D7">
        <w:rPr>
          <w:color w:val="212529"/>
        </w:rPr>
        <w:t>partners</w:t>
      </w:r>
      <w:r w:rsidRPr="002926D7">
        <w:rPr>
          <w:color w:val="212529"/>
          <w:spacing w:val="-3"/>
        </w:rPr>
        <w:t xml:space="preserve"> </w:t>
      </w:r>
      <w:r w:rsidRPr="002926D7">
        <w:rPr>
          <w:color w:val="212529"/>
        </w:rPr>
        <w:t>will</w:t>
      </w:r>
      <w:r w:rsidRPr="002926D7">
        <w:rPr>
          <w:color w:val="212529"/>
          <w:spacing w:val="-2"/>
        </w:rPr>
        <w:t xml:space="preserve"> </w:t>
      </w:r>
      <w:r w:rsidRPr="002926D7">
        <w:rPr>
          <w:color w:val="212529"/>
        </w:rPr>
        <w:t>be identified,</w:t>
      </w:r>
      <w:r w:rsidRPr="002926D7">
        <w:rPr>
          <w:color w:val="212529"/>
          <w:spacing w:val="-7"/>
        </w:rPr>
        <w:t xml:space="preserve"> </w:t>
      </w:r>
      <w:r w:rsidRPr="002926D7">
        <w:rPr>
          <w:color w:val="212529"/>
        </w:rPr>
        <w:t>in</w:t>
      </w:r>
      <w:r w:rsidRPr="002926D7">
        <w:rPr>
          <w:color w:val="212529"/>
          <w:spacing w:val="-7"/>
        </w:rPr>
        <w:t xml:space="preserve"> </w:t>
      </w:r>
      <w:r w:rsidRPr="002926D7">
        <w:rPr>
          <w:color w:val="212529"/>
        </w:rPr>
        <w:t>close</w:t>
      </w:r>
      <w:r w:rsidRPr="002926D7">
        <w:rPr>
          <w:color w:val="212529"/>
          <w:spacing w:val="-8"/>
        </w:rPr>
        <w:t xml:space="preserve"> </w:t>
      </w:r>
      <w:r w:rsidRPr="002926D7">
        <w:rPr>
          <w:color w:val="212529"/>
        </w:rPr>
        <w:t>consultation</w:t>
      </w:r>
      <w:r w:rsidRPr="002926D7">
        <w:rPr>
          <w:color w:val="212529"/>
          <w:spacing w:val="-7"/>
        </w:rPr>
        <w:t xml:space="preserve"> </w:t>
      </w:r>
      <w:r w:rsidRPr="002926D7">
        <w:rPr>
          <w:color w:val="212529"/>
        </w:rPr>
        <w:t>with</w:t>
      </w:r>
      <w:r w:rsidRPr="002926D7">
        <w:rPr>
          <w:color w:val="212529"/>
          <w:spacing w:val="-8"/>
        </w:rPr>
        <w:t xml:space="preserve"> </w:t>
      </w:r>
      <w:r w:rsidRPr="002926D7">
        <w:rPr>
          <w:color w:val="212529"/>
        </w:rPr>
        <w:t>SGP</w:t>
      </w:r>
      <w:r w:rsidRPr="002926D7">
        <w:rPr>
          <w:color w:val="212529"/>
          <w:spacing w:val="-8"/>
        </w:rPr>
        <w:t xml:space="preserve"> </w:t>
      </w:r>
      <w:r w:rsidRPr="002926D7">
        <w:rPr>
          <w:color w:val="212529"/>
        </w:rPr>
        <w:t>National</w:t>
      </w:r>
      <w:r w:rsidRPr="002926D7">
        <w:rPr>
          <w:color w:val="212529"/>
          <w:spacing w:val="-8"/>
        </w:rPr>
        <w:t xml:space="preserve"> </w:t>
      </w:r>
      <w:r w:rsidRPr="002926D7">
        <w:rPr>
          <w:color w:val="212529"/>
        </w:rPr>
        <w:t>Steering</w:t>
      </w:r>
      <w:r w:rsidRPr="002926D7">
        <w:rPr>
          <w:color w:val="212529"/>
          <w:spacing w:val="-7"/>
        </w:rPr>
        <w:t xml:space="preserve"> </w:t>
      </w:r>
      <w:r w:rsidRPr="002926D7">
        <w:rPr>
          <w:color w:val="212529"/>
        </w:rPr>
        <w:t>Committees</w:t>
      </w:r>
      <w:r w:rsidRPr="002926D7">
        <w:rPr>
          <w:color w:val="212529"/>
          <w:spacing w:val="-8"/>
        </w:rPr>
        <w:t xml:space="preserve"> </w:t>
      </w:r>
      <w:r w:rsidRPr="002926D7">
        <w:rPr>
          <w:color w:val="212529"/>
        </w:rPr>
        <w:t>and</w:t>
      </w:r>
      <w:r w:rsidRPr="002926D7">
        <w:rPr>
          <w:color w:val="212529"/>
          <w:spacing w:val="-7"/>
        </w:rPr>
        <w:t xml:space="preserve"> </w:t>
      </w:r>
      <w:r w:rsidRPr="002926D7">
        <w:rPr>
          <w:color w:val="212529"/>
        </w:rPr>
        <w:t>networks</w:t>
      </w:r>
      <w:r w:rsidRPr="002926D7">
        <w:rPr>
          <w:color w:val="212529"/>
          <w:spacing w:val="-8"/>
        </w:rPr>
        <w:t xml:space="preserve"> </w:t>
      </w:r>
      <w:r w:rsidRPr="002926D7">
        <w:rPr>
          <w:color w:val="212529"/>
        </w:rPr>
        <w:t>of</w:t>
      </w:r>
      <w:r w:rsidRPr="002926D7">
        <w:rPr>
          <w:color w:val="212529"/>
          <w:spacing w:val="-7"/>
        </w:rPr>
        <w:t xml:space="preserve"> </w:t>
      </w:r>
      <w:r w:rsidRPr="002926D7">
        <w:rPr>
          <w:color w:val="212529"/>
        </w:rPr>
        <w:t>prior grantees,</w:t>
      </w:r>
      <w:r w:rsidRPr="002926D7">
        <w:rPr>
          <w:color w:val="212529"/>
          <w:spacing w:val="-2"/>
        </w:rPr>
        <w:t xml:space="preserve"> </w:t>
      </w:r>
      <w:r w:rsidRPr="002926D7">
        <w:rPr>
          <w:color w:val="212529"/>
        </w:rPr>
        <w:t>who</w:t>
      </w:r>
      <w:r w:rsidRPr="002926D7">
        <w:rPr>
          <w:color w:val="212529"/>
          <w:spacing w:val="-2"/>
        </w:rPr>
        <w:t xml:space="preserve"> </w:t>
      </w:r>
      <w:r w:rsidRPr="002926D7">
        <w:rPr>
          <w:color w:val="212529"/>
        </w:rPr>
        <w:t>may</w:t>
      </w:r>
      <w:r w:rsidRPr="002926D7">
        <w:rPr>
          <w:color w:val="212529"/>
          <w:spacing w:val="-2"/>
        </w:rPr>
        <w:t xml:space="preserve"> </w:t>
      </w:r>
      <w:r w:rsidRPr="002926D7">
        <w:rPr>
          <w:color w:val="212529"/>
        </w:rPr>
        <w:t>be</w:t>
      </w:r>
      <w:r w:rsidRPr="002926D7">
        <w:rPr>
          <w:color w:val="212529"/>
          <w:spacing w:val="-2"/>
        </w:rPr>
        <w:t xml:space="preserve"> </w:t>
      </w:r>
      <w:r w:rsidRPr="002926D7">
        <w:rPr>
          <w:color w:val="212529"/>
        </w:rPr>
        <w:t>capable</w:t>
      </w:r>
      <w:r w:rsidRPr="002926D7">
        <w:rPr>
          <w:color w:val="212529"/>
          <w:spacing w:val="-3"/>
        </w:rPr>
        <w:t xml:space="preserve"> </w:t>
      </w:r>
      <w:r w:rsidRPr="002926D7">
        <w:rPr>
          <w:color w:val="212529"/>
        </w:rPr>
        <w:t>of</w:t>
      </w:r>
      <w:r w:rsidRPr="002926D7">
        <w:rPr>
          <w:color w:val="212529"/>
          <w:spacing w:val="-2"/>
        </w:rPr>
        <w:t xml:space="preserve"> </w:t>
      </w:r>
      <w:r w:rsidRPr="002926D7">
        <w:rPr>
          <w:color w:val="212529"/>
        </w:rPr>
        <w:t>the</w:t>
      </w:r>
      <w:r w:rsidRPr="002926D7">
        <w:rPr>
          <w:color w:val="212529"/>
          <w:spacing w:val="-2"/>
        </w:rPr>
        <w:t xml:space="preserve"> </w:t>
      </w:r>
      <w:r w:rsidRPr="002926D7">
        <w:rPr>
          <w:color w:val="212529"/>
        </w:rPr>
        <w:t>kind</w:t>
      </w:r>
      <w:r w:rsidRPr="002926D7">
        <w:rPr>
          <w:color w:val="212529"/>
          <w:spacing w:val="-2"/>
        </w:rPr>
        <w:t xml:space="preserve"> </w:t>
      </w:r>
      <w:r w:rsidRPr="002926D7">
        <w:rPr>
          <w:color w:val="212529"/>
        </w:rPr>
        <w:t>of</w:t>
      </w:r>
      <w:r w:rsidRPr="002926D7">
        <w:rPr>
          <w:color w:val="212529"/>
          <w:spacing w:val="-2"/>
        </w:rPr>
        <w:t xml:space="preserve"> </w:t>
      </w:r>
      <w:r w:rsidRPr="002926D7">
        <w:rPr>
          <w:color w:val="212529"/>
        </w:rPr>
        <w:t>transparent</w:t>
      </w:r>
      <w:r w:rsidRPr="002926D7">
        <w:rPr>
          <w:color w:val="212529"/>
          <w:spacing w:val="-2"/>
        </w:rPr>
        <w:t xml:space="preserve"> </w:t>
      </w:r>
      <w:r w:rsidRPr="002926D7">
        <w:rPr>
          <w:color w:val="212529"/>
        </w:rPr>
        <w:t>and</w:t>
      </w:r>
      <w:r w:rsidRPr="002926D7">
        <w:rPr>
          <w:color w:val="212529"/>
          <w:spacing w:val="-2"/>
        </w:rPr>
        <w:t xml:space="preserve"> </w:t>
      </w:r>
      <w:r w:rsidRPr="002926D7">
        <w:rPr>
          <w:color w:val="212529"/>
        </w:rPr>
        <w:t>accountable</w:t>
      </w:r>
      <w:r w:rsidRPr="002926D7">
        <w:rPr>
          <w:color w:val="212529"/>
          <w:spacing w:val="-2"/>
        </w:rPr>
        <w:t xml:space="preserve"> </w:t>
      </w:r>
      <w:r w:rsidRPr="002926D7">
        <w:rPr>
          <w:color w:val="212529"/>
        </w:rPr>
        <w:t xml:space="preserve">management and </w:t>
      </w:r>
      <w:r w:rsidRPr="002926D7">
        <w:rPr>
          <w:color w:val="212529"/>
          <w:spacing w:val="-2"/>
        </w:rPr>
        <w:t>administration</w:t>
      </w:r>
      <w:r w:rsidRPr="002926D7">
        <w:rPr>
          <w:color w:val="212529"/>
          <w:spacing w:val="-5"/>
        </w:rPr>
        <w:t xml:space="preserve"> </w:t>
      </w:r>
      <w:r w:rsidRPr="002926D7">
        <w:rPr>
          <w:color w:val="212529"/>
          <w:spacing w:val="-2"/>
        </w:rPr>
        <w:t>that</w:t>
      </w:r>
      <w:r w:rsidRPr="002926D7">
        <w:rPr>
          <w:color w:val="212529"/>
          <w:spacing w:val="-6"/>
        </w:rPr>
        <w:t xml:space="preserve"> </w:t>
      </w:r>
      <w:r w:rsidRPr="002926D7">
        <w:rPr>
          <w:color w:val="212529"/>
          <w:spacing w:val="-2"/>
        </w:rPr>
        <w:t>is</w:t>
      </w:r>
      <w:r w:rsidRPr="002926D7">
        <w:rPr>
          <w:color w:val="212529"/>
          <w:spacing w:val="-6"/>
        </w:rPr>
        <w:t xml:space="preserve"> </w:t>
      </w:r>
      <w:r w:rsidRPr="002926D7">
        <w:rPr>
          <w:color w:val="212529"/>
          <w:spacing w:val="-2"/>
        </w:rPr>
        <w:t>required</w:t>
      </w:r>
      <w:r w:rsidRPr="002926D7">
        <w:rPr>
          <w:color w:val="212529"/>
          <w:spacing w:val="-5"/>
        </w:rPr>
        <w:t xml:space="preserve"> </w:t>
      </w:r>
      <w:r w:rsidRPr="002926D7">
        <w:rPr>
          <w:color w:val="212529"/>
          <w:spacing w:val="-2"/>
        </w:rPr>
        <w:t>by</w:t>
      </w:r>
      <w:r w:rsidRPr="002926D7">
        <w:rPr>
          <w:color w:val="212529"/>
          <w:spacing w:val="-5"/>
        </w:rPr>
        <w:t xml:space="preserve"> </w:t>
      </w:r>
      <w:r w:rsidRPr="002926D7">
        <w:rPr>
          <w:color w:val="212529"/>
          <w:spacing w:val="-2"/>
        </w:rPr>
        <w:t>UNDP’s</w:t>
      </w:r>
      <w:r w:rsidRPr="002926D7">
        <w:rPr>
          <w:color w:val="212529"/>
          <w:spacing w:val="-5"/>
        </w:rPr>
        <w:t xml:space="preserve"> </w:t>
      </w:r>
      <w:r w:rsidRPr="002926D7">
        <w:rPr>
          <w:color w:val="212529"/>
          <w:spacing w:val="-2"/>
        </w:rPr>
        <w:t>own</w:t>
      </w:r>
      <w:r w:rsidRPr="002926D7">
        <w:rPr>
          <w:color w:val="212529"/>
          <w:spacing w:val="-5"/>
        </w:rPr>
        <w:t xml:space="preserve"> </w:t>
      </w:r>
      <w:r w:rsidRPr="002926D7">
        <w:rPr>
          <w:color w:val="212529"/>
          <w:spacing w:val="-2"/>
        </w:rPr>
        <w:t>fiduciary</w:t>
      </w:r>
      <w:r w:rsidRPr="002926D7">
        <w:rPr>
          <w:color w:val="212529"/>
          <w:spacing w:val="-5"/>
        </w:rPr>
        <w:t xml:space="preserve"> </w:t>
      </w:r>
      <w:r w:rsidRPr="002926D7">
        <w:rPr>
          <w:color w:val="212529"/>
          <w:spacing w:val="-2"/>
        </w:rPr>
        <w:t>standards</w:t>
      </w:r>
      <w:r w:rsidRPr="002926D7">
        <w:rPr>
          <w:color w:val="212529"/>
          <w:spacing w:val="-6"/>
        </w:rPr>
        <w:t xml:space="preserve"> </w:t>
      </w:r>
      <w:r w:rsidRPr="002926D7">
        <w:rPr>
          <w:color w:val="212529"/>
          <w:spacing w:val="-2"/>
        </w:rPr>
        <w:t>and</w:t>
      </w:r>
      <w:r w:rsidRPr="002926D7">
        <w:rPr>
          <w:color w:val="212529"/>
          <w:spacing w:val="-5"/>
        </w:rPr>
        <w:t xml:space="preserve"> </w:t>
      </w:r>
      <w:r w:rsidRPr="002926D7">
        <w:rPr>
          <w:color w:val="212529"/>
          <w:spacing w:val="-2"/>
        </w:rPr>
        <w:t>responsibilities</w:t>
      </w:r>
      <w:r w:rsidRPr="002926D7">
        <w:rPr>
          <w:color w:val="212529"/>
          <w:spacing w:val="-6"/>
        </w:rPr>
        <w:t xml:space="preserve"> </w:t>
      </w:r>
      <w:r w:rsidRPr="002926D7">
        <w:rPr>
          <w:color w:val="212529"/>
          <w:spacing w:val="-2"/>
        </w:rPr>
        <w:t>as</w:t>
      </w:r>
      <w:r w:rsidRPr="002926D7">
        <w:rPr>
          <w:color w:val="212529"/>
          <w:spacing w:val="-6"/>
        </w:rPr>
        <w:t xml:space="preserve"> </w:t>
      </w:r>
      <w:r w:rsidRPr="002926D7">
        <w:rPr>
          <w:color w:val="212529"/>
          <w:spacing w:val="-2"/>
        </w:rPr>
        <w:t>GEF Agency</w:t>
      </w:r>
      <w:r w:rsidRPr="002926D7">
        <w:rPr>
          <w:color w:val="212529"/>
        </w:rPr>
        <w:t>. Progress on identifying qualified NGO responsible parties will be tabled in the NSC meetings and reported in the annual PIRs and documented in the midterm review</w:t>
      </w:r>
      <w:bookmarkEnd w:id="167"/>
      <w:r w:rsidRPr="002926D7">
        <w:rPr>
          <w:color w:val="212529"/>
        </w:rPr>
        <w:t>.</w:t>
      </w:r>
      <w:bookmarkEnd w:id="166"/>
    </w:p>
    <w:bookmarkEnd w:id="165"/>
    <w:p w14:paraId="1F790EC0" w14:textId="77777777" w:rsidR="001945BD" w:rsidRPr="002926D7" w:rsidRDefault="001945BD" w:rsidP="002926D7">
      <w:pPr>
        <w:rPr>
          <w:rFonts w:asciiTheme="minorHAnsi" w:hAnsiTheme="minorHAnsi" w:cstheme="minorHAnsi"/>
          <w:iCs/>
          <w:szCs w:val="20"/>
        </w:rPr>
      </w:pPr>
    </w:p>
    <w:p w14:paraId="0237A08A" w14:textId="70EEBD96" w:rsidR="001945BD" w:rsidRPr="002926D7" w:rsidRDefault="001945BD" w:rsidP="002926D7">
      <w:pPr>
        <w:numPr>
          <w:ilvl w:val="0"/>
          <w:numId w:val="8"/>
        </w:numPr>
        <w:ind w:left="0" w:firstLine="0"/>
        <w:rPr>
          <w:rFonts w:asciiTheme="minorHAnsi" w:hAnsiTheme="minorHAnsi" w:cstheme="minorHAnsi"/>
          <w:iCs/>
          <w:szCs w:val="20"/>
        </w:rPr>
      </w:pPr>
      <w:r w:rsidRPr="002926D7">
        <w:rPr>
          <w:rFonts w:asciiTheme="minorHAnsi" w:hAnsiTheme="minorHAnsi" w:cstheme="minorHAnsi"/>
          <w:b/>
          <w:bCs/>
          <w:szCs w:val="20"/>
          <w:u w:val="single"/>
        </w:rPr>
        <w:t>Programme Stakeholders and Target Groups</w:t>
      </w:r>
      <w:r w:rsidRPr="002926D7">
        <w:rPr>
          <w:rFonts w:asciiTheme="minorHAnsi" w:hAnsiTheme="minorHAnsi" w:cstheme="minorHAnsi"/>
          <w:szCs w:val="20"/>
        </w:rPr>
        <w:t xml:space="preserve">: </w:t>
      </w:r>
      <w:r w:rsidR="0067536B" w:rsidRPr="002926D7">
        <w:rPr>
          <w:rFonts w:asciiTheme="minorHAnsi" w:hAnsiTheme="minorHAnsi" w:cstheme="minorHAnsi"/>
          <w:szCs w:val="20"/>
        </w:rPr>
        <w:t>The programme stakeholders include the government agencies, civil society organizations, community-based organizations private sector and other stakeholders involved in the SGP in the respective countries. The target groups, i.e., grantee partners are the Indigenous Peoples and Local Communities (IPLCs) in the landscapes-seascapes where the grants are executed</w:t>
      </w:r>
      <w:r w:rsidRPr="002926D7">
        <w:rPr>
          <w:rFonts w:asciiTheme="minorHAnsi" w:hAnsiTheme="minorHAnsi" w:cstheme="minorHAnsi"/>
          <w:szCs w:val="20"/>
        </w:rPr>
        <w:t xml:space="preserve">. </w:t>
      </w:r>
    </w:p>
    <w:p w14:paraId="2B1677DF" w14:textId="77777777" w:rsidR="001945BD" w:rsidRPr="002926D7" w:rsidRDefault="001945BD" w:rsidP="002926D7">
      <w:pPr>
        <w:rPr>
          <w:rFonts w:asciiTheme="minorHAnsi" w:hAnsiTheme="minorHAnsi" w:cstheme="minorHAnsi"/>
          <w:iCs/>
          <w:szCs w:val="20"/>
        </w:rPr>
      </w:pPr>
    </w:p>
    <w:p w14:paraId="54F46459" w14:textId="350A306A" w:rsidR="003721F0" w:rsidRPr="002926D7" w:rsidRDefault="001945BD" w:rsidP="002926D7">
      <w:pPr>
        <w:numPr>
          <w:ilvl w:val="0"/>
          <w:numId w:val="8"/>
        </w:numPr>
        <w:ind w:left="0" w:firstLine="0"/>
        <w:rPr>
          <w:rFonts w:asciiTheme="minorHAnsi" w:hAnsiTheme="minorHAnsi" w:cstheme="minorHAnsi"/>
          <w:szCs w:val="20"/>
        </w:rPr>
      </w:pPr>
      <w:bookmarkStart w:id="168" w:name="_Hlk34670697"/>
      <w:r w:rsidRPr="002926D7">
        <w:rPr>
          <w:rFonts w:asciiTheme="minorHAnsi" w:hAnsiTheme="minorHAnsi" w:cstheme="minorHAnsi"/>
          <w:b/>
          <w:bCs/>
          <w:szCs w:val="20"/>
          <w:u w:val="single"/>
        </w:rPr>
        <w:t>UNDP</w:t>
      </w:r>
      <w:r w:rsidRPr="002926D7">
        <w:rPr>
          <w:rFonts w:asciiTheme="minorHAnsi" w:hAnsiTheme="minorHAnsi" w:cstheme="minorHAnsi"/>
          <w:szCs w:val="20"/>
          <w:u w:val="single"/>
        </w:rPr>
        <w:t>:</w:t>
      </w:r>
      <w:r w:rsidRPr="002926D7">
        <w:rPr>
          <w:rFonts w:asciiTheme="minorHAnsi" w:hAnsiTheme="minorHAnsi" w:cstheme="minorHAnsi"/>
          <w:szCs w:val="20"/>
        </w:rPr>
        <w:t xml:space="preserve"> </w:t>
      </w:r>
      <w:r w:rsidR="0067536B" w:rsidRPr="002926D7">
        <w:rPr>
          <w:rFonts w:asciiTheme="minorHAnsi" w:hAnsiTheme="minorHAnsi" w:cstheme="minorHAnsi"/>
          <w:szCs w:val="20"/>
        </w:rPr>
        <w:t>UNDP is accountable to the GEF for the</w:t>
      </w:r>
      <w:r w:rsidR="005C30E8" w:rsidRPr="002926D7">
        <w:rPr>
          <w:rFonts w:asciiTheme="minorHAnsi" w:hAnsiTheme="minorHAnsi" w:cstheme="minorHAnsi"/>
          <w:szCs w:val="20"/>
        </w:rPr>
        <w:t xml:space="preserve"> oversight and</w:t>
      </w:r>
      <w:r w:rsidR="0067536B" w:rsidRPr="002926D7">
        <w:rPr>
          <w:rFonts w:asciiTheme="minorHAnsi" w:hAnsiTheme="minorHAnsi" w:cstheme="minorHAnsi"/>
          <w:szCs w:val="20"/>
        </w:rPr>
        <w:t xml:space="preserve"> implementation of this programme. This includes overseeing programme execution undertaken by the Implementing Partner to ensure that the programme is being carried out in accordance with UNDP and GEF policies and procedures and the standards and provisions outlined in the Delegation of Authority (DOA) letter for this project. </w:t>
      </w:r>
      <w:r w:rsidR="0067536B" w:rsidRPr="002926D7">
        <w:rPr>
          <w:rFonts w:asciiTheme="minorHAnsi" w:hAnsiTheme="minorHAnsi" w:cstheme="minorHAnsi"/>
          <w:b/>
          <w:bCs/>
          <w:szCs w:val="20"/>
        </w:rPr>
        <w:t>The UNDP BPPS Vertical Fund Programme Support, Oversight and Compliance Unit Executive Coordinator, in consultation with UNDP Bureaus and the Implementing Partner, retains the right to revoke the project DOA, suspend or cancel this GEF project.</w:t>
      </w:r>
      <w:r w:rsidR="0067536B" w:rsidRPr="002926D7">
        <w:rPr>
          <w:rFonts w:asciiTheme="minorHAnsi" w:hAnsiTheme="minorHAnsi" w:cstheme="minorHAnsi"/>
          <w:szCs w:val="20"/>
        </w:rPr>
        <w:t xml:space="preserve"> UNDP is responsible for the Programme Assurance function in the programme governance structure and presents to the SGP Global Steering Committee and attends Steering Committee meetings as a non-voting member</w:t>
      </w:r>
      <w:r w:rsidRPr="002926D7">
        <w:rPr>
          <w:rFonts w:asciiTheme="minorHAnsi" w:hAnsiTheme="minorHAnsi" w:cstheme="minorHAnsi"/>
          <w:szCs w:val="20"/>
        </w:rPr>
        <w:t>.</w:t>
      </w:r>
      <w:bookmarkEnd w:id="156"/>
    </w:p>
    <w:p w14:paraId="3EBA9149" w14:textId="77777777" w:rsidR="003721F0" w:rsidRPr="002926D7" w:rsidRDefault="003721F0" w:rsidP="002926D7">
      <w:pPr>
        <w:pStyle w:val="ListParagraph"/>
        <w:rPr>
          <w:rFonts w:asciiTheme="minorHAnsi" w:hAnsiTheme="minorHAnsi" w:cstheme="minorHAnsi"/>
          <w:szCs w:val="20"/>
        </w:rPr>
      </w:pPr>
    </w:p>
    <w:p w14:paraId="773B9CEF" w14:textId="0C1839B7" w:rsidR="003721F0" w:rsidRPr="002926D7" w:rsidRDefault="003721F0" w:rsidP="002926D7">
      <w:pPr>
        <w:numPr>
          <w:ilvl w:val="0"/>
          <w:numId w:val="8"/>
        </w:numPr>
        <w:ind w:left="0" w:firstLine="0"/>
        <w:rPr>
          <w:rFonts w:asciiTheme="minorHAnsi" w:hAnsiTheme="minorHAnsi" w:cstheme="minorHAnsi"/>
          <w:szCs w:val="20"/>
        </w:rPr>
      </w:pPr>
      <w:bookmarkStart w:id="169" w:name="_Hlk168064246"/>
      <w:r w:rsidRPr="002926D7">
        <w:rPr>
          <w:rFonts w:asciiTheme="minorHAnsi" w:hAnsiTheme="minorHAnsi" w:cstheme="minorHAnsi"/>
          <w:szCs w:val="20"/>
        </w:rPr>
        <w:t xml:space="preserve">A strict firewall will be maintained between the delivery of </w:t>
      </w:r>
      <w:r w:rsidR="00A7581C" w:rsidRPr="002926D7">
        <w:rPr>
          <w:rFonts w:asciiTheme="minorHAnsi" w:hAnsiTheme="minorHAnsi" w:cstheme="minorHAnsi"/>
          <w:szCs w:val="20"/>
        </w:rPr>
        <w:t xml:space="preserve">programme </w:t>
      </w:r>
      <w:r w:rsidRPr="002926D7">
        <w:rPr>
          <w:rFonts w:asciiTheme="minorHAnsi" w:hAnsiTheme="minorHAnsi" w:cstheme="minorHAnsi"/>
          <w:szCs w:val="20"/>
        </w:rPr>
        <w:t xml:space="preserve">oversight and quality assurance performed by UNDP and </w:t>
      </w:r>
      <w:r w:rsidR="00A7581C" w:rsidRPr="002926D7">
        <w:rPr>
          <w:rFonts w:asciiTheme="minorHAnsi" w:hAnsiTheme="minorHAnsi" w:cstheme="minorHAnsi"/>
          <w:szCs w:val="20"/>
        </w:rPr>
        <w:t xml:space="preserve">programme </w:t>
      </w:r>
      <w:r w:rsidRPr="002926D7">
        <w:rPr>
          <w:rFonts w:asciiTheme="minorHAnsi" w:hAnsiTheme="minorHAnsi" w:cstheme="minorHAnsi"/>
          <w:szCs w:val="20"/>
        </w:rPr>
        <w:t>execution undertaken by UNDP. The segregation of functions and firewall provisions within UNDP in this case is described in the next section</w:t>
      </w:r>
      <w:bookmarkEnd w:id="169"/>
      <w:r w:rsidRPr="002926D7">
        <w:rPr>
          <w:rFonts w:asciiTheme="minorHAnsi" w:hAnsiTheme="minorHAnsi" w:cstheme="minorHAnsi"/>
          <w:szCs w:val="20"/>
        </w:rPr>
        <w:t>.</w:t>
      </w:r>
    </w:p>
    <w:bookmarkEnd w:id="157"/>
    <w:bookmarkEnd w:id="168"/>
    <w:p w14:paraId="07D2CD94" w14:textId="77777777" w:rsidR="001945BD" w:rsidRPr="002926D7" w:rsidRDefault="001945BD" w:rsidP="002926D7">
      <w:pPr>
        <w:rPr>
          <w:rFonts w:asciiTheme="minorHAnsi" w:hAnsiTheme="minorHAnsi" w:cstheme="minorHAnsi"/>
          <w:iCs/>
          <w:szCs w:val="20"/>
        </w:rPr>
      </w:pPr>
    </w:p>
    <w:p w14:paraId="14ED7C41" w14:textId="14E6B8A2" w:rsidR="00C20BB4" w:rsidRPr="002926D7" w:rsidRDefault="001945BD" w:rsidP="002926D7">
      <w:pPr>
        <w:rPr>
          <w:rFonts w:asciiTheme="minorHAnsi" w:hAnsiTheme="minorHAnsi" w:cstheme="minorHAnsi"/>
          <w:b/>
          <w:noProof/>
          <w:szCs w:val="20"/>
          <w:u w:val="single"/>
          <w:lang w:eastAsia="zh-CN"/>
        </w:rPr>
      </w:pPr>
      <w:r w:rsidRPr="002926D7">
        <w:rPr>
          <w:rFonts w:asciiTheme="minorHAnsi" w:hAnsiTheme="minorHAnsi" w:cstheme="minorHAnsi"/>
          <w:b/>
          <w:noProof/>
          <w:szCs w:val="20"/>
          <w:u w:val="single"/>
          <w:lang w:eastAsia="zh-CN"/>
        </w:rPr>
        <w:t xml:space="preserve">Section 2: </w:t>
      </w:r>
      <w:r w:rsidR="00CB5EC1" w:rsidRPr="002926D7">
        <w:rPr>
          <w:rFonts w:asciiTheme="minorHAnsi" w:hAnsiTheme="minorHAnsi" w:cstheme="minorHAnsi"/>
          <w:b/>
          <w:noProof/>
          <w:szCs w:val="20"/>
          <w:u w:val="single"/>
          <w:lang w:eastAsia="zh-CN"/>
        </w:rPr>
        <w:t>G</w:t>
      </w:r>
      <w:r w:rsidRPr="002926D7">
        <w:rPr>
          <w:rFonts w:asciiTheme="minorHAnsi" w:hAnsiTheme="minorHAnsi" w:cstheme="minorHAnsi"/>
          <w:b/>
          <w:noProof/>
          <w:szCs w:val="20"/>
          <w:u w:val="single"/>
          <w:lang w:eastAsia="zh-CN"/>
        </w:rPr>
        <w:t>overnance structure</w:t>
      </w:r>
      <w:bookmarkStart w:id="170" w:name="_Hlk89352636"/>
      <w:bookmarkEnd w:id="163"/>
    </w:p>
    <w:p w14:paraId="00B85146" w14:textId="7245CAE8" w:rsidR="0010762B" w:rsidRPr="002926D7" w:rsidRDefault="0010762B" w:rsidP="002926D7">
      <w:pPr>
        <w:pStyle w:val="Caption"/>
        <w:rPr>
          <w:rFonts w:asciiTheme="minorHAnsi" w:hAnsiTheme="minorHAnsi" w:cstheme="minorHAnsi"/>
          <w:i w:val="0"/>
          <w:iCs/>
          <w:szCs w:val="20"/>
        </w:rPr>
      </w:pPr>
    </w:p>
    <w:p w14:paraId="07734E29" w14:textId="3BD4F440" w:rsidR="005B78A4" w:rsidRPr="002926D7" w:rsidRDefault="00A7581C" w:rsidP="002926D7">
      <w:pPr>
        <w:pStyle w:val="Caption"/>
        <w:rPr>
          <w:rFonts w:asciiTheme="minorHAnsi" w:hAnsiTheme="minorHAnsi" w:cstheme="minorHAnsi"/>
          <w:szCs w:val="20"/>
        </w:rPr>
      </w:pPr>
      <w:r w:rsidRPr="002926D7">
        <w:rPr>
          <w:rFonts w:asciiTheme="minorHAnsi" w:hAnsiTheme="minorHAnsi" w:cstheme="minorHAnsi"/>
          <w:noProof/>
          <w:szCs w:val="20"/>
        </w:rPr>
        <w:lastRenderedPageBreak/>
        <w:drawing>
          <wp:inline distT="0" distB="0" distL="0" distR="0" wp14:anchorId="73AB19E2" wp14:editId="51FA2CAF">
            <wp:extent cx="4745619" cy="4328556"/>
            <wp:effectExtent l="0" t="0" r="0" b="0"/>
            <wp:docPr id="134630997"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30997" name="Picture 1" descr="A diagram of a company&#10;&#10;Description automatically generated"/>
                    <pic:cNvPicPr/>
                  </pic:nvPicPr>
                  <pic:blipFill rotWithShape="1">
                    <a:blip r:embed="rId27">
                      <a:extLst>
                        <a:ext uri="{28A0092B-C50C-407E-A947-70E740481C1C}">
                          <a14:useLocalDpi xmlns:a14="http://schemas.microsoft.com/office/drawing/2010/main" val="0"/>
                        </a:ext>
                      </a:extLst>
                    </a:blip>
                    <a:srcRect l="17184" t="10745" r="27772"/>
                    <a:stretch/>
                  </pic:blipFill>
                  <pic:spPr bwMode="auto">
                    <a:xfrm>
                      <a:off x="0" y="0"/>
                      <a:ext cx="4758706" cy="4340493"/>
                    </a:xfrm>
                    <a:prstGeom prst="rect">
                      <a:avLst/>
                    </a:prstGeom>
                    <a:ln>
                      <a:noFill/>
                    </a:ln>
                    <a:extLst>
                      <a:ext uri="{53640926-AAD7-44D8-BBD7-CCE9431645EC}">
                        <a14:shadowObscured xmlns:a14="http://schemas.microsoft.com/office/drawing/2010/main"/>
                      </a:ext>
                    </a:extLst>
                  </pic:spPr>
                </pic:pic>
              </a:graphicData>
            </a:graphic>
          </wp:inline>
        </w:drawing>
      </w:r>
    </w:p>
    <w:p w14:paraId="53745F7A" w14:textId="467992EB" w:rsidR="001945BD" w:rsidRPr="002926D7" w:rsidRDefault="001945BD" w:rsidP="002926D7">
      <w:pPr>
        <w:pStyle w:val="Caption"/>
        <w:rPr>
          <w:rFonts w:asciiTheme="minorHAnsi" w:hAnsiTheme="minorHAnsi" w:cstheme="minorHAnsi"/>
          <w:szCs w:val="20"/>
        </w:rPr>
      </w:pPr>
      <w:bookmarkStart w:id="171" w:name="_Toc168062381"/>
      <w:r w:rsidRPr="002926D7">
        <w:rPr>
          <w:rFonts w:asciiTheme="minorHAnsi" w:hAnsiTheme="minorHAnsi" w:cstheme="minorHAnsi"/>
          <w:szCs w:val="20"/>
        </w:rPr>
        <w:t xml:space="preserve">Figure </w:t>
      </w:r>
      <w:r w:rsidR="00A76DD9" w:rsidRPr="002926D7">
        <w:rPr>
          <w:rFonts w:asciiTheme="minorHAnsi" w:hAnsiTheme="minorHAnsi" w:cstheme="minorHAnsi"/>
          <w:szCs w:val="20"/>
        </w:rPr>
        <w:fldChar w:fldCharType="begin"/>
      </w:r>
      <w:r w:rsidR="00A76DD9" w:rsidRPr="002926D7">
        <w:rPr>
          <w:rFonts w:asciiTheme="minorHAnsi" w:hAnsiTheme="minorHAnsi" w:cstheme="minorHAnsi"/>
          <w:szCs w:val="20"/>
        </w:rPr>
        <w:instrText xml:space="preserve"> SEQ Figure \* ARABIC </w:instrText>
      </w:r>
      <w:r w:rsidR="00A76DD9" w:rsidRPr="002926D7">
        <w:rPr>
          <w:rFonts w:asciiTheme="minorHAnsi" w:hAnsiTheme="minorHAnsi" w:cstheme="minorHAnsi"/>
          <w:szCs w:val="20"/>
        </w:rPr>
        <w:fldChar w:fldCharType="separate"/>
      </w:r>
      <w:r w:rsidR="00D0082E" w:rsidRPr="002926D7">
        <w:rPr>
          <w:rFonts w:asciiTheme="minorHAnsi" w:hAnsiTheme="minorHAnsi" w:cstheme="minorHAnsi"/>
          <w:noProof/>
          <w:szCs w:val="20"/>
        </w:rPr>
        <w:t>2</w:t>
      </w:r>
      <w:r w:rsidR="00A76DD9" w:rsidRPr="002926D7">
        <w:rPr>
          <w:rFonts w:asciiTheme="minorHAnsi" w:hAnsiTheme="minorHAnsi" w:cstheme="minorHAnsi"/>
          <w:noProof/>
          <w:szCs w:val="20"/>
        </w:rPr>
        <w:fldChar w:fldCharType="end"/>
      </w:r>
      <w:r w:rsidRPr="002926D7">
        <w:rPr>
          <w:rFonts w:asciiTheme="minorHAnsi" w:hAnsiTheme="minorHAnsi" w:cstheme="minorHAnsi"/>
          <w:szCs w:val="20"/>
        </w:rPr>
        <w:t>: Programme Organization Structure</w:t>
      </w:r>
      <w:bookmarkEnd w:id="171"/>
    </w:p>
    <w:p w14:paraId="327FA53C" w14:textId="77777777" w:rsidR="001945BD" w:rsidRPr="002926D7" w:rsidRDefault="001945BD" w:rsidP="002926D7">
      <w:pPr>
        <w:rPr>
          <w:rFonts w:asciiTheme="minorHAnsi" w:hAnsiTheme="minorHAnsi" w:cstheme="minorHAnsi"/>
          <w:iCs/>
          <w:szCs w:val="20"/>
        </w:rPr>
      </w:pPr>
      <w:bookmarkStart w:id="172" w:name="_Hlk89352674"/>
      <w:bookmarkStart w:id="173" w:name="_Hlk70869737"/>
      <w:bookmarkStart w:id="174" w:name="_Hlk47271393"/>
      <w:bookmarkEnd w:id="170"/>
    </w:p>
    <w:p w14:paraId="65F2C76F" w14:textId="2550D459" w:rsidR="001945BD" w:rsidRPr="002926D7" w:rsidRDefault="001945BD" w:rsidP="002926D7">
      <w:pPr>
        <w:numPr>
          <w:ilvl w:val="0"/>
          <w:numId w:val="8"/>
        </w:numPr>
        <w:ind w:left="0" w:firstLine="0"/>
        <w:rPr>
          <w:rFonts w:asciiTheme="minorHAnsi" w:hAnsiTheme="minorHAnsi" w:cstheme="minorHAnsi"/>
          <w:szCs w:val="20"/>
        </w:rPr>
      </w:pPr>
      <w:bookmarkStart w:id="175" w:name="_Hlk132118583"/>
      <w:bookmarkStart w:id="176" w:name="_Hlk101797016"/>
      <w:r w:rsidRPr="002926D7">
        <w:rPr>
          <w:rFonts w:asciiTheme="minorHAnsi" w:hAnsiTheme="minorHAnsi" w:cstheme="minorHAnsi"/>
          <w:bCs/>
          <w:szCs w:val="20"/>
        </w:rPr>
        <w:t xml:space="preserve">UNDP BPPS </w:t>
      </w:r>
      <w:r w:rsidR="003721F0" w:rsidRPr="002926D7">
        <w:rPr>
          <w:rFonts w:asciiTheme="minorHAnsi" w:hAnsiTheme="minorHAnsi" w:cstheme="minorHAnsi"/>
          <w:bCs/>
          <w:szCs w:val="20"/>
        </w:rPr>
        <w:t xml:space="preserve">Nature Hub, </w:t>
      </w:r>
      <w:r w:rsidR="003721F0" w:rsidRPr="002926D7">
        <w:rPr>
          <w:rFonts w:asciiTheme="minorHAnsi" w:hAnsiTheme="minorHAnsi" w:cstheme="minorHAnsi"/>
          <w:szCs w:val="20"/>
        </w:rPr>
        <w:t xml:space="preserve">in close coordination with UNDP BPPS VF Hub, </w:t>
      </w:r>
      <w:r w:rsidRPr="002926D7">
        <w:rPr>
          <w:rFonts w:asciiTheme="minorHAnsi" w:hAnsiTheme="minorHAnsi" w:cstheme="minorHAnsi"/>
          <w:bCs/>
          <w:szCs w:val="20"/>
        </w:rPr>
        <w:t xml:space="preserve">assumes full </w:t>
      </w:r>
      <w:r w:rsidRPr="002926D7">
        <w:rPr>
          <w:rFonts w:asciiTheme="minorHAnsi" w:eastAsia="Times New Roman" w:hAnsiTheme="minorHAnsi" w:cstheme="minorHAnsi"/>
          <w:bCs/>
          <w:color w:val="000000"/>
          <w:szCs w:val="20"/>
        </w:rPr>
        <w:t>responsibility and accountability for oversight and quality assurance of</w:t>
      </w:r>
      <w:r w:rsidRPr="002926D7">
        <w:rPr>
          <w:rFonts w:asciiTheme="minorHAnsi" w:eastAsia="Times New Roman" w:hAnsiTheme="minorHAnsi" w:cstheme="minorHAnsi"/>
          <w:color w:val="000000"/>
          <w:szCs w:val="20"/>
        </w:rPr>
        <w:t xml:space="preserve"> this programme and ensures its timely implementation in compliance with the GEF-specific requirements and UNDP’s Programme and Operations Policies and Procedures (POPP), its Financial Regulations and Rules and Internal Control Framework.</w:t>
      </w:r>
      <w:r w:rsidRPr="002926D7">
        <w:rPr>
          <w:rFonts w:asciiTheme="minorHAnsi" w:hAnsiTheme="minorHAnsi" w:cstheme="minorHAnsi"/>
          <w:szCs w:val="20"/>
        </w:rPr>
        <w:t xml:space="preserve"> UNDP BPPS </w:t>
      </w:r>
      <w:r w:rsidR="003721F0" w:rsidRPr="002926D7">
        <w:rPr>
          <w:rFonts w:asciiTheme="minorHAnsi" w:hAnsiTheme="minorHAnsi" w:cstheme="minorHAnsi"/>
          <w:szCs w:val="20"/>
        </w:rPr>
        <w:t xml:space="preserve">Nature Hub </w:t>
      </w:r>
      <w:r w:rsidRPr="002926D7">
        <w:rPr>
          <w:rFonts w:asciiTheme="minorHAnsi" w:hAnsiTheme="minorHAnsi" w:cstheme="minorHAnsi"/>
          <w:szCs w:val="20"/>
        </w:rPr>
        <w:t>representative</w:t>
      </w:r>
      <w:r w:rsidR="003721F0" w:rsidRPr="002926D7">
        <w:rPr>
          <w:rFonts w:asciiTheme="minorHAnsi" w:hAnsiTheme="minorHAnsi" w:cstheme="minorHAnsi"/>
          <w:szCs w:val="20"/>
        </w:rPr>
        <w:t>s</w:t>
      </w:r>
      <w:r w:rsidRPr="002926D7">
        <w:rPr>
          <w:rFonts w:asciiTheme="minorHAnsi" w:hAnsiTheme="minorHAnsi" w:cstheme="minorHAnsi"/>
          <w:szCs w:val="20"/>
        </w:rPr>
        <w:t xml:space="preserve"> </w:t>
      </w:r>
      <w:r w:rsidR="002F73F9" w:rsidRPr="002926D7">
        <w:rPr>
          <w:rFonts w:asciiTheme="minorHAnsi" w:hAnsiTheme="minorHAnsi" w:cstheme="minorHAnsi"/>
          <w:szCs w:val="20"/>
        </w:rPr>
        <w:t xml:space="preserve">(UNDP Nature Hub Principal Technical Advisor and UNDP Nature Hub Global Technical Advisor) </w:t>
      </w:r>
      <w:r w:rsidRPr="002926D7">
        <w:rPr>
          <w:rFonts w:asciiTheme="minorHAnsi" w:hAnsiTheme="minorHAnsi" w:cstheme="minorHAnsi"/>
          <w:szCs w:val="20"/>
        </w:rPr>
        <w:t xml:space="preserve">will assume the assurance role and will present assurance findings to the </w:t>
      </w:r>
      <w:r w:rsidR="007014C7" w:rsidRPr="002926D7">
        <w:rPr>
          <w:rFonts w:asciiTheme="minorHAnsi" w:hAnsiTheme="minorHAnsi" w:cstheme="minorHAnsi"/>
          <w:szCs w:val="20"/>
        </w:rPr>
        <w:t xml:space="preserve">UNDP SGP Global </w:t>
      </w:r>
      <w:r w:rsidRPr="002926D7">
        <w:rPr>
          <w:rFonts w:asciiTheme="minorHAnsi" w:hAnsiTheme="minorHAnsi" w:cstheme="minorHAnsi"/>
          <w:szCs w:val="20"/>
        </w:rPr>
        <w:t>Board, and therefore attends Board meetings as a non-voting member</w:t>
      </w:r>
      <w:r w:rsidR="002F73F9" w:rsidRPr="002926D7">
        <w:rPr>
          <w:rFonts w:asciiTheme="minorHAnsi" w:hAnsiTheme="minorHAnsi" w:cstheme="minorHAnsi"/>
          <w:szCs w:val="20"/>
        </w:rPr>
        <w:t>s</w:t>
      </w:r>
      <w:r w:rsidRPr="002926D7">
        <w:rPr>
          <w:rFonts w:asciiTheme="minorHAnsi" w:hAnsiTheme="minorHAnsi" w:cstheme="minorHAnsi"/>
          <w:szCs w:val="20"/>
        </w:rPr>
        <w:t>.</w:t>
      </w:r>
    </w:p>
    <w:bookmarkEnd w:id="175"/>
    <w:bookmarkEnd w:id="176"/>
    <w:p w14:paraId="2DD9E8F5" w14:textId="77777777" w:rsidR="001945BD" w:rsidRPr="002926D7" w:rsidRDefault="001945BD" w:rsidP="002926D7">
      <w:pPr>
        <w:rPr>
          <w:rFonts w:asciiTheme="minorHAnsi" w:hAnsiTheme="minorHAnsi" w:cstheme="minorHAnsi"/>
          <w:iCs/>
          <w:szCs w:val="20"/>
        </w:rPr>
      </w:pPr>
    </w:p>
    <w:p w14:paraId="1BCACD9B" w14:textId="2A379F17" w:rsidR="001945BD" w:rsidRPr="002926D7" w:rsidRDefault="001945BD" w:rsidP="002926D7">
      <w:pPr>
        <w:rPr>
          <w:rFonts w:asciiTheme="minorHAnsi" w:hAnsiTheme="minorHAnsi" w:cstheme="minorHAnsi"/>
          <w:b/>
          <w:bCs/>
          <w:iCs/>
          <w:szCs w:val="20"/>
          <w:u w:val="single"/>
        </w:rPr>
      </w:pPr>
      <w:r w:rsidRPr="002926D7">
        <w:rPr>
          <w:rFonts w:asciiTheme="minorHAnsi" w:hAnsiTheme="minorHAnsi" w:cstheme="minorHAnsi"/>
          <w:b/>
          <w:bCs/>
          <w:iCs/>
          <w:szCs w:val="20"/>
          <w:u w:val="single"/>
        </w:rPr>
        <w:t xml:space="preserve">Section 3: Segregation of duties and firewalls vis-á-vis UNDP representation on the </w:t>
      </w:r>
      <w:r w:rsidR="003F3C0B" w:rsidRPr="002926D7">
        <w:rPr>
          <w:rFonts w:asciiTheme="minorHAnsi" w:hAnsiTheme="minorHAnsi" w:cstheme="minorHAnsi"/>
          <w:b/>
          <w:bCs/>
          <w:iCs/>
          <w:szCs w:val="20"/>
          <w:u w:val="single"/>
        </w:rPr>
        <w:t xml:space="preserve">UNDP SGP Global </w:t>
      </w:r>
      <w:r w:rsidRPr="002926D7">
        <w:rPr>
          <w:rFonts w:asciiTheme="minorHAnsi" w:hAnsiTheme="minorHAnsi" w:cstheme="minorHAnsi"/>
          <w:b/>
          <w:bCs/>
          <w:iCs/>
          <w:szCs w:val="20"/>
          <w:u w:val="single"/>
        </w:rPr>
        <w:t>Board</w:t>
      </w:r>
    </w:p>
    <w:p w14:paraId="4E3E7B8A" w14:textId="77777777" w:rsidR="001945BD" w:rsidRPr="002926D7" w:rsidRDefault="001945BD" w:rsidP="002926D7">
      <w:pPr>
        <w:pStyle w:val="ListParagraph"/>
        <w:rPr>
          <w:rFonts w:asciiTheme="minorHAnsi" w:hAnsiTheme="minorHAnsi" w:cstheme="minorHAnsi"/>
          <w:noProof/>
          <w:szCs w:val="20"/>
          <w:u w:val="single"/>
          <w:lang w:eastAsia="zh-CN"/>
        </w:rPr>
      </w:pPr>
    </w:p>
    <w:p w14:paraId="3EC1548D" w14:textId="77777777" w:rsidR="002F73F9" w:rsidRPr="002926D7" w:rsidRDefault="001945BD" w:rsidP="002926D7">
      <w:pPr>
        <w:numPr>
          <w:ilvl w:val="0"/>
          <w:numId w:val="8"/>
        </w:numPr>
        <w:ind w:left="0" w:firstLine="0"/>
        <w:rPr>
          <w:rFonts w:asciiTheme="minorHAnsi" w:hAnsiTheme="minorHAnsi" w:cstheme="minorHAnsi"/>
          <w:szCs w:val="20"/>
          <w:lang w:eastAsia="zh-CN"/>
        </w:rPr>
      </w:pPr>
      <w:r w:rsidRPr="002926D7">
        <w:rPr>
          <w:rFonts w:asciiTheme="minorHAnsi" w:hAnsiTheme="minorHAnsi" w:cstheme="minorHAnsi"/>
          <w:szCs w:val="20"/>
          <w:lang w:eastAsia="zh-CN"/>
        </w:rPr>
        <w:t xml:space="preserve">As noted in the </w:t>
      </w:r>
      <w:hyperlink r:id="rId28">
        <w:r w:rsidRPr="002926D7">
          <w:rPr>
            <w:rFonts w:asciiTheme="minorHAnsi" w:hAnsiTheme="minorHAnsi" w:cstheme="minorHAnsi"/>
            <w:noProof/>
            <w:color w:val="0000FF"/>
            <w:szCs w:val="20"/>
            <w:u w:val="single"/>
            <w:lang w:eastAsia="zh-CN"/>
          </w:rPr>
          <w:t>Minimum Fiduciary Standards for GEF Partner Agencies</w:t>
        </w:r>
      </w:hyperlink>
      <w:r w:rsidRPr="002926D7">
        <w:rPr>
          <w:rFonts w:asciiTheme="minorHAnsi" w:hAnsiTheme="minorHAnsi" w:cstheme="minorHAnsi"/>
          <w:noProof/>
          <w:szCs w:val="20"/>
          <w:lang w:eastAsia="zh-CN"/>
        </w:rPr>
        <w:t>, in cases where a GEF Partner Agency (i.e.</w:t>
      </w:r>
      <w:r w:rsidRPr="002926D7">
        <w:rPr>
          <w:rFonts w:asciiTheme="minorHAnsi" w:hAnsiTheme="minorHAnsi" w:cstheme="minorHAnsi"/>
          <w:szCs w:val="20"/>
          <w:lang w:eastAsia="zh-CN"/>
        </w:rPr>
        <w:t xml:space="preserve"> UNDP) carries out both implementation oversight and execution of a project, the GEF Partner Agency (i.e. UNDP) must separate its project implementation oversight and execution duties, and describe in the relevant project</w:t>
      </w:r>
      <w:r w:rsidRPr="002926D7">
        <w:rPr>
          <w:rFonts w:asciiTheme="minorHAnsi" w:hAnsiTheme="minorHAnsi" w:cstheme="minorHAnsi"/>
          <w:szCs w:val="20"/>
        </w:rPr>
        <w:t xml:space="preserve"> </w:t>
      </w:r>
      <w:r w:rsidRPr="002926D7">
        <w:rPr>
          <w:rFonts w:asciiTheme="minorHAnsi" w:hAnsiTheme="minorHAnsi" w:cstheme="minorHAnsi"/>
          <w:szCs w:val="20"/>
          <w:lang w:eastAsia="zh-CN"/>
        </w:rPr>
        <w:t>document a: 1) Satisfactory institutional arrangement for the separation of implementation oversight and executing functions in different departments of the GEF Partner Agency; and 2) Clear lines of responsibility, reporting and accountability within the GEF Partner Agency between the programme implementation oversight and execution functions.</w:t>
      </w:r>
    </w:p>
    <w:p w14:paraId="283C96C7" w14:textId="77777777" w:rsidR="00A7581C" w:rsidRPr="002926D7" w:rsidRDefault="00A7581C" w:rsidP="002926D7">
      <w:pPr>
        <w:rPr>
          <w:rFonts w:asciiTheme="minorHAnsi" w:hAnsiTheme="minorHAnsi" w:cstheme="minorHAnsi"/>
          <w:szCs w:val="20"/>
          <w:lang w:eastAsia="zh-CN"/>
        </w:rPr>
      </w:pPr>
    </w:p>
    <w:p w14:paraId="37D409A5" w14:textId="3C194AF4" w:rsidR="002F73F9" w:rsidRPr="002926D7" w:rsidRDefault="002F73F9" w:rsidP="002926D7">
      <w:pPr>
        <w:numPr>
          <w:ilvl w:val="0"/>
          <w:numId w:val="8"/>
        </w:numPr>
        <w:ind w:left="0" w:firstLine="0"/>
        <w:rPr>
          <w:rFonts w:asciiTheme="minorHAnsi" w:hAnsiTheme="minorHAnsi" w:cstheme="minorHAnsi"/>
          <w:szCs w:val="20"/>
          <w:lang w:eastAsia="zh-CN"/>
        </w:rPr>
      </w:pPr>
      <w:bookmarkStart w:id="177" w:name="_Hlk168064285"/>
      <w:r w:rsidRPr="002926D7">
        <w:rPr>
          <w:rFonts w:asciiTheme="minorHAnsi" w:hAnsiTheme="minorHAnsi" w:cstheme="minorHAnsi"/>
          <w:szCs w:val="20"/>
          <w:lang w:eastAsia="zh-CN"/>
        </w:rPr>
        <w:t xml:space="preserve">In this case UNDP’s implementation oversight role in the </w:t>
      </w:r>
      <w:r w:rsidR="00A7581C" w:rsidRPr="002926D7">
        <w:rPr>
          <w:rFonts w:asciiTheme="minorHAnsi" w:hAnsiTheme="minorHAnsi" w:cstheme="minorHAnsi"/>
          <w:szCs w:val="20"/>
          <w:lang w:eastAsia="zh-CN"/>
        </w:rPr>
        <w:t xml:space="preserve">programme </w:t>
      </w:r>
      <w:r w:rsidRPr="002926D7">
        <w:rPr>
          <w:rFonts w:asciiTheme="minorHAnsi" w:hAnsiTheme="minorHAnsi" w:cstheme="minorHAnsi"/>
          <w:szCs w:val="20"/>
          <w:lang w:eastAsia="zh-CN"/>
        </w:rPr>
        <w:t xml:space="preserve">– as represented in the </w:t>
      </w:r>
      <w:r w:rsidR="00A7581C" w:rsidRPr="002926D7">
        <w:rPr>
          <w:rFonts w:asciiTheme="minorHAnsi" w:hAnsiTheme="minorHAnsi" w:cstheme="minorHAnsi"/>
          <w:szCs w:val="20"/>
          <w:lang w:eastAsia="zh-CN"/>
        </w:rPr>
        <w:t>B</w:t>
      </w:r>
      <w:r w:rsidRPr="002926D7">
        <w:rPr>
          <w:rFonts w:asciiTheme="minorHAnsi" w:hAnsiTheme="minorHAnsi" w:cstheme="minorHAnsi"/>
          <w:szCs w:val="20"/>
          <w:lang w:eastAsia="zh-CN"/>
        </w:rPr>
        <w:t xml:space="preserve">oard and via the </w:t>
      </w:r>
      <w:r w:rsidR="00A7581C" w:rsidRPr="002926D7">
        <w:rPr>
          <w:rFonts w:asciiTheme="minorHAnsi" w:hAnsiTheme="minorHAnsi" w:cstheme="minorHAnsi"/>
          <w:szCs w:val="20"/>
          <w:lang w:eastAsia="zh-CN"/>
        </w:rPr>
        <w:t xml:space="preserve">programme </w:t>
      </w:r>
      <w:r w:rsidRPr="002926D7">
        <w:rPr>
          <w:rFonts w:asciiTheme="minorHAnsi" w:hAnsiTheme="minorHAnsi" w:cstheme="minorHAnsi"/>
          <w:szCs w:val="20"/>
          <w:lang w:eastAsia="zh-CN"/>
        </w:rPr>
        <w:t>assurance function – is performed by Nature Hub, Principal Technical Advisor and</w:t>
      </w:r>
      <w:r w:rsidR="00CF6A9E" w:rsidRPr="002926D7">
        <w:rPr>
          <w:rFonts w:asciiTheme="minorHAnsi" w:hAnsiTheme="minorHAnsi" w:cstheme="minorHAnsi"/>
          <w:szCs w:val="20"/>
          <w:lang w:eastAsia="zh-CN"/>
        </w:rPr>
        <w:t xml:space="preserve"> the</w:t>
      </w:r>
      <w:r w:rsidRPr="002926D7">
        <w:rPr>
          <w:rFonts w:asciiTheme="minorHAnsi" w:hAnsiTheme="minorHAnsi" w:cstheme="minorHAnsi"/>
          <w:szCs w:val="20"/>
          <w:lang w:eastAsia="zh-CN"/>
        </w:rPr>
        <w:t xml:space="preserve"> Nature Hub, Global Technical Advisor</w:t>
      </w:r>
      <w:bookmarkEnd w:id="177"/>
      <w:r w:rsidRPr="002926D7">
        <w:rPr>
          <w:rFonts w:asciiTheme="minorHAnsi" w:hAnsiTheme="minorHAnsi" w:cstheme="minorHAnsi"/>
          <w:szCs w:val="20"/>
          <w:lang w:eastAsia="zh-CN"/>
        </w:rPr>
        <w:t xml:space="preserve">. </w:t>
      </w:r>
    </w:p>
    <w:p w14:paraId="7AF1C1CC" w14:textId="77777777" w:rsidR="00B7250C" w:rsidRPr="002926D7" w:rsidRDefault="00B7250C" w:rsidP="002926D7">
      <w:pPr>
        <w:rPr>
          <w:rFonts w:asciiTheme="minorHAnsi" w:hAnsiTheme="minorHAnsi" w:cstheme="minorHAnsi"/>
          <w:szCs w:val="20"/>
          <w:lang w:eastAsia="zh-CN"/>
        </w:rPr>
      </w:pPr>
    </w:p>
    <w:p w14:paraId="4DEAD77D" w14:textId="6CF30309" w:rsidR="002F73F9" w:rsidRPr="002926D7" w:rsidRDefault="00EF7B09" w:rsidP="002926D7">
      <w:pPr>
        <w:numPr>
          <w:ilvl w:val="0"/>
          <w:numId w:val="8"/>
        </w:numPr>
        <w:ind w:left="0" w:firstLine="0"/>
        <w:rPr>
          <w:rFonts w:asciiTheme="minorHAnsi" w:hAnsiTheme="minorHAnsi" w:cstheme="minorHAnsi"/>
          <w:szCs w:val="20"/>
          <w:lang w:eastAsia="zh-CN"/>
        </w:rPr>
      </w:pPr>
      <w:r w:rsidRPr="002926D7">
        <w:rPr>
          <w:rFonts w:asciiTheme="minorHAnsi" w:hAnsiTheme="minorHAnsi" w:cstheme="minorHAnsi"/>
          <w:b/>
          <w:szCs w:val="22"/>
        </w:rPr>
        <w:lastRenderedPageBreak/>
        <w:t>At global Level:</w:t>
      </w:r>
      <w:r w:rsidRPr="002926D7">
        <w:rPr>
          <w:rFonts w:asciiTheme="minorHAnsi" w:hAnsiTheme="minorHAnsi" w:cstheme="minorHAnsi"/>
          <w:szCs w:val="22"/>
        </w:rPr>
        <w:t xml:space="preserve"> GEF SGP will be overseen at the programme level by UNDP staff from the BPPS Nature Hub in close coordination with UNDP BPPS VF Hub. These units and functions are institutionally separate and have distinct reporting lines from the execution functions listed below</w:t>
      </w:r>
      <w:r w:rsidR="002F73F9" w:rsidRPr="002926D7">
        <w:rPr>
          <w:rFonts w:asciiTheme="minorHAnsi" w:hAnsiTheme="minorHAnsi" w:cstheme="minorHAnsi"/>
          <w:szCs w:val="20"/>
        </w:rPr>
        <w:t xml:space="preserve">. </w:t>
      </w:r>
    </w:p>
    <w:p w14:paraId="4559C3E1" w14:textId="77777777" w:rsidR="002F73F9" w:rsidRPr="002926D7" w:rsidRDefault="002F73F9" w:rsidP="002926D7">
      <w:pPr>
        <w:pStyle w:val="ListParagraph"/>
        <w:numPr>
          <w:ilvl w:val="0"/>
          <w:numId w:val="30"/>
        </w:numPr>
        <w:jc w:val="left"/>
        <w:rPr>
          <w:rFonts w:asciiTheme="minorHAnsi" w:hAnsiTheme="minorHAnsi" w:cstheme="minorHAnsi"/>
          <w:szCs w:val="20"/>
          <w:lang w:eastAsia="zh-CN"/>
        </w:rPr>
      </w:pPr>
      <w:bookmarkStart w:id="178" w:name="_Hlk153903662"/>
      <w:r w:rsidRPr="002926D7">
        <w:rPr>
          <w:rFonts w:asciiTheme="minorHAnsi" w:hAnsiTheme="minorHAnsi" w:cstheme="minorHAnsi"/>
          <w:szCs w:val="20"/>
          <w:lang w:eastAsia="zh-CN"/>
        </w:rPr>
        <w:t>Principal Technical Advisor, Biodiversity and Ecosystem, Nature Hub</w:t>
      </w:r>
    </w:p>
    <w:p w14:paraId="1FBC770A" w14:textId="77777777" w:rsidR="002F73F9" w:rsidRPr="002926D7" w:rsidRDefault="002F73F9" w:rsidP="002926D7">
      <w:pPr>
        <w:pStyle w:val="ListParagraph"/>
        <w:numPr>
          <w:ilvl w:val="0"/>
          <w:numId w:val="30"/>
        </w:numPr>
        <w:jc w:val="left"/>
        <w:rPr>
          <w:rFonts w:asciiTheme="minorHAnsi" w:hAnsiTheme="minorHAnsi" w:cstheme="minorHAnsi"/>
          <w:szCs w:val="20"/>
          <w:lang w:eastAsia="zh-CN"/>
        </w:rPr>
      </w:pPr>
      <w:r w:rsidRPr="002926D7">
        <w:rPr>
          <w:rFonts w:asciiTheme="minorHAnsi" w:hAnsiTheme="minorHAnsi" w:cstheme="minorHAnsi"/>
          <w:szCs w:val="20"/>
          <w:lang w:eastAsia="zh-CN"/>
        </w:rPr>
        <w:t>Local Action Lead and Global/Senior Technical Advisor, Nature Hub</w:t>
      </w:r>
    </w:p>
    <w:bookmarkEnd w:id="178"/>
    <w:p w14:paraId="6E3DDD51" w14:textId="77777777" w:rsidR="002F73F9" w:rsidRPr="002926D7" w:rsidRDefault="002F73F9" w:rsidP="002926D7">
      <w:pPr>
        <w:rPr>
          <w:rFonts w:asciiTheme="minorHAnsi" w:hAnsiTheme="minorHAnsi" w:cstheme="minorHAnsi"/>
          <w:bCs/>
          <w:noProof/>
          <w:szCs w:val="20"/>
          <w:lang w:eastAsia="zh-CN"/>
        </w:rPr>
      </w:pPr>
    </w:p>
    <w:p w14:paraId="6AF90212" w14:textId="1F5672E9" w:rsidR="00153135" w:rsidRPr="002926D7" w:rsidRDefault="002F73F9" w:rsidP="002926D7">
      <w:pPr>
        <w:numPr>
          <w:ilvl w:val="0"/>
          <w:numId w:val="8"/>
        </w:numPr>
        <w:ind w:left="0" w:firstLine="0"/>
        <w:rPr>
          <w:rFonts w:asciiTheme="minorHAnsi" w:hAnsiTheme="minorHAnsi" w:cstheme="minorHAnsi"/>
          <w:szCs w:val="20"/>
        </w:rPr>
      </w:pPr>
      <w:bookmarkStart w:id="179" w:name="_Hlk168064342"/>
      <w:r w:rsidRPr="002926D7">
        <w:rPr>
          <w:rFonts w:asciiTheme="minorHAnsi" w:hAnsiTheme="minorHAnsi" w:cstheme="minorHAnsi"/>
          <w:szCs w:val="20"/>
          <w:lang w:eastAsia="zh-CN"/>
        </w:rPr>
        <w:t>Global</w:t>
      </w:r>
      <w:r w:rsidRPr="002926D7">
        <w:rPr>
          <w:rFonts w:asciiTheme="minorHAnsi" w:hAnsiTheme="minorHAnsi" w:cstheme="minorHAnsi"/>
          <w:szCs w:val="20"/>
        </w:rPr>
        <w:t xml:space="preserve"> Level Execution Arrangements</w:t>
      </w:r>
      <w:r w:rsidR="005162AF" w:rsidRPr="002926D7">
        <w:rPr>
          <w:rFonts w:asciiTheme="minorHAnsi" w:hAnsiTheme="minorHAnsi" w:cstheme="minorHAnsi"/>
          <w:szCs w:val="20"/>
        </w:rPr>
        <w:t xml:space="preserve">: </w:t>
      </w:r>
      <w:r w:rsidRPr="002926D7">
        <w:rPr>
          <w:rFonts w:asciiTheme="minorHAnsi" w:hAnsiTheme="minorHAnsi" w:cstheme="minorHAnsi"/>
          <w:szCs w:val="20"/>
        </w:rPr>
        <w:t>At the global level, the SGP Central Programme Management Team (CPMT) will manage and coordinate execution functions, including coordinating and providing coherent technical guidance and support to country execution staff in the participating countries</w:t>
      </w:r>
      <w:r w:rsidR="003971BF" w:rsidRPr="002926D7">
        <w:rPr>
          <w:rFonts w:asciiTheme="minorHAnsi" w:hAnsiTheme="minorHAnsi" w:cstheme="minorHAnsi"/>
          <w:szCs w:val="20"/>
        </w:rPr>
        <w:t>. These global execution staff are distinct from the global staff engaged in oversight functions and reporting lines are fully segregated, thus ensuring a firewall between implementation and execution</w:t>
      </w:r>
      <w:bookmarkEnd w:id="179"/>
      <w:r w:rsidR="003971BF" w:rsidRPr="002926D7">
        <w:rPr>
          <w:rFonts w:asciiTheme="minorHAnsi" w:hAnsiTheme="minorHAnsi" w:cstheme="minorHAnsi"/>
          <w:szCs w:val="20"/>
        </w:rPr>
        <w:t>.</w:t>
      </w:r>
      <w:r w:rsidRPr="002926D7">
        <w:rPr>
          <w:rFonts w:asciiTheme="minorHAnsi" w:hAnsiTheme="minorHAnsi" w:cstheme="minorHAnsi"/>
          <w:szCs w:val="20"/>
        </w:rPr>
        <w:t xml:space="preserve"> </w:t>
      </w:r>
    </w:p>
    <w:p w14:paraId="455042FB" w14:textId="77777777" w:rsidR="00B7250C" w:rsidRPr="002926D7" w:rsidRDefault="00B7250C" w:rsidP="002926D7">
      <w:pPr>
        <w:rPr>
          <w:rFonts w:asciiTheme="minorHAnsi" w:hAnsiTheme="minorHAnsi" w:cstheme="minorHAnsi"/>
          <w:szCs w:val="20"/>
        </w:rPr>
      </w:pPr>
    </w:p>
    <w:p w14:paraId="2F2D1C5B" w14:textId="0F1293B8" w:rsidR="002F73F9" w:rsidRPr="002926D7" w:rsidRDefault="002F73F9" w:rsidP="002926D7">
      <w:pPr>
        <w:numPr>
          <w:ilvl w:val="0"/>
          <w:numId w:val="8"/>
        </w:numPr>
        <w:ind w:left="0" w:firstLine="0"/>
        <w:rPr>
          <w:rFonts w:asciiTheme="minorHAnsi" w:hAnsiTheme="minorHAnsi" w:cstheme="minorHAnsi"/>
          <w:szCs w:val="20"/>
        </w:rPr>
      </w:pPr>
      <w:r w:rsidRPr="002926D7">
        <w:rPr>
          <w:rFonts w:asciiTheme="minorHAnsi" w:hAnsiTheme="minorHAnsi" w:cstheme="minorHAnsi"/>
          <w:szCs w:val="20"/>
        </w:rPr>
        <w:t>At country level:</w:t>
      </w:r>
      <w:r w:rsidR="005162AF" w:rsidRPr="002926D7">
        <w:rPr>
          <w:rFonts w:asciiTheme="minorHAnsi" w:hAnsiTheme="minorHAnsi" w:cstheme="minorHAnsi"/>
          <w:szCs w:val="20"/>
        </w:rPr>
        <w:t xml:space="preserve"> </w:t>
      </w:r>
      <w:r w:rsidRPr="002926D7">
        <w:rPr>
          <w:rFonts w:asciiTheme="minorHAnsi" w:hAnsiTheme="minorHAnsi" w:cstheme="minorHAnsi"/>
          <w:szCs w:val="20"/>
        </w:rPr>
        <w:t>Oversight and Quality Assurance will be provided by:</w:t>
      </w:r>
    </w:p>
    <w:p w14:paraId="70A5A78C" w14:textId="77777777" w:rsidR="002F73F9" w:rsidRPr="002926D7" w:rsidRDefault="002F73F9" w:rsidP="002926D7">
      <w:pPr>
        <w:pStyle w:val="ListParagraph"/>
        <w:numPr>
          <w:ilvl w:val="0"/>
          <w:numId w:val="36"/>
        </w:numPr>
        <w:spacing w:after="160" w:line="259" w:lineRule="auto"/>
        <w:contextualSpacing/>
        <w:jc w:val="left"/>
        <w:rPr>
          <w:rFonts w:asciiTheme="minorHAnsi" w:hAnsiTheme="minorHAnsi" w:cstheme="minorHAnsi"/>
          <w:szCs w:val="20"/>
        </w:rPr>
      </w:pPr>
      <w:r w:rsidRPr="002926D7">
        <w:rPr>
          <w:rFonts w:asciiTheme="minorHAnsi" w:hAnsiTheme="minorHAnsi" w:cstheme="minorHAnsi"/>
          <w:szCs w:val="20"/>
        </w:rPr>
        <w:t xml:space="preserve">Programmatic oversight (quality assurance) by the CO Environment Focal point </w:t>
      </w:r>
    </w:p>
    <w:p w14:paraId="563E856D" w14:textId="0E31A92C" w:rsidR="002F73F9" w:rsidRPr="002926D7" w:rsidRDefault="002F73F9" w:rsidP="002926D7">
      <w:pPr>
        <w:pStyle w:val="ListParagraph"/>
        <w:numPr>
          <w:ilvl w:val="0"/>
          <w:numId w:val="36"/>
        </w:numPr>
        <w:spacing w:after="160" w:line="259" w:lineRule="auto"/>
        <w:contextualSpacing/>
        <w:jc w:val="left"/>
        <w:rPr>
          <w:rFonts w:asciiTheme="minorHAnsi" w:hAnsiTheme="minorHAnsi" w:cstheme="minorHAnsi"/>
          <w:szCs w:val="20"/>
        </w:rPr>
      </w:pPr>
      <w:r w:rsidRPr="002926D7">
        <w:rPr>
          <w:rFonts w:asciiTheme="minorHAnsi" w:hAnsiTheme="minorHAnsi" w:cstheme="minorHAnsi"/>
          <w:szCs w:val="20"/>
        </w:rPr>
        <w:t>Representation on the National Steering Committee: RR/DRR</w:t>
      </w:r>
    </w:p>
    <w:p w14:paraId="77F011D4" w14:textId="1C208554" w:rsidR="003971BF" w:rsidRPr="002926D7" w:rsidRDefault="002F73F9" w:rsidP="002926D7">
      <w:pPr>
        <w:numPr>
          <w:ilvl w:val="0"/>
          <w:numId w:val="8"/>
        </w:numPr>
        <w:ind w:left="0" w:firstLine="0"/>
        <w:rPr>
          <w:rFonts w:asciiTheme="minorHAnsi" w:hAnsiTheme="minorHAnsi" w:cstheme="minorHAnsi"/>
          <w:szCs w:val="20"/>
        </w:rPr>
      </w:pPr>
      <w:bookmarkStart w:id="180" w:name="_Hlk168064422"/>
      <w:r w:rsidRPr="002926D7">
        <w:rPr>
          <w:rFonts w:asciiTheme="minorHAnsi" w:hAnsiTheme="minorHAnsi" w:cstheme="minorHAnsi"/>
          <w:szCs w:val="20"/>
        </w:rPr>
        <w:t>Country Level Execution Arrangements:</w:t>
      </w:r>
      <w:r w:rsidR="005162AF" w:rsidRPr="002926D7">
        <w:rPr>
          <w:rFonts w:asciiTheme="minorHAnsi" w:hAnsiTheme="minorHAnsi" w:cstheme="minorHAnsi"/>
          <w:szCs w:val="20"/>
        </w:rPr>
        <w:t xml:space="preserve"> </w:t>
      </w:r>
      <w:r w:rsidRPr="002926D7">
        <w:rPr>
          <w:rFonts w:asciiTheme="minorHAnsi" w:hAnsiTheme="minorHAnsi" w:cstheme="minorHAnsi"/>
          <w:szCs w:val="20"/>
        </w:rPr>
        <w:t>the SGP National Coordinator and other programme staff will execute the programme at the country level.</w:t>
      </w:r>
      <w:r w:rsidR="00E939E7" w:rsidRPr="002926D7">
        <w:rPr>
          <w:rFonts w:asciiTheme="minorHAnsi" w:hAnsiTheme="minorHAnsi" w:cstheme="minorHAnsi"/>
          <w:szCs w:val="20"/>
        </w:rPr>
        <w:t xml:space="preserve"> The same firewall exists at country level where the </w:t>
      </w:r>
      <w:r w:rsidR="00A7581C" w:rsidRPr="002926D7">
        <w:rPr>
          <w:rFonts w:asciiTheme="minorHAnsi" w:hAnsiTheme="minorHAnsi" w:cstheme="minorHAnsi"/>
          <w:szCs w:val="20"/>
        </w:rPr>
        <w:t>p</w:t>
      </w:r>
      <w:r w:rsidR="00E939E7" w:rsidRPr="002926D7">
        <w:rPr>
          <w:rFonts w:asciiTheme="minorHAnsi" w:hAnsiTheme="minorHAnsi" w:cstheme="minorHAnsi"/>
          <w:szCs w:val="20"/>
        </w:rPr>
        <w:t xml:space="preserve">rogramme will be overseen through senior CO management representation at the SGP National Steering Committee and quality assurance provided by the programmatic teams within the UNDP country office. Execution functions will be provided by the SGP National Coordinator and other operational and project staff who will support the day-to-day execution functions for the project (including calls for proposals, signing grants, making payments to grantees, etc.). There will be a clear separation between the roles of oversight/assurance and execution at the UNDP Country Office level and reporting lines will be fully segregated. </w:t>
      </w:r>
    </w:p>
    <w:p w14:paraId="14B90B27" w14:textId="77777777" w:rsidR="00E053A5" w:rsidRPr="002926D7" w:rsidRDefault="00E053A5" w:rsidP="002926D7">
      <w:pPr>
        <w:rPr>
          <w:rFonts w:asciiTheme="minorHAnsi" w:hAnsiTheme="minorHAnsi" w:cstheme="minorHAnsi"/>
          <w:szCs w:val="20"/>
        </w:rPr>
      </w:pPr>
    </w:p>
    <w:p w14:paraId="0834D516" w14:textId="7B915119" w:rsidR="003971BF" w:rsidRPr="002926D7" w:rsidRDefault="003971BF" w:rsidP="002926D7">
      <w:pPr>
        <w:numPr>
          <w:ilvl w:val="0"/>
          <w:numId w:val="8"/>
        </w:numPr>
        <w:ind w:left="0" w:firstLine="0"/>
        <w:rPr>
          <w:rFonts w:asciiTheme="minorHAnsi" w:hAnsiTheme="minorHAnsi" w:cstheme="minorHAnsi"/>
          <w:szCs w:val="20"/>
        </w:rPr>
      </w:pPr>
      <w:bookmarkStart w:id="181" w:name="_Hlk165392730"/>
      <w:r w:rsidRPr="002926D7">
        <w:rPr>
          <w:rFonts w:asciiTheme="minorHAnsi" w:hAnsiTheme="minorHAnsi" w:cstheme="minorHAnsi"/>
          <w:szCs w:val="20"/>
        </w:rPr>
        <w:t>Following best practices from 30 years of implementation of the Small Grants Programme, country-driven decision-making principles and program autonomy, independence and transparency will continue to be promoted through the Country Program strategies, Steering Committees, transparent calls for proposals etc</w:t>
      </w:r>
      <w:bookmarkEnd w:id="180"/>
      <w:bookmarkEnd w:id="181"/>
      <w:r w:rsidRPr="002926D7">
        <w:rPr>
          <w:color w:val="212529"/>
        </w:rPr>
        <w:t>.</w:t>
      </w:r>
    </w:p>
    <w:p w14:paraId="45DD3967" w14:textId="77777777" w:rsidR="001945BD" w:rsidRPr="002926D7" w:rsidRDefault="001945BD" w:rsidP="002926D7">
      <w:pPr>
        <w:pStyle w:val="ListParagraph"/>
        <w:rPr>
          <w:rFonts w:asciiTheme="minorHAnsi" w:hAnsiTheme="minorHAnsi" w:cstheme="minorHAnsi"/>
          <w:bCs/>
          <w:noProof/>
          <w:szCs w:val="20"/>
          <w:lang w:eastAsia="zh-CN"/>
        </w:rPr>
      </w:pPr>
    </w:p>
    <w:p w14:paraId="52F00DB1" w14:textId="40A47A56" w:rsidR="001945BD" w:rsidRPr="002926D7" w:rsidRDefault="001945BD" w:rsidP="002926D7">
      <w:pPr>
        <w:rPr>
          <w:rFonts w:asciiTheme="minorHAnsi" w:hAnsiTheme="minorHAnsi" w:cstheme="minorHAnsi"/>
          <w:b/>
          <w:noProof/>
          <w:szCs w:val="20"/>
          <w:u w:val="single"/>
          <w:lang w:eastAsia="zh-CN"/>
        </w:rPr>
      </w:pPr>
      <w:r w:rsidRPr="002926D7">
        <w:rPr>
          <w:rFonts w:asciiTheme="minorHAnsi" w:hAnsiTheme="minorHAnsi" w:cstheme="minorHAnsi"/>
          <w:b/>
          <w:noProof/>
          <w:szCs w:val="20"/>
          <w:u w:val="single"/>
          <w:lang w:eastAsia="zh-CN"/>
        </w:rPr>
        <w:t>Section 4: Roles and responsibilities of the programme organization structure</w:t>
      </w:r>
    </w:p>
    <w:p w14:paraId="32141DBA" w14:textId="77777777" w:rsidR="00CB5EC1" w:rsidRPr="002926D7" w:rsidRDefault="00CB5EC1" w:rsidP="002926D7">
      <w:pPr>
        <w:rPr>
          <w:rFonts w:asciiTheme="minorHAnsi" w:hAnsiTheme="minorHAnsi" w:cstheme="minorHAnsi"/>
          <w:iCs/>
          <w:szCs w:val="20"/>
        </w:rPr>
      </w:pPr>
      <w:bookmarkStart w:id="182" w:name="_Hlk131966183"/>
    </w:p>
    <w:p w14:paraId="5CE11E2B" w14:textId="60BBC373" w:rsidR="001945BD" w:rsidRPr="002926D7" w:rsidRDefault="007014C7" w:rsidP="002926D7">
      <w:pPr>
        <w:numPr>
          <w:ilvl w:val="1"/>
          <w:numId w:val="8"/>
        </w:numPr>
        <w:ind w:left="360"/>
        <w:rPr>
          <w:rFonts w:asciiTheme="minorHAnsi" w:hAnsiTheme="minorHAnsi" w:cstheme="minorHAnsi"/>
          <w:iCs/>
          <w:szCs w:val="20"/>
        </w:rPr>
      </w:pPr>
      <w:r w:rsidRPr="002926D7">
        <w:rPr>
          <w:rFonts w:asciiTheme="minorHAnsi" w:hAnsiTheme="minorHAnsi" w:cstheme="minorHAnsi"/>
          <w:b/>
          <w:bCs/>
          <w:szCs w:val="20"/>
          <w:lang w:eastAsia="zh-CN"/>
        </w:rPr>
        <w:t xml:space="preserve">UNDP SGP Global </w:t>
      </w:r>
      <w:r w:rsidR="001945BD" w:rsidRPr="002926D7">
        <w:rPr>
          <w:rFonts w:asciiTheme="minorHAnsi" w:hAnsiTheme="minorHAnsi" w:cstheme="minorHAnsi"/>
          <w:b/>
          <w:bCs/>
          <w:szCs w:val="20"/>
          <w:lang w:eastAsia="zh-CN"/>
        </w:rPr>
        <w:t xml:space="preserve">Board </w:t>
      </w:r>
    </w:p>
    <w:p w14:paraId="434F4CA9" w14:textId="77777777" w:rsidR="001945BD" w:rsidRPr="002926D7" w:rsidRDefault="001945BD" w:rsidP="002926D7">
      <w:pPr>
        <w:rPr>
          <w:rFonts w:asciiTheme="minorHAnsi" w:hAnsiTheme="minorHAnsi" w:cstheme="minorHAnsi"/>
          <w:iCs/>
          <w:szCs w:val="20"/>
        </w:rPr>
      </w:pPr>
    </w:p>
    <w:p w14:paraId="2BDA36B9" w14:textId="50D570F3" w:rsidR="005162AF" w:rsidRPr="002926D7" w:rsidRDefault="00EF7B09" w:rsidP="002926D7">
      <w:pPr>
        <w:numPr>
          <w:ilvl w:val="0"/>
          <w:numId w:val="8"/>
        </w:numPr>
        <w:ind w:left="0" w:firstLine="0"/>
        <w:rPr>
          <w:rFonts w:asciiTheme="minorHAnsi" w:eastAsiaTheme="minorEastAsia" w:hAnsiTheme="minorHAnsi" w:cstheme="minorHAnsi"/>
          <w:szCs w:val="20"/>
        </w:rPr>
      </w:pPr>
      <w:bookmarkStart w:id="183" w:name="_Hlk151377408"/>
      <w:bookmarkStart w:id="184" w:name="_Hlk131966061"/>
      <w:bookmarkEnd w:id="182"/>
      <w:r w:rsidRPr="002926D7">
        <w:rPr>
          <w:rFonts w:asciiTheme="minorHAnsi" w:eastAsiaTheme="minorEastAsia" w:hAnsiTheme="minorHAnsi" w:cstheme="minorHAnsi"/>
          <w:szCs w:val="20"/>
        </w:rPr>
        <w:t>All UNDP projects must be governed by a multi-stakeholder board or committee established to review performance based on monitoring and evaluation, and implementation issues to ensure quality delivery of results. The UNDP SGP Global Board is the most senior, dedicated oversight body for a project. At the global level, the SGP Global Board provides high-level oversight of the execution of the programme. BPPS Nature Hub Director will chair the SGP Global Board</w:t>
      </w:r>
      <w:r w:rsidR="005162AF" w:rsidRPr="002926D7">
        <w:rPr>
          <w:rFonts w:asciiTheme="minorHAnsi" w:eastAsiaTheme="minorEastAsia" w:hAnsiTheme="minorHAnsi" w:cstheme="minorHAnsi"/>
          <w:szCs w:val="20"/>
        </w:rPr>
        <w:t>.</w:t>
      </w:r>
    </w:p>
    <w:p w14:paraId="66C9FAC7" w14:textId="77777777" w:rsidR="00EF7B09" w:rsidRPr="002926D7" w:rsidRDefault="00EF7B09" w:rsidP="002926D7">
      <w:pPr>
        <w:rPr>
          <w:rFonts w:asciiTheme="minorHAnsi" w:hAnsiTheme="minorHAnsi" w:cstheme="minorHAnsi"/>
          <w:szCs w:val="20"/>
        </w:rPr>
      </w:pPr>
    </w:p>
    <w:p w14:paraId="543CBE98" w14:textId="6D72214F" w:rsidR="001945BD" w:rsidRPr="002926D7" w:rsidRDefault="00002906" w:rsidP="002926D7">
      <w:pPr>
        <w:numPr>
          <w:ilvl w:val="0"/>
          <w:numId w:val="8"/>
        </w:numPr>
        <w:ind w:left="0" w:firstLine="0"/>
        <w:rPr>
          <w:rFonts w:asciiTheme="minorHAnsi" w:hAnsiTheme="minorHAnsi" w:cstheme="minorHAnsi"/>
          <w:iCs/>
          <w:szCs w:val="20"/>
        </w:rPr>
      </w:pPr>
      <w:r w:rsidRPr="002926D7">
        <w:rPr>
          <w:rFonts w:asciiTheme="minorHAnsi" w:eastAsiaTheme="minorEastAsia" w:hAnsiTheme="minorHAnsi" w:cstheme="minorHAnsi"/>
          <w:szCs w:val="20"/>
        </w:rPr>
        <w:t xml:space="preserve"> The functions of the Board include assessments of major risks to the programme, and decisions on management actions or remedial measures to address them effectively. The Board reviews evidence of programme performance based on monitoring, evaluation and reporting, including progress reports, risk logs and the combined delivery report. Other members of the Board include the UNDP VF Director and representatives of the Regional Bureaux (on a rotating basis).</w:t>
      </w:r>
      <w:bookmarkEnd w:id="183"/>
    </w:p>
    <w:bookmarkEnd w:id="172"/>
    <w:p w14:paraId="3968A6D5" w14:textId="77777777" w:rsidR="001945BD" w:rsidRPr="002926D7" w:rsidRDefault="001945BD" w:rsidP="002926D7">
      <w:pPr>
        <w:rPr>
          <w:rFonts w:asciiTheme="minorHAnsi" w:hAnsiTheme="minorHAnsi" w:cstheme="minorHAnsi"/>
          <w:iCs/>
          <w:szCs w:val="20"/>
        </w:rPr>
      </w:pPr>
    </w:p>
    <w:p w14:paraId="7ED51C81" w14:textId="3CE3077A" w:rsidR="001945BD" w:rsidRPr="002926D7" w:rsidRDefault="001945BD" w:rsidP="002926D7">
      <w:pPr>
        <w:numPr>
          <w:ilvl w:val="0"/>
          <w:numId w:val="8"/>
        </w:numPr>
        <w:ind w:left="0" w:firstLine="0"/>
        <w:rPr>
          <w:rFonts w:asciiTheme="minorHAnsi" w:hAnsiTheme="minorHAnsi" w:cstheme="minorHAnsi"/>
          <w:iCs/>
          <w:szCs w:val="20"/>
        </w:rPr>
      </w:pPr>
      <w:bookmarkStart w:id="185" w:name="_Hlk89352727"/>
      <w:r w:rsidRPr="002926D7">
        <w:rPr>
          <w:rFonts w:asciiTheme="minorHAnsi" w:hAnsiTheme="minorHAnsi" w:cstheme="minorHAnsi"/>
          <w:szCs w:val="20"/>
          <w:lang w:eastAsia="zh-CN"/>
        </w:rPr>
        <w:t xml:space="preserve">The two main (mandatory) roles of the </w:t>
      </w:r>
      <w:r w:rsidR="007014C7" w:rsidRPr="002926D7">
        <w:rPr>
          <w:rFonts w:asciiTheme="minorHAnsi" w:hAnsiTheme="minorHAnsi" w:cstheme="minorHAnsi"/>
          <w:szCs w:val="20"/>
          <w:lang w:eastAsia="zh-CN"/>
        </w:rPr>
        <w:t xml:space="preserve">UNDP SGP Global </w:t>
      </w:r>
      <w:r w:rsidRPr="002926D7">
        <w:rPr>
          <w:rFonts w:asciiTheme="minorHAnsi" w:hAnsiTheme="minorHAnsi" w:cstheme="minorHAnsi"/>
          <w:szCs w:val="20"/>
          <w:lang w:eastAsia="zh-CN"/>
        </w:rPr>
        <w:t>Board are as follows:</w:t>
      </w:r>
    </w:p>
    <w:p w14:paraId="50B38CFA" w14:textId="065FC1BB" w:rsidR="001945BD" w:rsidRPr="002926D7" w:rsidRDefault="001945BD" w:rsidP="002926D7">
      <w:pPr>
        <w:numPr>
          <w:ilvl w:val="1"/>
          <w:numId w:val="14"/>
        </w:numPr>
        <w:spacing w:before="60"/>
        <w:ind w:left="1080"/>
        <w:rPr>
          <w:rFonts w:asciiTheme="minorHAnsi" w:hAnsiTheme="minorHAnsi" w:cstheme="minorHAnsi"/>
          <w:szCs w:val="20"/>
          <w:lang w:eastAsia="zh-CN"/>
        </w:rPr>
      </w:pPr>
      <w:r w:rsidRPr="002926D7">
        <w:rPr>
          <w:rFonts w:asciiTheme="minorHAnsi" w:hAnsiTheme="minorHAnsi" w:cstheme="minorHAnsi"/>
          <w:b/>
          <w:bCs/>
          <w:noProof/>
          <w:szCs w:val="20"/>
          <w:lang w:eastAsia="zh-CN"/>
        </w:rPr>
        <w:t>High-level oversight of the execution of the project by the Implementing Partner</w:t>
      </w:r>
      <w:r w:rsidRPr="002926D7">
        <w:rPr>
          <w:rFonts w:asciiTheme="minorHAnsi" w:hAnsiTheme="minorHAnsi" w:cstheme="minorHAnsi"/>
          <w:noProof/>
          <w:szCs w:val="20"/>
          <w:lang w:eastAsia="zh-CN"/>
        </w:rPr>
        <w:t xml:space="preserve"> (as explained in the </w:t>
      </w:r>
      <w:hyperlink r:id="rId29" w:history="1">
        <w:r w:rsidRPr="002926D7">
          <w:rPr>
            <w:rFonts w:asciiTheme="minorHAnsi" w:hAnsiTheme="minorHAnsi" w:cstheme="minorHAnsi"/>
            <w:color w:val="0000FF"/>
            <w:szCs w:val="20"/>
            <w:u w:val="single"/>
            <w:lang w:eastAsia="zh-CN"/>
          </w:rPr>
          <w:t>“Provide Oversight”</w:t>
        </w:r>
      </w:hyperlink>
      <w:r w:rsidRPr="002926D7">
        <w:rPr>
          <w:rFonts w:asciiTheme="minorHAnsi" w:hAnsiTheme="minorHAnsi" w:cstheme="minorHAnsi"/>
          <w:noProof/>
          <w:szCs w:val="20"/>
          <w:lang w:eastAsia="zh-CN"/>
        </w:rPr>
        <w:t xml:space="preserve"> section of the</w:t>
      </w:r>
      <w:r w:rsidRPr="002926D7">
        <w:rPr>
          <w:rFonts w:asciiTheme="minorHAnsi" w:hAnsiTheme="minorHAnsi" w:cstheme="minorHAnsi"/>
          <w:szCs w:val="20"/>
          <w:lang w:eastAsia="zh-CN"/>
        </w:rPr>
        <w:t xml:space="preserve"> P</w:t>
      </w:r>
      <w:r w:rsidRPr="002926D7">
        <w:rPr>
          <w:rFonts w:asciiTheme="minorHAnsi" w:hAnsiTheme="minorHAnsi" w:cstheme="minorHAnsi"/>
          <w:noProof/>
          <w:szCs w:val="20"/>
          <w:lang w:eastAsia="zh-CN"/>
        </w:rPr>
        <w:t>OPP</w:t>
      </w:r>
      <w:r w:rsidRPr="002926D7">
        <w:rPr>
          <w:rFonts w:asciiTheme="minorHAnsi" w:hAnsiTheme="minorHAnsi" w:cstheme="minorHAnsi"/>
          <w:szCs w:val="20"/>
          <w:lang w:eastAsia="zh-CN"/>
        </w:rPr>
        <w:t>)</w:t>
      </w:r>
      <w:r w:rsidRPr="002926D7">
        <w:rPr>
          <w:rFonts w:asciiTheme="minorHAnsi" w:hAnsiTheme="minorHAnsi" w:cstheme="minorHAnsi"/>
          <w:noProof/>
          <w:szCs w:val="20"/>
          <w:lang w:eastAsia="zh-CN"/>
        </w:rPr>
        <w:t xml:space="preserve">. This is the primary function of the </w:t>
      </w:r>
      <w:r w:rsidR="00A7581C" w:rsidRPr="002926D7">
        <w:rPr>
          <w:rFonts w:asciiTheme="minorHAnsi" w:hAnsiTheme="minorHAnsi" w:cstheme="minorHAnsi"/>
          <w:noProof/>
          <w:szCs w:val="20"/>
          <w:lang w:eastAsia="zh-CN"/>
        </w:rPr>
        <w:t>B</w:t>
      </w:r>
      <w:r w:rsidRPr="002926D7">
        <w:rPr>
          <w:rFonts w:asciiTheme="minorHAnsi" w:hAnsiTheme="minorHAnsi" w:cstheme="minorHAnsi"/>
          <w:noProof/>
          <w:szCs w:val="20"/>
          <w:lang w:eastAsia="zh-CN"/>
        </w:rPr>
        <w:t>oard and includes annual (</w:t>
      </w:r>
      <w:r w:rsidRPr="002926D7">
        <w:rPr>
          <w:rFonts w:asciiTheme="minorHAnsi" w:hAnsiTheme="minorHAnsi" w:cstheme="minorHAnsi"/>
          <w:szCs w:val="20"/>
          <w:lang w:eastAsia="zh-CN"/>
        </w:rPr>
        <w:t xml:space="preserve">and as-needed) assessments of any major risks to the </w:t>
      </w:r>
      <w:r w:rsidR="005B53D2" w:rsidRPr="002926D7">
        <w:rPr>
          <w:rFonts w:asciiTheme="minorHAnsi" w:hAnsiTheme="minorHAnsi" w:cstheme="minorHAnsi"/>
          <w:szCs w:val="20"/>
          <w:lang w:eastAsia="zh-CN"/>
        </w:rPr>
        <w:t>programme</w:t>
      </w:r>
      <w:r w:rsidRPr="002926D7">
        <w:rPr>
          <w:rFonts w:asciiTheme="minorHAnsi" w:hAnsiTheme="minorHAnsi" w:cstheme="minorHAnsi"/>
          <w:szCs w:val="20"/>
          <w:lang w:eastAsia="zh-CN"/>
        </w:rPr>
        <w:t xml:space="preserve">, and decisions/agreements on any management actions or remedial measures to address them effectively. </w:t>
      </w:r>
      <w:r w:rsidRPr="002926D7">
        <w:rPr>
          <w:rFonts w:asciiTheme="minorHAnsi" w:hAnsiTheme="minorHAnsi" w:cstheme="minorHAnsi"/>
          <w:szCs w:val="20"/>
        </w:rPr>
        <w:t xml:space="preserve">The Board reviews evidence of </w:t>
      </w:r>
      <w:r w:rsidR="00B900EA" w:rsidRPr="002926D7">
        <w:rPr>
          <w:rFonts w:asciiTheme="minorHAnsi" w:hAnsiTheme="minorHAnsi" w:cstheme="minorHAnsi"/>
          <w:szCs w:val="20"/>
        </w:rPr>
        <w:t xml:space="preserve">programme </w:t>
      </w:r>
      <w:r w:rsidRPr="002926D7">
        <w:rPr>
          <w:rFonts w:asciiTheme="minorHAnsi" w:hAnsiTheme="minorHAnsi" w:cstheme="minorHAnsi"/>
          <w:szCs w:val="20"/>
        </w:rPr>
        <w:t xml:space="preserve">performance based on monitoring, evaluation and reporting, including progress reports, evaluations, risk logs and the combined delivery report. The Board is </w:t>
      </w:r>
      <w:r w:rsidRPr="002926D7">
        <w:rPr>
          <w:rFonts w:asciiTheme="minorHAnsi" w:hAnsiTheme="minorHAnsi" w:cstheme="minorHAnsi"/>
          <w:noProof/>
          <w:szCs w:val="20"/>
          <w:lang w:eastAsia="zh-CN"/>
        </w:rPr>
        <w:t xml:space="preserve">responsible for taking corrective action as needed to ensure the </w:t>
      </w:r>
      <w:r w:rsidR="00B900EA" w:rsidRPr="002926D7">
        <w:rPr>
          <w:rFonts w:asciiTheme="minorHAnsi" w:hAnsiTheme="minorHAnsi" w:cstheme="minorHAnsi"/>
          <w:noProof/>
          <w:szCs w:val="20"/>
          <w:lang w:eastAsia="zh-CN"/>
        </w:rPr>
        <w:t xml:space="preserve">programme </w:t>
      </w:r>
      <w:r w:rsidRPr="002926D7">
        <w:rPr>
          <w:rFonts w:asciiTheme="minorHAnsi" w:hAnsiTheme="minorHAnsi" w:cstheme="minorHAnsi"/>
          <w:noProof/>
          <w:szCs w:val="20"/>
          <w:lang w:eastAsia="zh-CN"/>
        </w:rPr>
        <w:t>achieves the desired results.</w:t>
      </w:r>
    </w:p>
    <w:p w14:paraId="13344670" w14:textId="76BF75B4" w:rsidR="001945BD" w:rsidRPr="002926D7" w:rsidRDefault="001945BD" w:rsidP="002926D7">
      <w:pPr>
        <w:numPr>
          <w:ilvl w:val="1"/>
          <w:numId w:val="14"/>
        </w:numPr>
        <w:spacing w:before="60"/>
        <w:ind w:left="1080"/>
        <w:rPr>
          <w:rFonts w:asciiTheme="minorHAnsi" w:hAnsiTheme="minorHAnsi" w:cstheme="minorHAnsi"/>
          <w:szCs w:val="20"/>
          <w:lang w:eastAsia="zh-CN"/>
        </w:rPr>
      </w:pPr>
      <w:r w:rsidRPr="002926D7">
        <w:rPr>
          <w:rFonts w:asciiTheme="minorHAnsi" w:hAnsiTheme="minorHAnsi" w:cstheme="minorHAnsi"/>
          <w:b/>
          <w:szCs w:val="20"/>
          <w:lang w:eastAsia="zh-CN"/>
        </w:rPr>
        <w:lastRenderedPageBreak/>
        <w:t>Approval of</w:t>
      </w:r>
      <w:r w:rsidRPr="002926D7">
        <w:rPr>
          <w:rFonts w:asciiTheme="minorHAnsi" w:hAnsiTheme="minorHAnsi" w:cstheme="minorHAnsi"/>
          <w:b/>
          <w:bCs/>
          <w:noProof/>
          <w:szCs w:val="20"/>
          <w:lang w:eastAsia="zh-CN"/>
        </w:rPr>
        <w:t xml:space="preserve"> strategic</w:t>
      </w:r>
      <w:r w:rsidRPr="002926D7">
        <w:rPr>
          <w:rFonts w:asciiTheme="minorHAnsi" w:hAnsiTheme="minorHAnsi" w:cstheme="minorHAnsi"/>
          <w:b/>
          <w:szCs w:val="20"/>
          <w:lang w:eastAsia="zh-CN"/>
        </w:rPr>
        <w:t xml:space="preserve"> </w:t>
      </w:r>
      <w:r w:rsidRPr="002926D7">
        <w:rPr>
          <w:rFonts w:asciiTheme="minorHAnsi" w:hAnsiTheme="minorHAnsi" w:cstheme="minorHAnsi"/>
          <w:b/>
          <w:bCs/>
          <w:szCs w:val="20"/>
          <w:lang w:eastAsia="zh-CN"/>
        </w:rPr>
        <w:t>project</w:t>
      </w:r>
      <w:r w:rsidRPr="002926D7">
        <w:rPr>
          <w:rFonts w:asciiTheme="minorHAnsi" w:hAnsiTheme="minorHAnsi" w:cstheme="minorHAnsi"/>
          <w:b/>
          <w:szCs w:val="20"/>
          <w:lang w:eastAsia="zh-CN"/>
        </w:rPr>
        <w:t xml:space="preserve"> execution </w:t>
      </w:r>
      <w:r w:rsidRPr="002926D7">
        <w:rPr>
          <w:rFonts w:asciiTheme="minorHAnsi" w:hAnsiTheme="minorHAnsi" w:cstheme="minorHAnsi"/>
          <w:b/>
          <w:bCs/>
          <w:noProof/>
          <w:szCs w:val="20"/>
          <w:lang w:eastAsia="zh-CN"/>
        </w:rPr>
        <w:t>decisions</w:t>
      </w:r>
      <w:r w:rsidRPr="002926D7">
        <w:rPr>
          <w:rFonts w:asciiTheme="minorHAnsi" w:hAnsiTheme="minorHAnsi" w:cstheme="minorHAnsi"/>
          <w:b/>
          <w:szCs w:val="20"/>
          <w:lang w:eastAsia="zh-CN"/>
        </w:rPr>
        <w:t xml:space="preserve"> of the Implementing Partner </w:t>
      </w:r>
      <w:r w:rsidRPr="002926D7">
        <w:rPr>
          <w:rFonts w:asciiTheme="minorHAnsi" w:hAnsiTheme="minorHAnsi" w:cstheme="minorHAnsi"/>
          <w:szCs w:val="20"/>
          <w:lang w:eastAsia="zh-CN"/>
        </w:rPr>
        <w:t xml:space="preserve">with a view to assess and manage risks, monitor and ensure the overall achievement of projected results and impacts and ensure long term sustainability of </w:t>
      </w:r>
      <w:r w:rsidR="005B53D2" w:rsidRPr="002926D7">
        <w:rPr>
          <w:rFonts w:asciiTheme="minorHAnsi" w:hAnsiTheme="minorHAnsi" w:cstheme="minorHAnsi"/>
          <w:szCs w:val="20"/>
          <w:lang w:eastAsia="zh-CN"/>
        </w:rPr>
        <w:t>program</w:t>
      </w:r>
      <w:r w:rsidR="008D5E04" w:rsidRPr="002926D7">
        <w:rPr>
          <w:rFonts w:asciiTheme="minorHAnsi" w:hAnsiTheme="minorHAnsi" w:cstheme="minorHAnsi"/>
          <w:szCs w:val="20"/>
          <w:lang w:eastAsia="zh-CN"/>
        </w:rPr>
        <w:t>m</w:t>
      </w:r>
      <w:r w:rsidR="005B53D2" w:rsidRPr="002926D7">
        <w:rPr>
          <w:rFonts w:asciiTheme="minorHAnsi" w:hAnsiTheme="minorHAnsi" w:cstheme="minorHAnsi"/>
          <w:szCs w:val="20"/>
          <w:lang w:eastAsia="zh-CN"/>
        </w:rPr>
        <w:t xml:space="preserve">e </w:t>
      </w:r>
      <w:r w:rsidRPr="002926D7">
        <w:rPr>
          <w:rFonts w:asciiTheme="minorHAnsi" w:hAnsiTheme="minorHAnsi" w:cstheme="minorHAnsi"/>
          <w:szCs w:val="20"/>
          <w:lang w:eastAsia="zh-CN"/>
        </w:rPr>
        <w:t>execution decisions of the Implementing Partner</w:t>
      </w:r>
      <w:r w:rsidRPr="002926D7">
        <w:rPr>
          <w:rFonts w:asciiTheme="minorHAnsi" w:hAnsiTheme="minorHAnsi" w:cstheme="minorHAnsi"/>
          <w:b/>
          <w:szCs w:val="20"/>
          <w:lang w:eastAsia="zh-CN"/>
        </w:rPr>
        <w:t xml:space="preserve"> </w:t>
      </w:r>
      <w:r w:rsidRPr="002926D7">
        <w:rPr>
          <w:rFonts w:asciiTheme="minorHAnsi" w:hAnsiTheme="minorHAnsi" w:cstheme="minorHAnsi"/>
          <w:szCs w:val="20"/>
          <w:lang w:eastAsia="zh-CN"/>
        </w:rPr>
        <w:t xml:space="preserve">(as explained in the </w:t>
      </w:r>
      <w:hyperlink r:id="rId30" w:history="1">
        <w:r w:rsidRPr="002926D7">
          <w:rPr>
            <w:rFonts w:asciiTheme="minorHAnsi" w:hAnsiTheme="minorHAnsi" w:cstheme="minorHAnsi"/>
            <w:color w:val="0000FF"/>
            <w:szCs w:val="20"/>
            <w:u w:val="single"/>
            <w:lang w:eastAsia="zh-CN"/>
          </w:rPr>
          <w:t>“Manage Change”</w:t>
        </w:r>
      </w:hyperlink>
      <w:r w:rsidRPr="002926D7">
        <w:rPr>
          <w:rFonts w:asciiTheme="minorHAnsi" w:hAnsiTheme="minorHAnsi" w:cstheme="minorHAnsi"/>
          <w:szCs w:val="20"/>
          <w:lang w:eastAsia="zh-CN"/>
        </w:rPr>
        <w:t xml:space="preserve"> section of the POPP). </w:t>
      </w:r>
    </w:p>
    <w:p w14:paraId="577EF494" w14:textId="77777777" w:rsidR="001945BD" w:rsidRPr="002926D7" w:rsidRDefault="001945BD" w:rsidP="002926D7">
      <w:pPr>
        <w:rPr>
          <w:rFonts w:asciiTheme="minorHAnsi" w:hAnsiTheme="minorHAnsi" w:cstheme="minorHAnsi"/>
          <w:noProof/>
          <w:szCs w:val="20"/>
          <w:lang w:eastAsia="zh-CN"/>
        </w:rPr>
      </w:pPr>
    </w:p>
    <w:p w14:paraId="3C79ACF4" w14:textId="2297D31D" w:rsidR="001945BD" w:rsidRPr="002926D7" w:rsidRDefault="001945BD" w:rsidP="002926D7">
      <w:pPr>
        <w:numPr>
          <w:ilvl w:val="0"/>
          <w:numId w:val="8"/>
        </w:numPr>
        <w:ind w:left="0" w:firstLine="0"/>
        <w:rPr>
          <w:rFonts w:asciiTheme="minorHAnsi" w:hAnsiTheme="minorHAnsi" w:cstheme="minorHAnsi"/>
          <w:szCs w:val="20"/>
        </w:rPr>
      </w:pPr>
      <w:bookmarkStart w:id="186" w:name="_Hlk86341888"/>
      <w:r w:rsidRPr="002926D7">
        <w:rPr>
          <w:rFonts w:asciiTheme="minorHAnsi" w:hAnsiTheme="minorHAnsi" w:cstheme="minorHAnsi"/>
          <w:szCs w:val="20"/>
        </w:rPr>
        <w:t xml:space="preserve">Requirements to serve on the Board: </w:t>
      </w:r>
    </w:p>
    <w:p w14:paraId="22ECE8A8" w14:textId="77777777" w:rsidR="001945BD" w:rsidRPr="002926D7" w:rsidRDefault="001945BD" w:rsidP="002926D7">
      <w:pPr>
        <w:numPr>
          <w:ilvl w:val="1"/>
          <w:numId w:val="15"/>
        </w:numPr>
        <w:spacing w:before="60"/>
        <w:ind w:left="1080"/>
        <w:rPr>
          <w:rFonts w:asciiTheme="minorHAnsi" w:hAnsiTheme="minorHAnsi" w:cstheme="minorHAnsi"/>
          <w:szCs w:val="20"/>
          <w:lang w:eastAsia="zh-CN"/>
        </w:rPr>
      </w:pPr>
      <w:r w:rsidRPr="002926D7">
        <w:rPr>
          <w:rFonts w:asciiTheme="minorHAnsi" w:hAnsiTheme="minorHAnsi" w:cstheme="minorHAnsi"/>
          <w:noProof/>
          <w:szCs w:val="20"/>
          <w:lang w:eastAsia="zh-CN"/>
        </w:rPr>
        <w:t>Agree</w:t>
      </w:r>
      <w:r w:rsidRPr="002926D7">
        <w:rPr>
          <w:rFonts w:asciiTheme="minorHAnsi" w:hAnsiTheme="minorHAnsi" w:cstheme="minorHAnsi"/>
          <w:szCs w:val="20"/>
          <w:lang w:eastAsia="zh-CN"/>
        </w:rPr>
        <w:t xml:space="preserve"> to the Terms of Reference of the Board and the rules on protocols, quorum and minuting.</w:t>
      </w:r>
    </w:p>
    <w:p w14:paraId="75A62A9A" w14:textId="77777777" w:rsidR="001945BD" w:rsidRPr="002926D7" w:rsidRDefault="001945BD" w:rsidP="002926D7">
      <w:pPr>
        <w:numPr>
          <w:ilvl w:val="1"/>
          <w:numId w:val="15"/>
        </w:numPr>
        <w:spacing w:before="60"/>
        <w:ind w:left="1080"/>
        <w:rPr>
          <w:rFonts w:asciiTheme="minorHAnsi" w:hAnsiTheme="minorHAnsi" w:cstheme="minorHAnsi"/>
          <w:szCs w:val="20"/>
          <w:lang w:eastAsia="zh-CN"/>
        </w:rPr>
      </w:pPr>
      <w:r w:rsidRPr="002926D7">
        <w:rPr>
          <w:rFonts w:asciiTheme="minorHAnsi" w:hAnsiTheme="minorHAnsi" w:cstheme="minorHAnsi"/>
          <w:noProof/>
          <w:szCs w:val="20"/>
          <w:lang w:eastAsia="zh-CN"/>
        </w:rPr>
        <w:t>Meet</w:t>
      </w:r>
      <w:r w:rsidRPr="002926D7">
        <w:rPr>
          <w:rFonts w:asciiTheme="minorHAnsi" w:hAnsiTheme="minorHAnsi" w:cstheme="minorHAnsi"/>
          <w:szCs w:val="20"/>
          <w:lang w:eastAsia="zh-CN"/>
        </w:rPr>
        <w:t xml:space="preserve"> annually; at least once.</w:t>
      </w:r>
    </w:p>
    <w:p w14:paraId="02BD5148" w14:textId="47759500" w:rsidR="001945BD" w:rsidRPr="002926D7" w:rsidRDefault="001945BD" w:rsidP="002926D7">
      <w:pPr>
        <w:numPr>
          <w:ilvl w:val="1"/>
          <w:numId w:val="15"/>
        </w:numPr>
        <w:spacing w:before="60"/>
        <w:ind w:left="1080"/>
        <w:rPr>
          <w:rFonts w:asciiTheme="minorHAnsi" w:hAnsiTheme="minorHAnsi" w:cstheme="minorHAnsi"/>
          <w:szCs w:val="20"/>
        </w:rPr>
      </w:pPr>
      <w:r w:rsidRPr="002926D7">
        <w:rPr>
          <w:rFonts w:asciiTheme="minorHAnsi" w:hAnsiTheme="minorHAnsi" w:cstheme="minorHAnsi"/>
          <w:noProof/>
          <w:szCs w:val="20"/>
          <w:lang w:eastAsia="zh-CN"/>
        </w:rPr>
        <w:t>Disclose</w:t>
      </w:r>
      <w:r w:rsidRPr="002926D7">
        <w:rPr>
          <w:rFonts w:asciiTheme="minorHAnsi" w:hAnsiTheme="minorHAnsi" w:cstheme="minorHAnsi"/>
          <w:szCs w:val="20"/>
          <w:lang w:eastAsia="zh-CN"/>
        </w:rPr>
        <w:t xml:space="preserve"> any conflict of interest in performing the functions of a </w:t>
      </w:r>
      <w:r w:rsidR="005B53D2" w:rsidRPr="002926D7">
        <w:rPr>
          <w:rFonts w:asciiTheme="minorHAnsi" w:hAnsiTheme="minorHAnsi" w:cstheme="minorHAnsi"/>
          <w:szCs w:val="20"/>
          <w:lang w:eastAsia="zh-CN"/>
        </w:rPr>
        <w:t xml:space="preserve">Programme </w:t>
      </w:r>
      <w:r w:rsidRPr="002926D7">
        <w:rPr>
          <w:rFonts w:asciiTheme="minorHAnsi" w:hAnsiTheme="minorHAnsi" w:cstheme="minorHAnsi"/>
          <w:szCs w:val="20"/>
          <w:lang w:eastAsia="zh-CN"/>
        </w:rPr>
        <w:t>Board member</w:t>
      </w:r>
      <w:r w:rsidRPr="002926D7">
        <w:rPr>
          <w:rFonts w:asciiTheme="minorHAnsi" w:hAnsiTheme="minorHAnsi" w:cstheme="minorHAnsi"/>
          <w:szCs w:val="20"/>
        </w:rPr>
        <w:t xml:space="preserve"> and take all measures to avoid any real or perceived conflicts of interest. This disclosure must be documented and kept on record by UNDP.</w:t>
      </w:r>
    </w:p>
    <w:p w14:paraId="33E3EA09" w14:textId="04E1EC62" w:rsidR="001945BD" w:rsidRPr="002926D7" w:rsidRDefault="001945BD" w:rsidP="002926D7">
      <w:pPr>
        <w:numPr>
          <w:ilvl w:val="1"/>
          <w:numId w:val="15"/>
        </w:numPr>
        <w:spacing w:before="60"/>
        <w:ind w:left="1080"/>
        <w:rPr>
          <w:rFonts w:asciiTheme="minorHAnsi" w:hAnsiTheme="minorHAnsi" w:cstheme="minorHAnsi"/>
          <w:szCs w:val="20"/>
          <w:lang w:eastAsia="zh-CN"/>
        </w:rPr>
      </w:pPr>
      <w:r w:rsidRPr="002926D7">
        <w:rPr>
          <w:rFonts w:asciiTheme="minorHAnsi" w:hAnsiTheme="minorHAnsi" w:cstheme="minorHAnsi"/>
          <w:noProof/>
          <w:szCs w:val="20"/>
          <w:lang w:eastAsia="zh-CN"/>
        </w:rPr>
        <w:t>Discharge</w:t>
      </w:r>
      <w:r w:rsidRPr="002926D7">
        <w:rPr>
          <w:rFonts w:asciiTheme="minorHAnsi" w:hAnsiTheme="minorHAnsi" w:cstheme="minorHAnsi"/>
          <w:szCs w:val="20"/>
          <w:lang w:eastAsia="zh-CN"/>
        </w:rPr>
        <w:t xml:space="preserve"> the functions of the Board in accordance with UNDP policies and procedures.</w:t>
      </w:r>
    </w:p>
    <w:p w14:paraId="49961B8F" w14:textId="358AD182" w:rsidR="001945BD" w:rsidRPr="002926D7" w:rsidRDefault="001945BD" w:rsidP="002926D7">
      <w:pPr>
        <w:numPr>
          <w:ilvl w:val="1"/>
          <w:numId w:val="15"/>
        </w:numPr>
        <w:spacing w:before="60"/>
        <w:ind w:left="1080"/>
        <w:rPr>
          <w:rFonts w:asciiTheme="minorHAnsi" w:hAnsiTheme="minorHAnsi" w:cstheme="minorHAnsi"/>
          <w:szCs w:val="20"/>
        </w:rPr>
      </w:pPr>
      <w:r w:rsidRPr="002926D7">
        <w:rPr>
          <w:rFonts w:asciiTheme="minorHAnsi" w:hAnsiTheme="minorHAnsi" w:cstheme="minorHAnsi"/>
          <w:szCs w:val="20"/>
        </w:rPr>
        <w:t xml:space="preserve">Ensure highest levels of transparency and ensure Board meeting minutes are recorded and shared with </w:t>
      </w:r>
      <w:r w:rsidR="00A7581C" w:rsidRPr="002926D7">
        <w:rPr>
          <w:rFonts w:asciiTheme="minorHAnsi" w:hAnsiTheme="minorHAnsi" w:cstheme="minorHAnsi"/>
          <w:szCs w:val="20"/>
        </w:rPr>
        <w:t xml:space="preserve">programme </w:t>
      </w:r>
      <w:r w:rsidRPr="002926D7">
        <w:rPr>
          <w:rFonts w:asciiTheme="minorHAnsi" w:hAnsiTheme="minorHAnsi" w:cstheme="minorHAnsi"/>
          <w:szCs w:val="20"/>
        </w:rPr>
        <w:t>stakeholders.</w:t>
      </w:r>
    </w:p>
    <w:p w14:paraId="1EAC27F3" w14:textId="77777777" w:rsidR="001945BD" w:rsidRPr="002926D7" w:rsidRDefault="001945BD" w:rsidP="002926D7">
      <w:pPr>
        <w:pStyle w:val="ListParagraph"/>
        <w:rPr>
          <w:rFonts w:asciiTheme="minorHAnsi" w:hAnsiTheme="minorHAnsi" w:cstheme="minorHAnsi"/>
          <w:noProof/>
          <w:szCs w:val="20"/>
          <w:lang w:eastAsia="zh-CN"/>
        </w:rPr>
      </w:pPr>
    </w:p>
    <w:p w14:paraId="4D855770" w14:textId="29943721" w:rsidR="001945BD" w:rsidRPr="002926D7" w:rsidRDefault="001945BD" w:rsidP="002926D7">
      <w:pPr>
        <w:numPr>
          <w:ilvl w:val="0"/>
          <w:numId w:val="8"/>
        </w:numPr>
        <w:ind w:left="0" w:firstLine="0"/>
        <w:rPr>
          <w:rFonts w:asciiTheme="minorHAnsi" w:hAnsiTheme="minorHAnsi" w:cstheme="minorHAnsi"/>
          <w:szCs w:val="20"/>
        </w:rPr>
      </w:pPr>
      <w:r w:rsidRPr="002926D7">
        <w:rPr>
          <w:rFonts w:asciiTheme="minorHAnsi" w:hAnsiTheme="minorHAnsi" w:cstheme="minorHAnsi"/>
          <w:noProof/>
          <w:szCs w:val="20"/>
          <w:lang w:eastAsia="zh-CN"/>
        </w:rPr>
        <w:t>Responsibilities of the Board:</w:t>
      </w:r>
    </w:p>
    <w:bookmarkEnd w:id="186"/>
    <w:p w14:paraId="0F784C71" w14:textId="77777777" w:rsidR="001945BD" w:rsidRPr="002926D7" w:rsidRDefault="001945BD" w:rsidP="002926D7">
      <w:pPr>
        <w:numPr>
          <w:ilvl w:val="0"/>
          <w:numId w:val="11"/>
        </w:numPr>
        <w:spacing w:before="120"/>
        <w:rPr>
          <w:rFonts w:asciiTheme="minorHAnsi" w:eastAsia="Times New Roman" w:hAnsiTheme="minorHAnsi" w:cstheme="minorHAnsi"/>
          <w:szCs w:val="20"/>
        </w:rPr>
      </w:pPr>
      <w:r w:rsidRPr="002926D7">
        <w:rPr>
          <w:rFonts w:asciiTheme="minorHAnsi" w:hAnsiTheme="minorHAnsi" w:cstheme="minorHAnsi"/>
          <w:szCs w:val="20"/>
        </w:rPr>
        <w:t>Consensus decision making:</w:t>
      </w:r>
    </w:p>
    <w:p w14:paraId="15193BFB" w14:textId="56D0A11A" w:rsidR="001945BD" w:rsidRPr="002926D7" w:rsidRDefault="001945BD" w:rsidP="002926D7">
      <w:pPr>
        <w:numPr>
          <w:ilvl w:val="1"/>
          <w:numId w:val="11"/>
        </w:numPr>
        <w:rPr>
          <w:rFonts w:asciiTheme="minorHAnsi" w:eastAsia="Times New Roman" w:hAnsiTheme="minorHAnsi" w:cstheme="minorHAnsi"/>
          <w:szCs w:val="20"/>
        </w:rPr>
      </w:pPr>
      <w:r w:rsidRPr="002926D7">
        <w:rPr>
          <w:rFonts w:asciiTheme="minorHAnsi" w:eastAsia="Times New Roman" w:hAnsiTheme="minorHAnsi" w:cstheme="minorHAnsi"/>
          <w:szCs w:val="20"/>
        </w:rPr>
        <w:t xml:space="preserve">The Board provides overall guidance and direction to the </w:t>
      </w:r>
      <w:r w:rsidR="00CC42A9" w:rsidRPr="002926D7">
        <w:rPr>
          <w:rFonts w:asciiTheme="minorHAnsi" w:eastAsia="Times New Roman" w:hAnsiTheme="minorHAnsi" w:cstheme="minorHAnsi"/>
          <w:szCs w:val="20"/>
        </w:rPr>
        <w:t>programme</w:t>
      </w:r>
      <w:r w:rsidRPr="002926D7">
        <w:rPr>
          <w:rFonts w:asciiTheme="minorHAnsi" w:eastAsia="Times New Roman" w:hAnsiTheme="minorHAnsi" w:cstheme="minorHAnsi"/>
          <w:szCs w:val="20"/>
        </w:rPr>
        <w:t xml:space="preserve">, ensuring it remains within any specified constraints, and providing overall oversight of the </w:t>
      </w:r>
      <w:r w:rsidR="00CC42A9" w:rsidRPr="002926D7">
        <w:rPr>
          <w:rFonts w:asciiTheme="minorHAnsi" w:eastAsia="Times New Roman" w:hAnsiTheme="minorHAnsi" w:cstheme="minorHAnsi"/>
          <w:szCs w:val="20"/>
        </w:rPr>
        <w:t xml:space="preserve">programme </w:t>
      </w:r>
      <w:r w:rsidRPr="002926D7">
        <w:rPr>
          <w:rFonts w:asciiTheme="minorHAnsi" w:eastAsia="Times New Roman" w:hAnsiTheme="minorHAnsi" w:cstheme="minorHAnsi"/>
          <w:szCs w:val="20"/>
        </w:rPr>
        <w:t xml:space="preserve">implementation. </w:t>
      </w:r>
    </w:p>
    <w:p w14:paraId="041ED71E" w14:textId="1CC15982" w:rsidR="001945BD" w:rsidRPr="002926D7" w:rsidRDefault="001945BD" w:rsidP="002926D7">
      <w:pPr>
        <w:numPr>
          <w:ilvl w:val="1"/>
          <w:numId w:val="11"/>
        </w:numPr>
        <w:rPr>
          <w:rFonts w:asciiTheme="minorHAnsi" w:eastAsia="Times New Roman" w:hAnsiTheme="minorHAnsi" w:cstheme="minorHAnsi"/>
          <w:szCs w:val="20"/>
        </w:rPr>
      </w:pPr>
      <w:r w:rsidRPr="002926D7">
        <w:rPr>
          <w:rFonts w:asciiTheme="minorHAnsi" w:eastAsia="Times New Roman" w:hAnsiTheme="minorHAnsi" w:cstheme="minorHAnsi"/>
          <w:szCs w:val="20"/>
        </w:rPr>
        <w:t xml:space="preserve">Review </w:t>
      </w:r>
      <w:r w:rsidR="00CC42A9" w:rsidRPr="002926D7">
        <w:rPr>
          <w:rFonts w:asciiTheme="minorHAnsi" w:eastAsia="Times New Roman" w:hAnsiTheme="minorHAnsi" w:cstheme="minorHAnsi"/>
          <w:szCs w:val="20"/>
        </w:rPr>
        <w:t xml:space="preserve">programme </w:t>
      </w:r>
      <w:r w:rsidRPr="002926D7">
        <w:rPr>
          <w:rFonts w:asciiTheme="minorHAnsi" w:eastAsia="Times New Roman" w:hAnsiTheme="minorHAnsi" w:cstheme="minorHAnsi"/>
          <w:szCs w:val="20"/>
        </w:rPr>
        <w:t>performance based on monitoring, evaluation and reporting, including progress reports, risk logs and the combined delivery report;</w:t>
      </w:r>
    </w:p>
    <w:p w14:paraId="2E2F3F97" w14:textId="40939BC1" w:rsidR="001945BD" w:rsidRPr="002926D7" w:rsidRDefault="001945BD" w:rsidP="002926D7">
      <w:pPr>
        <w:numPr>
          <w:ilvl w:val="1"/>
          <w:numId w:val="11"/>
        </w:numPr>
        <w:rPr>
          <w:rFonts w:asciiTheme="minorHAnsi" w:eastAsia="Times New Roman" w:hAnsiTheme="minorHAnsi" w:cstheme="minorHAnsi"/>
          <w:szCs w:val="20"/>
        </w:rPr>
      </w:pPr>
      <w:r w:rsidRPr="002926D7">
        <w:rPr>
          <w:rFonts w:asciiTheme="minorHAnsi" w:hAnsiTheme="minorHAnsi" w:cstheme="minorHAnsi"/>
          <w:szCs w:val="20"/>
        </w:rPr>
        <w:t xml:space="preserve">The Board is responsible for making management decisions by consensus. </w:t>
      </w:r>
    </w:p>
    <w:p w14:paraId="65A74557" w14:textId="79CB188C" w:rsidR="001945BD" w:rsidRPr="002926D7" w:rsidRDefault="001945BD" w:rsidP="002926D7">
      <w:pPr>
        <w:numPr>
          <w:ilvl w:val="1"/>
          <w:numId w:val="11"/>
        </w:numPr>
        <w:rPr>
          <w:rFonts w:asciiTheme="minorHAnsi" w:eastAsia="Times New Roman" w:hAnsiTheme="minorHAnsi" w:cstheme="minorHAnsi"/>
          <w:szCs w:val="20"/>
        </w:rPr>
      </w:pPr>
      <w:r w:rsidRPr="002926D7">
        <w:rPr>
          <w:rFonts w:asciiTheme="minorHAnsi" w:hAnsiTheme="minorHAnsi" w:cstheme="minorHAnsi"/>
          <w:noProof/>
          <w:szCs w:val="20"/>
          <w:lang w:eastAsia="zh-CN"/>
        </w:rPr>
        <w:t xml:space="preserve">In order to ensure UNDP’s ultimate accountability, Board decisions should be made in accordance with standards that shall ensure management for development results, best value money, fairness, integrity, transparency and effective international competition.  </w:t>
      </w:r>
    </w:p>
    <w:p w14:paraId="5D1C115E" w14:textId="3613AABB" w:rsidR="001945BD" w:rsidRPr="002926D7" w:rsidRDefault="001945BD" w:rsidP="002926D7">
      <w:pPr>
        <w:numPr>
          <w:ilvl w:val="1"/>
          <w:numId w:val="11"/>
        </w:numPr>
        <w:rPr>
          <w:rFonts w:asciiTheme="minorHAnsi" w:eastAsia="Times New Roman" w:hAnsiTheme="minorHAnsi" w:cstheme="minorHAnsi"/>
          <w:szCs w:val="20"/>
        </w:rPr>
      </w:pPr>
      <w:r w:rsidRPr="002926D7">
        <w:rPr>
          <w:rFonts w:asciiTheme="minorHAnsi" w:hAnsiTheme="minorHAnsi" w:cstheme="minorHAnsi"/>
          <w:noProof/>
          <w:szCs w:val="20"/>
          <w:lang w:eastAsia="zh-CN"/>
        </w:rPr>
        <w:t xml:space="preserve">In case consensus cannot be reached within the Board, the UNDP representative on the Board </w:t>
      </w:r>
      <w:r w:rsidRPr="002926D7">
        <w:rPr>
          <w:rFonts w:asciiTheme="minorHAnsi" w:eastAsia="Times New Roman" w:hAnsiTheme="minorHAnsi" w:cstheme="minorHAnsi"/>
          <w:szCs w:val="20"/>
        </w:rPr>
        <w:t xml:space="preserve">will mediate to find consensus and, if this cannot be found, will take the final decision to ensure </w:t>
      </w:r>
      <w:r w:rsidR="00A7581C" w:rsidRPr="002926D7">
        <w:rPr>
          <w:rFonts w:asciiTheme="minorHAnsi" w:eastAsia="Times New Roman" w:hAnsiTheme="minorHAnsi" w:cstheme="minorHAnsi"/>
          <w:szCs w:val="20"/>
        </w:rPr>
        <w:t xml:space="preserve">programme </w:t>
      </w:r>
      <w:r w:rsidRPr="002926D7">
        <w:rPr>
          <w:rFonts w:asciiTheme="minorHAnsi" w:eastAsia="Times New Roman" w:hAnsiTheme="minorHAnsi" w:cstheme="minorHAnsi"/>
          <w:szCs w:val="20"/>
        </w:rPr>
        <w:t xml:space="preserve">implementation is not unduly delayed. </w:t>
      </w:r>
    </w:p>
    <w:p w14:paraId="18D3192B" w14:textId="77777777" w:rsidR="001945BD" w:rsidRPr="002926D7" w:rsidRDefault="001945BD" w:rsidP="002926D7">
      <w:pPr>
        <w:numPr>
          <w:ilvl w:val="0"/>
          <w:numId w:val="11"/>
        </w:numPr>
        <w:spacing w:before="120"/>
        <w:rPr>
          <w:rFonts w:asciiTheme="minorHAnsi" w:eastAsia="Times New Roman" w:hAnsiTheme="minorHAnsi" w:cstheme="minorHAnsi"/>
          <w:szCs w:val="20"/>
        </w:rPr>
      </w:pPr>
      <w:r w:rsidRPr="002926D7">
        <w:rPr>
          <w:rFonts w:asciiTheme="minorHAnsi" w:hAnsiTheme="minorHAnsi" w:cstheme="minorHAnsi"/>
          <w:szCs w:val="20"/>
        </w:rPr>
        <w:t xml:space="preserve">Oversee project execution: </w:t>
      </w:r>
    </w:p>
    <w:p w14:paraId="75794E2D" w14:textId="32F40DEA" w:rsidR="001945BD" w:rsidRPr="002926D7" w:rsidRDefault="001945BD" w:rsidP="002926D7">
      <w:pPr>
        <w:numPr>
          <w:ilvl w:val="1"/>
          <w:numId w:val="11"/>
        </w:numPr>
        <w:rPr>
          <w:rFonts w:asciiTheme="minorHAnsi" w:hAnsiTheme="minorHAnsi" w:cstheme="minorHAnsi"/>
          <w:szCs w:val="20"/>
        </w:rPr>
      </w:pPr>
      <w:r w:rsidRPr="002926D7">
        <w:rPr>
          <w:rFonts w:asciiTheme="minorHAnsi" w:hAnsiTheme="minorHAnsi" w:cstheme="minorHAnsi"/>
          <w:szCs w:val="20"/>
        </w:rPr>
        <w:t xml:space="preserve">Agree on </w:t>
      </w:r>
      <w:r w:rsidR="00CC42A9" w:rsidRPr="002926D7">
        <w:rPr>
          <w:rFonts w:asciiTheme="minorHAnsi" w:hAnsiTheme="minorHAnsi" w:cstheme="minorHAnsi"/>
          <w:szCs w:val="20"/>
        </w:rPr>
        <w:t xml:space="preserve">programme </w:t>
      </w:r>
      <w:r w:rsidRPr="002926D7">
        <w:rPr>
          <w:rFonts w:asciiTheme="minorHAnsi" w:hAnsiTheme="minorHAnsi" w:cstheme="minorHAnsi"/>
          <w:szCs w:val="20"/>
        </w:rPr>
        <w:t>manager’s tolerances as required, within the parameters outlined in the project document, and provide direction and advice for exceptional situations when the project manager’s tolerances are exceeded.</w:t>
      </w:r>
    </w:p>
    <w:p w14:paraId="49B90018" w14:textId="57C6AB57" w:rsidR="001945BD" w:rsidRPr="002926D7" w:rsidRDefault="001945BD" w:rsidP="002926D7">
      <w:pPr>
        <w:numPr>
          <w:ilvl w:val="0"/>
          <w:numId w:val="13"/>
        </w:numPr>
        <w:rPr>
          <w:rFonts w:asciiTheme="minorHAnsi" w:eastAsia="Times New Roman" w:hAnsiTheme="minorHAnsi" w:cstheme="minorHAnsi"/>
          <w:color w:val="000000"/>
          <w:szCs w:val="20"/>
        </w:rPr>
      </w:pPr>
      <w:r w:rsidRPr="002926D7">
        <w:rPr>
          <w:rFonts w:asciiTheme="minorHAnsi" w:hAnsiTheme="minorHAnsi" w:cstheme="minorHAnsi"/>
          <w:szCs w:val="20"/>
        </w:rPr>
        <w:t xml:space="preserve">Appraise annual work plans prepared by the Implementing Partner for the </w:t>
      </w:r>
      <w:r w:rsidR="00CC42A9" w:rsidRPr="002926D7">
        <w:rPr>
          <w:rFonts w:asciiTheme="minorHAnsi" w:hAnsiTheme="minorHAnsi" w:cstheme="minorHAnsi"/>
          <w:szCs w:val="20"/>
        </w:rPr>
        <w:t>programme</w:t>
      </w:r>
      <w:r w:rsidRPr="002926D7">
        <w:rPr>
          <w:rFonts w:asciiTheme="minorHAnsi" w:hAnsiTheme="minorHAnsi" w:cstheme="minorHAnsi"/>
          <w:szCs w:val="20"/>
        </w:rPr>
        <w:t>; r</w:t>
      </w:r>
      <w:r w:rsidRPr="002926D7">
        <w:rPr>
          <w:rFonts w:asciiTheme="minorHAnsi" w:eastAsia="Times New Roman" w:hAnsiTheme="minorHAnsi" w:cstheme="minorHAnsi"/>
          <w:color w:val="000000" w:themeColor="text1"/>
          <w:szCs w:val="20"/>
        </w:rPr>
        <w:t>eview combined delivery reports prior to certification by the implementing partner.</w:t>
      </w:r>
    </w:p>
    <w:p w14:paraId="59457A59" w14:textId="772AC451" w:rsidR="001945BD" w:rsidRPr="002926D7" w:rsidRDefault="001945BD" w:rsidP="002926D7">
      <w:pPr>
        <w:numPr>
          <w:ilvl w:val="0"/>
          <w:numId w:val="13"/>
        </w:numPr>
        <w:rPr>
          <w:rFonts w:asciiTheme="minorHAnsi" w:hAnsiTheme="minorHAnsi" w:cstheme="minorHAnsi"/>
          <w:szCs w:val="20"/>
        </w:rPr>
      </w:pPr>
      <w:r w:rsidRPr="002926D7">
        <w:rPr>
          <w:rFonts w:asciiTheme="minorHAnsi" w:hAnsiTheme="minorHAnsi" w:cstheme="minorHAnsi"/>
          <w:szCs w:val="20"/>
        </w:rPr>
        <w:t xml:space="preserve">Address any high-level project issues as raised by the </w:t>
      </w:r>
      <w:r w:rsidR="00CC42A9" w:rsidRPr="002926D7">
        <w:rPr>
          <w:rFonts w:asciiTheme="minorHAnsi" w:hAnsiTheme="minorHAnsi" w:cstheme="minorHAnsi"/>
          <w:szCs w:val="20"/>
        </w:rPr>
        <w:t xml:space="preserve">programme </w:t>
      </w:r>
      <w:r w:rsidRPr="002926D7">
        <w:rPr>
          <w:rFonts w:asciiTheme="minorHAnsi" w:hAnsiTheme="minorHAnsi" w:cstheme="minorHAnsi"/>
          <w:szCs w:val="20"/>
        </w:rPr>
        <w:t xml:space="preserve">manager and </w:t>
      </w:r>
      <w:r w:rsidR="00CC42A9" w:rsidRPr="002926D7">
        <w:rPr>
          <w:rFonts w:asciiTheme="minorHAnsi" w:hAnsiTheme="minorHAnsi" w:cstheme="minorHAnsi"/>
          <w:szCs w:val="20"/>
        </w:rPr>
        <w:t xml:space="preserve">programme </w:t>
      </w:r>
      <w:r w:rsidRPr="002926D7">
        <w:rPr>
          <w:rFonts w:asciiTheme="minorHAnsi" w:hAnsiTheme="minorHAnsi" w:cstheme="minorHAnsi"/>
          <w:szCs w:val="20"/>
        </w:rPr>
        <w:t>assurance;</w:t>
      </w:r>
    </w:p>
    <w:p w14:paraId="59739C2C" w14:textId="3EBA4B31" w:rsidR="001945BD" w:rsidRPr="002926D7" w:rsidRDefault="001945BD" w:rsidP="002926D7">
      <w:pPr>
        <w:numPr>
          <w:ilvl w:val="0"/>
          <w:numId w:val="13"/>
        </w:numPr>
        <w:rPr>
          <w:rFonts w:asciiTheme="minorHAnsi" w:hAnsiTheme="minorHAnsi" w:cstheme="minorHAnsi"/>
          <w:szCs w:val="20"/>
        </w:rPr>
      </w:pPr>
      <w:r w:rsidRPr="002926D7">
        <w:rPr>
          <w:rFonts w:asciiTheme="minorHAnsi" w:hAnsiTheme="minorHAnsi" w:cstheme="minorHAnsi"/>
          <w:szCs w:val="20"/>
        </w:rPr>
        <w:t xml:space="preserve">Advise on major and minor amendments to the </w:t>
      </w:r>
      <w:r w:rsidR="00CC42A9" w:rsidRPr="002926D7">
        <w:rPr>
          <w:rFonts w:asciiTheme="minorHAnsi" w:hAnsiTheme="minorHAnsi" w:cstheme="minorHAnsi"/>
          <w:szCs w:val="20"/>
        </w:rPr>
        <w:t xml:space="preserve">programme </w:t>
      </w:r>
      <w:r w:rsidRPr="002926D7">
        <w:rPr>
          <w:rFonts w:asciiTheme="minorHAnsi" w:hAnsiTheme="minorHAnsi" w:cstheme="minorHAnsi"/>
          <w:szCs w:val="20"/>
        </w:rPr>
        <w:t>within the parameters set by UNDP and the donor and refer such proposed major and minor amendments to the UNDP BPPS Nature, Climate and Energy Executive Coordinator (and the GEF, as required by GEF policies);</w:t>
      </w:r>
    </w:p>
    <w:p w14:paraId="433B16C8" w14:textId="0BE362B5" w:rsidR="001945BD" w:rsidRPr="002926D7" w:rsidRDefault="001945BD" w:rsidP="002926D7">
      <w:pPr>
        <w:numPr>
          <w:ilvl w:val="0"/>
          <w:numId w:val="13"/>
        </w:numPr>
        <w:rPr>
          <w:rFonts w:asciiTheme="minorHAnsi" w:hAnsiTheme="minorHAnsi" w:cstheme="minorHAnsi"/>
          <w:szCs w:val="20"/>
        </w:rPr>
      </w:pPr>
      <w:r w:rsidRPr="002926D7">
        <w:rPr>
          <w:rFonts w:asciiTheme="minorHAnsi" w:hAnsiTheme="minorHAnsi" w:cstheme="minorHAnsi"/>
          <w:szCs w:val="20"/>
        </w:rPr>
        <w:t xml:space="preserve">Provide high-level direction and recommendations to the </w:t>
      </w:r>
      <w:r w:rsidR="00CC42A9" w:rsidRPr="002926D7">
        <w:rPr>
          <w:rFonts w:asciiTheme="minorHAnsi" w:hAnsiTheme="minorHAnsi" w:cstheme="minorHAnsi"/>
          <w:szCs w:val="20"/>
        </w:rPr>
        <w:t xml:space="preserve">programme </w:t>
      </w:r>
      <w:r w:rsidRPr="002926D7">
        <w:rPr>
          <w:rFonts w:asciiTheme="minorHAnsi" w:hAnsiTheme="minorHAnsi" w:cstheme="minorHAnsi"/>
          <w:szCs w:val="20"/>
        </w:rPr>
        <w:t>management unit to ensure that the agreed deliverables are produced satisfactorily and according to plans.</w:t>
      </w:r>
    </w:p>
    <w:p w14:paraId="4CE5C57B" w14:textId="2D4E6D4E" w:rsidR="001945BD" w:rsidRPr="002926D7" w:rsidRDefault="001945BD" w:rsidP="002926D7">
      <w:pPr>
        <w:numPr>
          <w:ilvl w:val="0"/>
          <w:numId w:val="13"/>
        </w:numPr>
        <w:rPr>
          <w:rFonts w:asciiTheme="minorHAnsi" w:hAnsiTheme="minorHAnsi" w:cstheme="minorHAnsi"/>
          <w:szCs w:val="20"/>
        </w:rPr>
      </w:pPr>
      <w:r w:rsidRPr="002926D7">
        <w:rPr>
          <w:rFonts w:asciiTheme="minorHAnsi" w:hAnsiTheme="minorHAnsi" w:cstheme="minorHAnsi"/>
          <w:szCs w:val="20"/>
        </w:rPr>
        <w:t xml:space="preserve">Track and monitor co-financed activities and realization of co-financing amounts of this </w:t>
      </w:r>
      <w:r w:rsidR="00CC42A9" w:rsidRPr="002926D7">
        <w:rPr>
          <w:rFonts w:asciiTheme="minorHAnsi" w:hAnsiTheme="minorHAnsi" w:cstheme="minorHAnsi"/>
          <w:szCs w:val="20"/>
        </w:rPr>
        <w:t>programme</w:t>
      </w:r>
      <w:r w:rsidRPr="002926D7">
        <w:rPr>
          <w:rFonts w:asciiTheme="minorHAnsi" w:hAnsiTheme="minorHAnsi" w:cstheme="minorHAnsi"/>
          <w:szCs w:val="20"/>
        </w:rPr>
        <w:t xml:space="preserve">. </w:t>
      </w:r>
    </w:p>
    <w:p w14:paraId="25D5DCD2" w14:textId="1E29010A" w:rsidR="001945BD" w:rsidRPr="002926D7" w:rsidRDefault="0067536B" w:rsidP="002926D7">
      <w:pPr>
        <w:numPr>
          <w:ilvl w:val="0"/>
          <w:numId w:val="13"/>
        </w:numPr>
        <w:rPr>
          <w:rFonts w:asciiTheme="minorHAnsi" w:hAnsiTheme="minorHAnsi" w:cstheme="minorHAnsi"/>
          <w:szCs w:val="20"/>
        </w:rPr>
      </w:pPr>
      <w:r w:rsidRPr="002926D7">
        <w:rPr>
          <w:rFonts w:asciiTheme="minorHAnsi" w:hAnsiTheme="minorHAnsi" w:cstheme="minorHAnsi"/>
          <w:szCs w:val="20"/>
        </w:rPr>
        <w:t>Approve the Inception Report, GEF annual project implementation reports, mid-term review and terminal evaluation reports.</w:t>
      </w:r>
    </w:p>
    <w:p w14:paraId="188535AA" w14:textId="63584916" w:rsidR="001945BD" w:rsidRPr="002926D7" w:rsidRDefault="001945BD" w:rsidP="002926D7">
      <w:pPr>
        <w:numPr>
          <w:ilvl w:val="0"/>
          <w:numId w:val="13"/>
        </w:numPr>
        <w:rPr>
          <w:rFonts w:asciiTheme="minorHAnsi" w:hAnsiTheme="minorHAnsi" w:cstheme="minorHAnsi"/>
          <w:szCs w:val="20"/>
        </w:rPr>
      </w:pPr>
      <w:r w:rsidRPr="002926D7">
        <w:rPr>
          <w:rFonts w:asciiTheme="minorHAnsi" w:hAnsiTheme="minorHAnsi" w:cstheme="minorHAnsi"/>
          <w:szCs w:val="20"/>
        </w:rPr>
        <w:t xml:space="preserve">Ensure commitment of human resources to support </w:t>
      </w:r>
      <w:r w:rsidR="00CC42A9" w:rsidRPr="002926D7">
        <w:rPr>
          <w:rFonts w:asciiTheme="minorHAnsi" w:hAnsiTheme="minorHAnsi" w:cstheme="minorHAnsi"/>
          <w:szCs w:val="20"/>
        </w:rPr>
        <w:t xml:space="preserve">programme </w:t>
      </w:r>
      <w:r w:rsidRPr="002926D7">
        <w:rPr>
          <w:rFonts w:asciiTheme="minorHAnsi" w:hAnsiTheme="minorHAnsi" w:cstheme="minorHAnsi"/>
          <w:szCs w:val="20"/>
        </w:rPr>
        <w:t xml:space="preserve">implementation, arbitrating any issues within the </w:t>
      </w:r>
      <w:r w:rsidR="00CC42A9" w:rsidRPr="002926D7">
        <w:rPr>
          <w:rFonts w:asciiTheme="minorHAnsi" w:hAnsiTheme="minorHAnsi" w:cstheme="minorHAnsi"/>
          <w:szCs w:val="20"/>
        </w:rPr>
        <w:t>programme</w:t>
      </w:r>
      <w:r w:rsidRPr="002926D7">
        <w:rPr>
          <w:rFonts w:asciiTheme="minorHAnsi" w:hAnsiTheme="minorHAnsi" w:cstheme="minorHAnsi"/>
          <w:szCs w:val="20"/>
        </w:rPr>
        <w:t xml:space="preserve">. </w:t>
      </w:r>
    </w:p>
    <w:p w14:paraId="49687846" w14:textId="77777777" w:rsidR="001945BD" w:rsidRPr="002926D7" w:rsidRDefault="001945BD" w:rsidP="002926D7">
      <w:pPr>
        <w:numPr>
          <w:ilvl w:val="0"/>
          <w:numId w:val="11"/>
        </w:numPr>
        <w:spacing w:before="120"/>
        <w:rPr>
          <w:rFonts w:asciiTheme="minorHAnsi" w:eastAsia="Times New Roman" w:hAnsiTheme="minorHAnsi" w:cstheme="minorHAnsi"/>
          <w:szCs w:val="20"/>
        </w:rPr>
      </w:pPr>
      <w:r w:rsidRPr="002926D7">
        <w:rPr>
          <w:rFonts w:asciiTheme="minorHAnsi" w:hAnsiTheme="minorHAnsi" w:cstheme="minorHAnsi"/>
          <w:szCs w:val="20"/>
        </w:rPr>
        <w:t>Risk Management:</w:t>
      </w:r>
    </w:p>
    <w:p w14:paraId="47DAF424" w14:textId="4CF8C5F4" w:rsidR="001945BD" w:rsidRPr="002926D7" w:rsidRDefault="001945BD" w:rsidP="002926D7">
      <w:pPr>
        <w:numPr>
          <w:ilvl w:val="1"/>
          <w:numId w:val="11"/>
        </w:numPr>
        <w:rPr>
          <w:rFonts w:asciiTheme="minorHAnsi" w:eastAsia="Times New Roman" w:hAnsiTheme="minorHAnsi" w:cstheme="minorHAnsi"/>
          <w:szCs w:val="20"/>
        </w:rPr>
      </w:pPr>
      <w:r w:rsidRPr="002926D7">
        <w:rPr>
          <w:rFonts w:asciiTheme="minorHAnsi" w:hAnsiTheme="minorHAnsi" w:cstheme="minorHAnsi"/>
          <w:szCs w:val="20"/>
        </w:rPr>
        <w:t xml:space="preserve">Provide guidance on evolving or materialized </w:t>
      </w:r>
      <w:r w:rsidR="00CC42A9" w:rsidRPr="002926D7">
        <w:rPr>
          <w:rFonts w:asciiTheme="minorHAnsi" w:hAnsiTheme="minorHAnsi" w:cstheme="minorHAnsi"/>
          <w:szCs w:val="20"/>
        </w:rPr>
        <w:t xml:space="preserve">programme </w:t>
      </w:r>
      <w:r w:rsidRPr="002926D7">
        <w:rPr>
          <w:rFonts w:asciiTheme="minorHAnsi" w:hAnsiTheme="minorHAnsi" w:cstheme="minorHAnsi"/>
          <w:szCs w:val="20"/>
        </w:rPr>
        <w:t xml:space="preserve">risks and agree on possible mitigation and management actions to address specific risks. </w:t>
      </w:r>
    </w:p>
    <w:p w14:paraId="35D4D355" w14:textId="3F379994" w:rsidR="001945BD" w:rsidRPr="002926D7" w:rsidRDefault="001945BD" w:rsidP="002926D7">
      <w:pPr>
        <w:numPr>
          <w:ilvl w:val="1"/>
          <w:numId w:val="11"/>
        </w:numPr>
        <w:rPr>
          <w:rFonts w:asciiTheme="minorHAnsi" w:eastAsia="Times New Roman" w:hAnsiTheme="minorHAnsi" w:cstheme="minorHAnsi"/>
          <w:szCs w:val="20"/>
        </w:rPr>
      </w:pPr>
      <w:r w:rsidRPr="002926D7">
        <w:rPr>
          <w:rFonts w:asciiTheme="minorHAnsi" w:hAnsiTheme="minorHAnsi" w:cstheme="minorHAnsi"/>
          <w:szCs w:val="20"/>
        </w:rPr>
        <w:lastRenderedPageBreak/>
        <w:t xml:space="preserve">Review and update the </w:t>
      </w:r>
      <w:r w:rsidR="00A7581C" w:rsidRPr="002926D7">
        <w:rPr>
          <w:rFonts w:asciiTheme="minorHAnsi" w:hAnsiTheme="minorHAnsi" w:cstheme="minorHAnsi"/>
          <w:szCs w:val="20"/>
        </w:rPr>
        <w:t xml:space="preserve">programme </w:t>
      </w:r>
      <w:r w:rsidRPr="002926D7">
        <w:rPr>
          <w:rFonts w:asciiTheme="minorHAnsi" w:hAnsiTheme="minorHAnsi" w:cstheme="minorHAnsi"/>
          <w:szCs w:val="20"/>
        </w:rPr>
        <w:t xml:space="preserve">risk register and associated management plans based on the information prepared by the Implementing Partner. This includes risks related that can be directly managed by this </w:t>
      </w:r>
      <w:r w:rsidR="00CC42A9" w:rsidRPr="002926D7">
        <w:rPr>
          <w:rFonts w:asciiTheme="minorHAnsi" w:hAnsiTheme="minorHAnsi" w:cstheme="minorHAnsi"/>
          <w:szCs w:val="20"/>
        </w:rPr>
        <w:t>programme</w:t>
      </w:r>
      <w:r w:rsidRPr="002926D7">
        <w:rPr>
          <w:rFonts w:asciiTheme="minorHAnsi" w:hAnsiTheme="minorHAnsi" w:cstheme="minorHAnsi"/>
          <w:szCs w:val="20"/>
        </w:rPr>
        <w:t xml:space="preserve">, as well as contextual risks that may affect project delivery or continued UNDP compliance and reputation but are outside of the control of the project. For example, social and environmental risks associated with co-financed activities or activities taking place in the project’s area of influence that have implications for the </w:t>
      </w:r>
      <w:r w:rsidR="00CC42A9" w:rsidRPr="002926D7">
        <w:rPr>
          <w:rFonts w:asciiTheme="minorHAnsi" w:hAnsiTheme="minorHAnsi" w:cstheme="minorHAnsi"/>
          <w:szCs w:val="20"/>
        </w:rPr>
        <w:t>programme</w:t>
      </w:r>
      <w:r w:rsidRPr="002926D7">
        <w:rPr>
          <w:rFonts w:asciiTheme="minorHAnsi" w:hAnsiTheme="minorHAnsi" w:cstheme="minorHAnsi"/>
          <w:szCs w:val="20"/>
        </w:rPr>
        <w:t xml:space="preserve">. </w:t>
      </w:r>
    </w:p>
    <w:p w14:paraId="40BC3DF1" w14:textId="20A6E50B" w:rsidR="001945BD" w:rsidRPr="002926D7" w:rsidRDefault="00B7034C" w:rsidP="002926D7">
      <w:pPr>
        <w:numPr>
          <w:ilvl w:val="1"/>
          <w:numId w:val="11"/>
        </w:numPr>
        <w:rPr>
          <w:rFonts w:asciiTheme="minorHAnsi" w:eastAsia="Times New Roman" w:hAnsiTheme="minorHAnsi" w:cstheme="minorHAnsi"/>
          <w:szCs w:val="20"/>
        </w:rPr>
      </w:pPr>
      <w:r w:rsidRPr="002926D7">
        <w:rPr>
          <w:rFonts w:asciiTheme="minorHAnsi" w:hAnsiTheme="minorHAnsi" w:cstheme="minorHAnsi"/>
          <w:szCs w:val="20"/>
        </w:rPr>
        <w:t>Appraised of programme-level grievances and a</w:t>
      </w:r>
      <w:r w:rsidR="001945BD" w:rsidRPr="002926D7">
        <w:rPr>
          <w:rFonts w:asciiTheme="minorHAnsi" w:hAnsiTheme="minorHAnsi" w:cstheme="minorHAnsi"/>
          <w:szCs w:val="20"/>
        </w:rPr>
        <w:t>ddress grievances</w:t>
      </w:r>
      <w:r w:rsidRPr="002926D7">
        <w:rPr>
          <w:rFonts w:asciiTheme="minorHAnsi" w:hAnsiTheme="minorHAnsi" w:cstheme="minorHAnsi"/>
          <w:szCs w:val="20"/>
        </w:rPr>
        <w:t xml:space="preserve"> that cannot be resolved at the local or country level</w:t>
      </w:r>
      <w:r w:rsidR="001945BD" w:rsidRPr="002926D7">
        <w:rPr>
          <w:rFonts w:asciiTheme="minorHAnsi" w:hAnsiTheme="minorHAnsi" w:cstheme="minorHAnsi"/>
          <w:szCs w:val="20"/>
        </w:rPr>
        <w:t>.</w:t>
      </w:r>
    </w:p>
    <w:p w14:paraId="10A12D21" w14:textId="77777777" w:rsidR="001945BD" w:rsidRPr="002926D7" w:rsidRDefault="001945BD" w:rsidP="002926D7">
      <w:pPr>
        <w:numPr>
          <w:ilvl w:val="0"/>
          <w:numId w:val="12"/>
        </w:numPr>
        <w:spacing w:before="120"/>
        <w:rPr>
          <w:rFonts w:asciiTheme="minorHAnsi" w:hAnsiTheme="minorHAnsi" w:cstheme="minorHAnsi"/>
          <w:szCs w:val="20"/>
        </w:rPr>
      </w:pPr>
      <w:r w:rsidRPr="002926D7">
        <w:rPr>
          <w:rFonts w:asciiTheme="minorHAnsi" w:hAnsiTheme="minorHAnsi" w:cstheme="minorHAnsi"/>
          <w:szCs w:val="20"/>
        </w:rPr>
        <w:t>Coordination:</w:t>
      </w:r>
    </w:p>
    <w:p w14:paraId="124D1805" w14:textId="77777777" w:rsidR="001945BD" w:rsidRPr="002926D7" w:rsidRDefault="001945BD" w:rsidP="002926D7">
      <w:pPr>
        <w:numPr>
          <w:ilvl w:val="1"/>
          <w:numId w:val="12"/>
        </w:numPr>
        <w:rPr>
          <w:rFonts w:asciiTheme="minorHAnsi" w:hAnsiTheme="minorHAnsi" w:cstheme="minorHAnsi"/>
          <w:szCs w:val="20"/>
        </w:rPr>
      </w:pPr>
      <w:r w:rsidRPr="002926D7">
        <w:rPr>
          <w:rFonts w:asciiTheme="minorHAnsi" w:hAnsiTheme="minorHAnsi" w:cstheme="minorHAnsi"/>
          <w:szCs w:val="20"/>
        </w:rPr>
        <w:t xml:space="preserve">Ensure coordination between various donor and government-funded projects and programmes. </w:t>
      </w:r>
    </w:p>
    <w:p w14:paraId="329F20CE" w14:textId="3DAD8E38" w:rsidR="001945BD" w:rsidRPr="002926D7" w:rsidRDefault="001945BD" w:rsidP="002926D7">
      <w:pPr>
        <w:numPr>
          <w:ilvl w:val="1"/>
          <w:numId w:val="12"/>
        </w:numPr>
        <w:rPr>
          <w:rFonts w:asciiTheme="minorHAnsi" w:hAnsiTheme="minorHAnsi" w:cstheme="minorHAnsi"/>
          <w:szCs w:val="20"/>
        </w:rPr>
      </w:pPr>
      <w:r w:rsidRPr="002926D7">
        <w:rPr>
          <w:rFonts w:asciiTheme="minorHAnsi" w:hAnsiTheme="minorHAnsi" w:cstheme="minorHAnsi"/>
          <w:szCs w:val="20"/>
        </w:rPr>
        <w:t xml:space="preserve">Ensure coordination with various government agencies and their participation in </w:t>
      </w:r>
      <w:r w:rsidR="00CC42A9" w:rsidRPr="002926D7">
        <w:rPr>
          <w:rFonts w:asciiTheme="minorHAnsi" w:hAnsiTheme="minorHAnsi" w:cstheme="minorHAnsi"/>
          <w:szCs w:val="20"/>
        </w:rPr>
        <w:t xml:space="preserve">programme </w:t>
      </w:r>
      <w:r w:rsidRPr="002926D7">
        <w:rPr>
          <w:rFonts w:asciiTheme="minorHAnsi" w:hAnsiTheme="minorHAnsi" w:cstheme="minorHAnsi"/>
          <w:szCs w:val="20"/>
        </w:rPr>
        <w:t xml:space="preserve">activities.    </w:t>
      </w:r>
    </w:p>
    <w:bookmarkEnd w:id="173"/>
    <w:p w14:paraId="1DBA4007" w14:textId="77777777" w:rsidR="001945BD" w:rsidRPr="002926D7" w:rsidRDefault="001945BD" w:rsidP="002926D7">
      <w:pPr>
        <w:jc w:val="left"/>
        <w:rPr>
          <w:rFonts w:asciiTheme="minorHAnsi" w:hAnsiTheme="minorHAnsi" w:cstheme="minorHAnsi"/>
          <w:szCs w:val="20"/>
        </w:rPr>
      </w:pPr>
    </w:p>
    <w:bookmarkEnd w:id="185"/>
    <w:p w14:paraId="0D370112" w14:textId="1F406512" w:rsidR="001945BD" w:rsidRPr="002926D7" w:rsidRDefault="001945BD" w:rsidP="002926D7">
      <w:pPr>
        <w:numPr>
          <w:ilvl w:val="0"/>
          <w:numId w:val="8"/>
        </w:numPr>
        <w:ind w:left="0" w:firstLine="0"/>
        <w:rPr>
          <w:rFonts w:asciiTheme="minorHAnsi" w:hAnsiTheme="minorHAnsi" w:cstheme="minorHAnsi"/>
          <w:noProof/>
          <w:szCs w:val="20"/>
          <w:lang w:eastAsia="zh-CN"/>
        </w:rPr>
      </w:pPr>
      <w:r w:rsidRPr="002926D7">
        <w:rPr>
          <w:rFonts w:asciiTheme="minorHAnsi" w:hAnsiTheme="minorHAnsi" w:cstheme="minorHAnsi"/>
          <w:b/>
          <w:bCs/>
          <w:szCs w:val="20"/>
        </w:rPr>
        <w:t xml:space="preserve">Composition of the </w:t>
      </w:r>
      <w:r w:rsidR="007014C7" w:rsidRPr="002926D7">
        <w:rPr>
          <w:rFonts w:asciiTheme="minorHAnsi" w:hAnsiTheme="minorHAnsi" w:cstheme="minorHAnsi"/>
          <w:b/>
          <w:bCs/>
          <w:szCs w:val="20"/>
        </w:rPr>
        <w:t xml:space="preserve">UNDP SGP Global </w:t>
      </w:r>
      <w:r w:rsidRPr="002926D7">
        <w:rPr>
          <w:rFonts w:asciiTheme="minorHAnsi" w:hAnsiTheme="minorHAnsi" w:cstheme="minorHAnsi"/>
          <w:b/>
          <w:bCs/>
          <w:szCs w:val="20"/>
        </w:rPr>
        <w:t>Board</w:t>
      </w:r>
      <w:r w:rsidRPr="002926D7">
        <w:rPr>
          <w:rFonts w:asciiTheme="minorHAnsi" w:hAnsiTheme="minorHAnsi" w:cstheme="minorHAnsi"/>
          <w:szCs w:val="20"/>
        </w:rPr>
        <w:t>: The composition of the Board must include individuals assigned to the following three roles</w:t>
      </w:r>
      <w:r w:rsidRPr="002926D7">
        <w:rPr>
          <w:rFonts w:asciiTheme="minorHAnsi" w:hAnsiTheme="minorHAnsi" w:cstheme="minorHAnsi"/>
          <w:szCs w:val="20"/>
          <w:lang w:eastAsia="zh-CN"/>
        </w:rPr>
        <w:t xml:space="preserve">: </w:t>
      </w:r>
    </w:p>
    <w:p w14:paraId="1230CFAE" w14:textId="582D1054" w:rsidR="001945BD" w:rsidRPr="002926D7" w:rsidRDefault="00CC42A9" w:rsidP="002926D7">
      <w:pPr>
        <w:pStyle w:val="ListParagraph"/>
        <w:numPr>
          <w:ilvl w:val="0"/>
          <w:numId w:val="16"/>
        </w:numPr>
        <w:spacing w:before="60"/>
        <w:ind w:left="1080"/>
        <w:rPr>
          <w:rFonts w:asciiTheme="minorHAnsi" w:hAnsiTheme="minorHAnsi" w:cstheme="minorHAnsi"/>
          <w:szCs w:val="20"/>
        </w:rPr>
      </w:pPr>
      <w:r w:rsidRPr="002926D7">
        <w:rPr>
          <w:rFonts w:asciiTheme="minorHAnsi" w:hAnsiTheme="minorHAnsi" w:cstheme="minorHAnsi"/>
          <w:b/>
          <w:bCs/>
          <w:szCs w:val="20"/>
        </w:rPr>
        <w:t xml:space="preserve">Programme </w:t>
      </w:r>
      <w:r w:rsidR="001945BD" w:rsidRPr="002926D7">
        <w:rPr>
          <w:rFonts w:asciiTheme="minorHAnsi" w:hAnsiTheme="minorHAnsi" w:cstheme="minorHAnsi"/>
          <w:b/>
          <w:bCs/>
          <w:szCs w:val="20"/>
        </w:rPr>
        <w:t>Executive:</w:t>
      </w:r>
      <w:r w:rsidR="001945BD" w:rsidRPr="002926D7">
        <w:rPr>
          <w:rFonts w:asciiTheme="minorHAnsi" w:hAnsiTheme="minorHAnsi" w:cstheme="minorHAnsi"/>
          <w:szCs w:val="20"/>
        </w:rPr>
        <w:t xml:space="preserve"> </w:t>
      </w:r>
      <w:r w:rsidR="00EF7B09" w:rsidRPr="002926D7">
        <w:rPr>
          <w:rFonts w:asciiTheme="minorHAnsi" w:hAnsiTheme="minorHAnsi" w:cstheme="minorHAnsi"/>
          <w:szCs w:val="22"/>
        </w:rPr>
        <w:t xml:space="preserve">This is an individual who represents ownership of the </w:t>
      </w:r>
      <w:r w:rsidR="009D18CB" w:rsidRPr="002926D7">
        <w:rPr>
          <w:rFonts w:asciiTheme="minorHAnsi" w:hAnsiTheme="minorHAnsi" w:cstheme="minorHAnsi"/>
          <w:szCs w:val="22"/>
        </w:rPr>
        <w:t xml:space="preserve">programme </w:t>
      </w:r>
      <w:r w:rsidR="00EF7B09" w:rsidRPr="002926D7">
        <w:rPr>
          <w:rFonts w:asciiTheme="minorHAnsi" w:hAnsiTheme="minorHAnsi" w:cstheme="minorHAnsi"/>
          <w:szCs w:val="22"/>
        </w:rPr>
        <w:t xml:space="preserve">and chairs (or co-chairs) the Board. The Executive must be UNDP for projects that are direct implementation (DIM). In exceptional cases, two individuals from different entities can co-share this role and/or co-chair the Board. If the programme executive co-chairs the </w:t>
      </w:r>
      <w:r w:rsidR="00A7581C" w:rsidRPr="002926D7">
        <w:rPr>
          <w:rFonts w:asciiTheme="minorHAnsi" w:hAnsiTheme="minorHAnsi" w:cstheme="minorHAnsi"/>
          <w:szCs w:val="22"/>
        </w:rPr>
        <w:t>B</w:t>
      </w:r>
      <w:r w:rsidR="00EF7B09" w:rsidRPr="002926D7">
        <w:rPr>
          <w:rFonts w:asciiTheme="minorHAnsi" w:hAnsiTheme="minorHAnsi" w:cstheme="minorHAnsi"/>
          <w:szCs w:val="22"/>
        </w:rPr>
        <w:t xml:space="preserve">oard with representatives of another category, it typically does so with a development partner representative. The </w:t>
      </w:r>
      <w:r w:rsidR="009D18CB" w:rsidRPr="002926D7">
        <w:rPr>
          <w:rFonts w:asciiTheme="minorHAnsi" w:hAnsiTheme="minorHAnsi" w:cstheme="minorHAnsi"/>
          <w:szCs w:val="22"/>
        </w:rPr>
        <w:t xml:space="preserve">Programme </w:t>
      </w:r>
      <w:r w:rsidR="00EF7B09" w:rsidRPr="002926D7">
        <w:rPr>
          <w:rFonts w:asciiTheme="minorHAnsi" w:hAnsiTheme="minorHAnsi" w:cstheme="minorHAnsi"/>
          <w:szCs w:val="22"/>
        </w:rPr>
        <w:t>Executive is the Nature Hub Director or designee</w:t>
      </w:r>
      <w:r w:rsidR="001945BD" w:rsidRPr="002926D7">
        <w:rPr>
          <w:rFonts w:asciiTheme="minorHAnsi" w:hAnsiTheme="minorHAnsi" w:cstheme="minorHAnsi"/>
          <w:szCs w:val="20"/>
        </w:rPr>
        <w:t>.</w:t>
      </w:r>
    </w:p>
    <w:p w14:paraId="759C0C44" w14:textId="53D841B4" w:rsidR="001945BD" w:rsidRPr="002926D7" w:rsidRDefault="001945BD" w:rsidP="002926D7">
      <w:pPr>
        <w:pStyle w:val="ListParagraph"/>
        <w:numPr>
          <w:ilvl w:val="0"/>
          <w:numId w:val="16"/>
        </w:numPr>
        <w:spacing w:before="60"/>
        <w:ind w:left="1080"/>
        <w:rPr>
          <w:rFonts w:asciiTheme="minorHAnsi" w:hAnsiTheme="minorHAnsi" w:cstheme="minorHAnsi"/>
          <w:szCs w:val="20"/>
        </w:rPr>
      </w:pPr>
      <w:bookmarkStart w:id="187" w:name="_Hlk138607719"/>
      <w:r w:rsidRPr="002926D7">
        <w:rPr>
          <w:rFonts w:asciiTheme="minorHAnsi" w:hAnsiTheme="minorHAnsi" w:cstheme="minorHAnsi"/>
          <w:b/>
          <w:bCs/>
          <w:szCs w:val="20"/>
        </w:rPr>
        <w:t>Beneficiary Representatives</w:t>
      </w:r>
      <w:r w:rsidRPr="002926D7">
        <w:rPr>
          <w:rFonts w:asciiTheme="minorHAnsi" w:hAnsiTheme="minorHAnsi" w:cstheme="minorHAnsi"/>
          <w:szCs w:val="20"/>
        </w:rPr>
        <w:t>:</w:t>
      </w:r>
      <w:r w:rsidR="0029271D" w:rsidRPr="002926D7">
        <w:rPr>
          <w:rFonts w:asciiTheme="minorHAnsi" w:hAnsiTheme="minorHAnsi" w:cstheme="minorHAnsi"/>
          <w:szCs w:val="20"/>
        </w:rPr>
        <w:t xml:space="preserve"> </w:t>
      </w:r>
      <w:r w:rsidR="00EF7B09" w:rsidRPr="002926D7">
        <w:rPr>
          <w:rFonts w:asciiTheme="minorHAnsi" w:hAnsiTheme="minorHAnsi" w:cstheme="minorHAnsi"/>
          <w:szCs w:val="22"/>
        </w:rPr>
        <w:t xml:space="preserve">Individuals or groups representing the interests of those groups of stakeholders who will ultimately benefit from the programme. Their primary function within the </w:t>
      </w:r>
      <w:r w:rsidR="00A7581C" w:rsidRPr="002926D7">
        <w:rPr>
          <w:rFonts w:asciiTheme="minorHAnsi" w:hAnsiTheme="minorHAnsi" w:cstheme="minorHAnsi"/>
          <w:szCs w:val="22"/>
        </w:rPr>
        <w:t>B</w:t>
      </w:r>
      <w:r w:rsidR="00EF7B09" w:rsidRPr="002926D7">
        <w:rPr>
          <w:rFonts w:asciiTheme="minorHAnsi" w:hAnsiTheme="minorHAnsi" w:cstheme="minorHAnsi"/>
          <w:szCs w:val="22"/>
        </w:rPr>
        <w:t xml:space="preserve">oard is to ensure the realization of programme results from the perspective of </w:t>
      </w:r>
      <w:r w:rsidR="009D18CB" w:rsidRPr="002926D7">
        <w:rPr>
          <w:rFonts w:asciiTheme="minorHAnsi" w:hAnsiTheme="minorHAnsi" w:cstheme="minorHAnsi"/>
          <w:szCs w:val="22"/>
        </w:rPr>
        <w:t xml:space="preserve">programme </w:t>
      </w:r>
      <w:r w:rsidR="00EF7B09" w:rsidRPr="002926D7">
        <w:rPr>
          <w:rFonts w:asciiTheme="minorHAnsi" w:hAnsiTheme="minorHAnsi" w:cstheme="minorHAnsi"/>
          <w:szCs w:val="22"/>
        </w:rPr>
        <w:t>beneficiaries. The Beneficiary representative (s) are the UNDP COs/Regional Bureau representatives (on a rotating basis)</w:t>
      </w:r>
      <w:r w:rsidRPr="002926D7">
        <w:rPr>
          <w:rFonts w:asciiTheme="minorHAnsi" w:hAnsiTheme="minorHAnsi" w:cstheme="minorHAnsi"/>
          <w:szCs w:val="20"/>
        </w:rPr>
        <w:t>.</w:t>
      </w:r>
    </w:p>
    <w:bookmarkEnd w:id="187"/>
    <w:p w14:paraId="7E8F8688" w14:textId="6EAA8E09" w:rsidR="001945BD" w:rsidRPr="002926D7" w:rsidRDefault="001945BD" w:rsidP="002926D7">
      <w:pPr>
        <w:pStyle w:val="ListParagraph"/>
        <w:numPr>
          <w:ilvl w:val="0"/>
          <w:numId w:val="16"/>
        </w:numPr>
        <w:spacing w:before="60"/>
        <w:ind w:left="1080"/>
        <w:rPr>
          <w:rFonts w:asciiTheme="minorHAnsi" w:hAnsiTheme="minorHAnsi" w:cstheme="minorHAnsi"/>
          <w:szCs w:val="20"/>
        </w:rPr>
      </w:pPr>
      <w:r w:rsidRPr="002926D7">
        <w:rPr>
          <w:rFonts w:asciiTheme="minorHAnsi" w:hAnsiTheme="minorHAnsi" w:cstheme="minorHAnsi"/>
          <w:b/>
          <w:bCs/>
          <w:szCs w:val="20"/>
        </w:rPr>
        <w:t xml:space="preserve">Development Partners: </w:t>
      </w:r>
      <w:r w:rsidR="00EF7B09" w:rsidRPr="002926D7">
        <w:rPr>
          <w:rFonts w:asciiTheme="minorHAnsi" w:hAnsiTheme="minorHAnsi" w:cstheme="minorHAnsi"/>
          <w:szCs w:val="22"/>
        </w:rPr>
        <w:t>Individuals or groups representing the interests of the parties concerned who provide funding, strategic guidance and/or technical expertise to the programme. The Development Partner(s) is the UNDP Vertical Fund Director</w:t>
      </w:r>
      <w:r w:rsidRPr="002926D7">
        <w:rPr>
          <w:rFonts w:asciiTheme="minorHAnsi" w:hAnsiTheme="minorHAnsi" w:cstheme="minorHAnsi"/>
          <w:szCs w:val="20"/>
        </w:rPr>
        <w:t>.</w:t>
      </w:r>
    </w:p>
    <w:bookmarkEnd w:id="184"/>
    <w:p w14:paraId="63291D18" w14:textId="77777777" w:rsidR="001945BD" w:rsidRPr="002926D7" w:rsidRDefault="001945BD" w:rsidP="002926D7">
      <w:pPr>
        <w:rPr>
          <w:rFonts w:asciiTheme="minorHAnsi" w:hAnsiTheme="minorHAnsi" w:cstheme="minorHAnsi"/>
          <w:szCs w:val="20"/>
        </w:rPr>
      </w:pPr>
    </w:p>
    <w:p w14:paraId="3B4E0E24" w14:textId="4A6A9AEA" w:rsidR="001945BD" w:rsidRPr="002926D7" w:rsidRDefault="001945BD" w:rsidP="002926D7">
      <w:pPr>
        <w:numPr>
          <w:ilvl w:val="0"/>
          <w:numId w:val="17"/>
        </w:numPr>
        <w:ind w:left="360"/>
        <w:rPr>
          <w:rFonts w:asciiTheme="minorHAnsi" w:hAnsiTheme="minorHAnsi" w:cstheme="minorHAnsi"/>
          <w:b/>
          <w:bCs/>
          <w:noProof/>
          <w:szCs w:val="20"/>
          <w:lang w:eastAsia="zh-CN"/>
        </w:rPr>
      </w:pPr>
      <w:bookmarkStart w:id="188" w:name="_Hlk131966147"/>
      <w:r w:rsidRPr="002926D7">
        <w:rPr>
          <w:rFonts w:asciiTheme="minorHAnsi" w:hAnsiTheme="minorHAnsi" w:cstheme="minorHAnsi"/>
          <w:b/>
          <w:bCs/>
          <w:noProof/>
          <w:szCs w:val="20"/>
          <w:lang w:eastAsia="zh-CN"/>
        </w:rPr>
        <w:t xml:space="preserve">Programme Assurance: </w:t>
      </w:r>
    </w:p>
    <w:p w14:paraId="3C814E8C" w14:textId="77777777" w:rsidR="001945BD" w:rsidRPr="002926D7" w:rsidRDefault="001945BD" w:rsidP="002926D7">
      <w:pPr>
        <w:rPr>
          <w:rFonts w:asciiTheme="minorHAnsi" w:hAnsiTheme="minorHAnsi" w:cstheme="minorHAnsi"/>
          <w:szCs w:val="20"/>
        </w:rPr>
      </w:pPr>
    </w:p>
    <w:p w14:paraId="09C76022" w14:textId="527C55EB" w:rsidR="00B7250C" w:rsidRPr="002926D7" w:rsidRDefault="009D18CB" w:rsidP="002926D7">
      <w:pPr>
        <w:numPr>
          <w:ilvl w:val="0"/>
          <w:numId w:val="8"/>
        </w:numPr>
        <w:ind w:left="0" w:firstLine="0"/>
        <w:rPr>
          <w:rFonts w:asciiTheme="minorHAnsi" w:hAnsiTheme="minorHAnsi" w:cstheme="minorHAnsi"/>
          <w:szCs w:val="20"/>
        </w:rPr>
      </w:pPr>
      <w:bookmarkStart w:id="189" w:name="_Hlk168064647"/>
      <w:r w:rsidRPr="002926D7">
        <w:rPr>
          <w:rFonts w:asciiTheme="minorHAnsi" w:hAnsiTheme="minorHAnsi" w:cstheme="minorHAnsi"/>
          <w:szCs w:val="20"/>
        </w:rPr>
        <w:t xml:space="preserve">Programme </w:t>
      </w:r>
      <w:r w:rsidR="005162AF" w:rsidRPr="002926D7">
        <w:rPr>
          <w:rFonts w:asciiTheme="minorHAnsi" w:hAnsiTheme="minorHAnsi" w:cstheme="minorHAnsi"/>
          <w:szCs w:val="20"/>
        </w:rPr>
        <w:t>assurance is the responsibility of each board member; however, UNDP has a distinct assurance role for all UNDP projects</w:t>
      </w:r>
      <w:r w:rsidRPr="002926D7">
        <w:rPr>
          <w:rFonts w:asciiTheme="minorHAnsi" w:hAnsiTheme="minorHAnsi" w:cstheme="minorHAnsi"/>
          <w:szCs w:val="20"/>
        </w:rPr>
        <w:t xml:space="preserve"> and programmes</w:t>
      </w:r>
      <w:r w:rsidR="005162AF" w:rsidRPr="002926D7">
        <w:rPr>
          <w:rFonts w:asciiTheme="minorHAnsi" w:hAnsiTheme="minorHAnsi" w:cstheme="minorHAnsi"/>
          <w:szCs w:val="20"/>
        </w:rPr>
        <w:t xml:space="preserve"> in carrying out objective and independent oversight and monitoring functions. UNDP performs quality assurance and supports the Board (and </w:t>
      </w:r>
      <w:r w:rsidRPr="002926D7">
        <w:rPr>
          <w:rFonts w:asciiTheme="minorHAnsi" w:hAnsiTheme="minorHAnsi" w:cstheme="minorHAnsi"/>
          <w:szCs w:val="20"/>
        </w:rPr>
        <w:t xml:space="preserve">Central Programme </w:t>
      </w:r>
      <w:r w:rsidR="005162AF" w:rsidRPr="002926D7">
        <w:rPr>
          <w:rFonts w:asciiTheme="minorHAnsi" w:hAnsiTheme="minorHAnsi" w:cstheme="minorHAnsi"/>
          <w:szCs w:val="20"/>
        </w:rPr>
        <w:t xml:space="preserve">Management </w:t>
      </w:r>
      <w:r w:rsidRPr="002926D7">
        <w:rPr>
          <w:rFonts w:asciiTheme="minorHAnsi" w:hAnsiTheme="minorHAnsi" w:cstheme="minorHAnsi"/>
          <w:szCs w:val="20"/>
        </w:rPr>
        <w:t>Team</w:t>
      </w:r>
      <w:r w:rsidR="005162AF" w:rsidRPr="002926D7">
        <w:rPr>
          <w:rFonts w:asciiTheme="minorHAnsi" w:hAnsiTheme="minorHAnsi" w:cstheme="minorHAnsi"/>
          <w:szCs w:val="20"/>
        </w:rPr>
        <w:t xml:space="preserve">) by carrying out objective and independent project oversight and monitoring functions, including compliance with the risk management and social and environmental standards of UNDP. The Board cannot delegate any of its quality assurance responsibilities to the </w:t>
      </w:r>
      <w:r w:rsidRPr="002926D7">
        <w:rPr>
          <w:rFonts w:asciiTheme="minorHAnsi" w:hAnsiTheme="minorHAnsi" w:cstheme="minorHAnsi"/>
          <w:szCs w:val="20"/>
        </w:rPr>
        <w:t xml:space="preserve">Programme </w:t>
      </w:r>
      <w:r w:rsidR="005162AF" w:rsidRPr="002926D7">
        <w:rPr>
          <w:rFonts w:asciiTheme="minorHAnsi" w:hAnsiTheme="minorHAnsi" w:cstheme="minorHAnsi"/>
          <w:szCs w:val="20"/>
        </w:rPr>
        <w:t xml:space="preserve">technical lead. </w:t>
      </w:r>
      <w:r w:rsidRPr="002926D7">
        <w:rPr>
          <w:rFonts w:asciiTheme="minorHAnsi" w:hAnsiTheme="minorHAnsi" w:cstheme="minorHAnsi"/>
          <w:szCs w:val="20"/>
        </w:rPr>
        <w:t xml:space="preserve">Programme </w:t>
      </w:r>
      <w:r w:rsidR="005162AF" w:rsidRPr="002926D7">
        <w:rPr>
          <w:rFonts w:asciiTheme="minorHAnsi" w:hAnsiTheme="minorHAnsi" w:cstheme="minorHAnsi"/>
          <w:szCs w:val="20"/>
        </w:rPr>
        <w:t xml:space="preserve">assurance is totally independent of </w:t>
      </w:r>
      <w:r w:rsidRPr="002926D7">
        <w:rPr>
          <w:rFonts w:asciiTheme="minorHAnsi" w:hAnsiTheme="minorHAnsi" w:cstheme="minorHAnsi"/>
          <w:szCs w:val="20"/>
        </w:rPr>
        <w:t xml:space="preserve">programme </w:t>
      </w:r>
      <w:r w:rsidR="005162AF" w:rsidRPr="002926D7">
        <w:rPr>
          <w:rFonts w:asciiTheme="minorHAnsi" w:hAnsiTheme="minorHAnsi" w:cstheme="minorHAnsi"/>
          <w:szCs w:val="20"/>
        </w:rPr>
        <w:t>execution</w:t>
      </w:r>
      <w:bookmarkEnd w:id="189"/>
      <w:r w:rsidR="005162AF" w:rsidRPr="002926D7">
        <w:rPr>
          <w:rFonts w:asciiTheme="minorHAnsi" w:hAnsiTheme="minorHAnsi" w:cstheme="minorHAnsi"/>
          <w:szCs w:val="20"/>
        </w:rPr>
        <w:t>.</w:t>
      </w:r>
    </w:p>
    <w:p w14:paraId="14DC2DEE" w14:textId="77777777" w:rsidR="00B7250C" w:rsidRPr="002926D7" w:rsidRDefault="00B7250C" w:rsidP="002926D7">
      <w:pPr>
        <w:rPr>
          <w:rFonts w:asciiTheme="minorHAnsi" w:hAnsiTheme="minorHAnsi" w:cstheme="minorHAnsi"/>
          <w:szCs w:val="20"/>
        </w:rPr>
      </w:pPr>
    </w:p>
    <w:p w14:paraId="006D7528" w14:textId="428EFB4F" w:rsidR="00002906" w:rsidRPr="002926D7" w:rsidRDefault="005162AF" w:rsidP="002926D7">
      <w:pPr>
        <w:numPr>
          <w:ilvl w:val="0"/>
          <w:numId w:val="8"/>
        </w:numPr>
        <w:ind w:left="0" w:firstLine="0"/>
        <w:rPr>
          <w:rFonts w:asciiTheme="minorHAnsi" w:hAnsiTheme="minorHAnsi" w:cstheme="minorHAnsi"/>
          <w:szCs w:val="20"/>
        </w:rPr>
      </w:pPr>
      <w:bookmarkStart w:id="190" w:name="_Hlk168064663"/>
      <w:r w:rsidRPr="002926D7">
        <w:rPr>
          <w:rFonts w:asciiTheme="minorHAnsi" w:eastAsiaTheme="minorEastAsia" w:hAnsiTheme="minorHAnsi" w:cstheme="minorHAnsi"/>
          <w:szCs w:val="20"/>
        </w:rPr>
        <w:t xml:space="preserve">A designated representative of UNDP playing the </w:t>
      </w:r>
      <w:r w:rsidR="009D18CB" w:rsidRPr="002926D7">
        <w:rPr>
          <w:rFonts w:asciiTheme="minorHAnsi" w:eastAsiaTheme="minorEastAsia" w:hAnsiTheme="minorHAnsi" w:cstheme="minorHAnsi"/>
          <w:szCs w:val="20"/>
        </w:rPr>
        <w:t xml:space="preserve">programme </w:t>
      </w:r>
      <w:r w:rsidRPr="002926D7">
        <w:rPr>
          <w:rFonts w:asciiTheme="minorHAnsi" w:eastAsiaTheme="minorEastAsia" w:hAnsiTheme="minorHAnsi" w:cstheme="minorHAnsi"/>
          <w:szCs w:val="20"/>
        </w:rPr>
        <w:t xml:space="preserve">assurance role is expected to attend all board meetings and support board processes as a non-voting representative. It should be noted that while in certain cases UNDP’s </w:t>
      </w:r>
      <w:r w:rsidR="009D18CB" w:rsidRPr="002926D7">
        <w:rPr>
          <w:rFonts w:asciiTheme="minorHAnsi" w:eastAsiaTheme="minorEastAsia" w:hAnsiTheme="minorHAnsi" w:cstheme="minorHAnsi"/>
          <w:szCs w:val="20"/>
        </w:rPr>
        <w:t xml:space="preserve">programme </w:t>
      </w:r>
      <w:r w:rsidRPr="002926D7">
        <w:rPr>
          <w:rFonts w:asciiTheme="minorHAnsi" w:eastAsiaTheme="minorEastAsia" w:hAnsiTheme="minorHAnsi" w:cstheme="minorHAnsi"/>
          <w:szCs w:val="20"/>
        </w:rPr>
        <w:t xml:space="preserve">assurance role across the project may encompass activities happening at several levels (e.g., global, regional), at least one UNDP representative playing that function must, as part of their duties, specifically attend board meeting and provide board members with the required documentation required to perform their duties. The UNDP representatives playing the main </w:t>
      </w:r>
      <w:r w:rsidR="009D18CB" w:rsidRPr="002926D7">
        <w:rPr>
          <w:rFonts w:asciiTheme="minorHAnsi" w:eastAsiaTheme="minorEastAsia" w:hAnsiTheme="minorHAnsi" w:cstheme="minorHAnsi"/>
          <w:szCs w:val="20"/>
        </w:rPr>
        <w:t xml:space="preserve">programme </w:t>
      </w:r>
      <w:r w:rsidRPr="002926D7">
        <w:rPr>
          <w:rFonts w:asciiTheme="minorHAnsi" w:eastAsiaTheme="minorEastAsia" w:hAnsiTheme="minorHAnsi" w:cstheme="minorHAnsi"/>
          <w:szCs w:val="20"/>
        </w:rPr>
        <w:t xml:space="preserve">assurance function are: </w:t>
      </w:r>
      <w:r w:rsidRPr="002926D7">
        <w:rPr>
          <w:rFonts w:asciiTheme="minorHAnsi" w:hAnsiTheme="minorHAnsi" w:cstheme="minorHAnsi"/>
          <w:szCs w:val="20"/>
          <w:lang w:eastAsia="zh-CN"/>
        </w:rPr>
        <w:t>Principal Technical Advisor, Biodiversity and Ecosystem, Nature H</w:t>
      </w:r>
      <w:r w:rsidR="007A0547" w:rsidRPr="002926D7">
        <w:rPr>
          <w:rFonts w:asciiTheme="minorHAnsi" w:hAnsiTheme="minorHAnsi" w:cstheme="minorHAnsi"/>
          <w:szCs w:val="20"/>
          <w:lang w:eastAsia="zh-CN"/>
        </w:rPr>
        <w:t xml:space="preserve">ub and </w:t>
      </w:r>
      <w:r w:rsidRPr="002926D7">
        <w:rPr>
          <w:rFonts w:asciiTheme="minorHAnsi" w:hAnsiTheme="minorHAnsi" w:cstheme="minorHAnsi"/>
          <w:szCs w:val="20"/>
          <w:lang w:eastAsia="zh-CN"/>
        </w:rPr>
        <w:t>Local Action Lead and Global/Senior Technical Advisor, Nature Hub</w:t>
      </w:r>
      <w:bookmarkEnd w:id="190"/>
      <w:r w:rsidR="007A0547" w:rsidRPr="002926D7">
        <w:rPr>
          <w:rFonts w:asciiTheme="minorHAnsi" w:eastAsiaTheme="minorEastAsia" w:hAnsiTheme="minorHAnsi" w:cstheme="minorHAnsi"/>
          <w:szCs w:val="20"/>
        </w:rPr>
        <w:t>.</w:t>
      </w:r>
    </w:p>
    <w:p w14:paraId="768DAD30" w14:textId="729312DC" w:rsidR="001945BD" w:rsidRPr="002926D7" w:rsidRDefault="001945BD" w:rsidP="002926D7">
      <w:pPr>
        <w:rPr>
          <w:rFonts w:asciiTheme="minorHAnsi" w:eastAsia="Times New Roman" w:hAnsiTheme="minorHAnsi" w:cstheme="minorHAnsi"/>
          <w:szCs w:val="20"/>
        </w:rPr>
      </w:pPr>
    </w:p>
    <w:bookmarkEnd w:id="188"/>
    <w:p w14:paraId="3439EFAB" w14:textId="5813B7B6" w:rsidR="001945BD" w:rsidRPr="002926D7" w:rsidRDefault="001945BD" w:rsidP="002926D7">
      <w:pPr>
        <w:numPr>
          <w:ilvl w:val="0"/>
          <w:numId w:val="17"/>
        </w:numPr>
        <w:ind w:left="360"/>
        <w:rPr>
          <w:rFonts w:asciiTheme="minorHAnsi" w:hAnsiTheme="minorHAnsi" w:cstheme="minorHAnsi"/>
          <w:b/>
          <w:bCs/>
          <w:noProof/>
          <w:szCs w:val="20"/>
          <w:lang w:eastAsia="zh-CN"/>
        </w:rPr>
      </w:pPr>
      <w:r w:rsidRPr="002926D7">
        <w:rPr>
          <w:rFonts w:asciiTheme="minorHAnsi" w:hAnsiTheme="minorHAnsi" w:cstheme="minorHAnsi"/>
          <w:b/>
          <w:bCs/>
          <w:noProof/>
          <w:szCs w:val="20"/>
          <w:lang w:eastAsia="zh-CN"/>
        </w:rPr>
        <w:t xml:space="preserve">Programme Management – Execution of the programme: </w:t>
      </w:r>
    </w:p>
    <w:p w14:paraId="2DAC35E2" w14:textId="77777777" w:rsidR="001945BD" w:rsidRPr="002926D7" w:rsidRDefault="001945BD" w:rsidP="002926D7">
      <w:pPr>
        <w:rPr>
          <w:rFonts w:asciiTheme="minorHAnsi" w:hAnsiTheme="minorHAnsi" w:cstheme="minorHAnsi"/>
          <w:noProof/>
          <w:szCs w:val="20"/>
          <w:lang w:eastAsia="zh-CN"/>
        </w:rPr>
      </w:pPr>
    </w:p>
    <w:p w14:paraId="6D32FFE1" w14:textId="024BE443" w:rsidR="001945BD" w:rsidRPr="002926D7" w:rsidRDefault="00A14107" w:rsidP="002926D7">
      <w:pPr>
        <w:numPr>
          <w:ilvl w:val="0"/>
          <w:numId w:val="8"/>
        </w:numPr>
        <w:ind w:left="0" w:firstLine="0"/>
        <w:rPr>
          <w:rFonts w:asciiTheme="minorHAnsi" w:eastAsia="Times New Roman" w:hAnsiTheme="minorHAnsi" w:cstheme="minorHAnsi"/>
          <w:szCs w:val="20"/>
        </w:rPr>
      </w:pPr>
      <w:bookmarkStart w:id="191" w:name="_Hlk153715179"/>
      <w:bookmarkEnd w:id="146"/>
      <w:bookmarkEnd w:id="147"/>
      <w:bookmarkEnd w:id="174"/>
      <w:r w:rsidRPr="002926D7">
        <w:rPr>
          <w:rFonts w:asciiTheme="minorHAnsi" w:eastAsia="Times New Roman" w:hAnsiTheme="minorHAnsi" w:cstheme="minorHAnsi"/>
          <w:szCs w:val="20"/>
        </w:rPr>
        <w:lastRenderedPageBreak/>
        <w:t xml:space="preserve">The </w:t>
      </w:r>
      <w:r w:rsidRPr="002926D7">
        <w:rPr>
          <w:rFonts w:asciiTheme="minorHAnsi" w:eastAsia="Times New Roman" w:hAnsiTheme="minorHAnsi" w:cstheme="minorHAnsi"/>
          <w:b/>
          <w:bCs/>
          <w:szCs w:val="20"/>
        </w:rPr>
        <w:t>SGP Central Programme Management Team (CPMT)</w:t>
      </w:r>
      <w:r w:rsidRPr="002926D7">
        <w:rPr>
          <w:rFonts w:asciiTheme="minorHAnsi" w:eastAsia="Times New Roman" w:hAnsiTheme="minorHAnsi" w:cstheme="minorHAnsi"/>
          <w:szCs w:val="20"/>
        </w:rPr>
        <w:t xml:space="preserve"> manages the SGP Global Programme and has overall responsibility for supervising the SGP Country Programme and for the technical and substantive quality of SGP country portfolios. CPMT develops global strategy, guidelines and standards in the development of SGP projects with the objective of ensuring quality, while also facilitating the design of proposals. CPMT supervises SGP National Coordinators and facilitates the start-up of new Country Programmes. CPMT is expected to consist of a Global Manager, </w:t>
      </w:r>
      <w:r w:rsidR="007A0547" w:rsidRPr="002926D7">
        <w:rPr>
          <w:rFonts w:asciiTheme="minorHAnsi" w:eastAsia="Times New Roman" w:hAnsiTheme="minorHAnsi" w:cstheme="minorHAnsi"/>
          <w:szCs w:val="20"/>
        </w:rPr>
        <w:t xml:space="preserve">Regional Technical </w:t>
      </w:r>
      <w:r w:rsidRPr="002926D7">
        <w:rPr>
          <w:rFonts w:asciiTheme="minorHAnsi" w:eastAsia="Times New Roman" w:hAnsiTheme="minorHAnsi" w:cstheme="minorHAnsi"/>
          <w:szCs w:val="20"/>
        </w:rPr>
        <w:t>Specialists responsible for matrixed country support, operational and focal area guidance, Programme Specialists for Knowledge Management and for M&amp;E, and Programme Associates. The primary CPMT representative attending the Board meetings is the Global Manager</w:t>
      </w:r>
      <w:bookmarkEnd w:id="191"/>
      <w:r w:rsidR="0083057C" w:rsidRPr="002926D7">
        <w:rPr>
          <w:rFonts w:asciiTheme="minorHAnsi" w:eastAsia="Times New Roman" w:hAnsiTheme="minorHAnsi" w:cstheme="minorHAnsi"/>
          <w:szCs w:val="20"/>
        </w:rPr>
        <w:t>.</w:t>
      </w:r>
      <w:r w:rsidR="0059122A" w:rsidRPr="002926D7">
        <w:rPr>
          <w:rFonts w:asciiTheme="minorHAnsi" w:eastAsia="Times New Roman" w:hAnsiTheme="minorHAnsi" w:cstheme="minorHAnsi"/>
          <w:szCs w:val="20"/>
        </w:rPr>
        <w:t xml:space="preserve"> The Global Manager, as the senior most representative of CPMT is responsible for the overall day-to-day management of the project on behalf of the Implementing Partner, including the mobilization of all project inputs, supervision over CPMT project staff, responsible parties, consultants and sub-contractors. The project technical lead typically presents key deliverables and documents to the board for their review and approval, including progress reports, annual work plans, adjustments to tolerance levels and risk registers.</w:t>
      </w:r>
    </w:p>
    <w:p w14:paraId="588F5D90" w14:textId="77777777" w:rsidR="001945BD" w:rsidRPr="002926D7" w:rsidRDefault="001945BD" w:rsidP="002926D7">
      <w:pPr>
        <w:rPr>
          <w:rFonts w:asciiTheme="minorHAnsi" w:eastAsia="Times New Roman" w:hAnsiTheme="minorHAnsi" w:cstheme="minorHAnsi"/>
          <w:szCs w:val="20"/>
        </w:rPr>
      </w:pPr>
    </w:p>
    <w:p w14:paraId="16376BD2" w14:textId="053FD6E6" w:rsidR="00B7250C" w:rsidRPr="002926D7" w:rsidRDefault="00EF7B09" w:rsidP="002926D7">
      <w:pPr>
        <w:numPr>
          <w:ilvl w:val="0"/>
          <w:numId w:val="8"/>
        </w:numPr>
        <w:ind w:left="0" w:firstLine="0"/>
        <w:rPr>
          <w:rFonts w:asciiTheme="minorHAnsi" w:eastAsia="Times New Roman" w:hAnsiTheme="minorHAnsi" w:cstheme="minorHAnsi"/>
          <w:szCs w:val="20"/>
        </w:rPr>
      </w:pPr>
      <w:bookmarkStart w:id="192" w:name="_Hlk151375648"/>
      <w:bookmarkStart w:id="193" w:name="_Hlk154050318"/>
      <w:r w:rsidRPr="002926D7">
        <w:rPr>
          <w:rFonts w:asciiTheme="minorHAnsi" w:eastAsia="MS Mincho" w:hAnsiTheme="minorHAnsi" w:cstheme="minorHAnsi"/>
          <w:b/>
          <w:bCs/>
          <w:szCs w:val="22"/>
        </w:rPr>
        <w:t xml:space="preserve">UNDP Country Offices </w:t>
      </w:r>
      <w:bookmarkEnd w:id="192"/>
      <w:r w:rsidRPr="002926D7">
        <w:rPr>
          <w:rFonts w:asciiTheme="minorHAnsi" w:eastAsia="MS Mincho" w:hAnsiTheme="minorHAnsi" w:cstheme="minorHAnsi"/>
          <w:szCs w:val="22"/>
        </w:rPr>
        <w:t xml:space="preserve">will play a key role in providing the necessary support at the country level. UNDP provides oversight functions of the program at the global and national levels. In particular, with UNDP’s nearly </w:t>
      </w:r>
      <w:r w:rsidRPr="002926D7">
        <w:rPr>
          <w:rFonts w:asciiTheme="minorHAnsi" w:hAnsiTheme="minorHAnsi" w:cstheme="minorHAnsi"/>
          <w:szCs w:val="22"/>
        </w:rPr>
        <w:t>universal</w:t>
      </w:r>
      <w:r w:rsidRPr="002926D7">
        <w:rPr>
          <w:rFonts w:asciiTheme="minorHAnsi" w:eastAsia="MS Mincho" w:hAnsiTheme="minorHAnsi" w:cstheme="minorHAnsi"/>
          <w:szCs w:val="22"/>
        </w:rPr>
        <w:t xml:space="preserve"> presence in countries, its Country Offices have supported the start-up of SGP Country Programmes, recruitment of national coordinators, local supervision, and resource mobilization. The UNDP Country Offices provide any needed operational oversight for the SGP Country Programme. The UNDP Resident Representative/Coordinator or delegated staff is a member of the SGP National Steering Committee. In a limited number of countries, a </w:t>
      </w:r>
      <w:r w:rsidRPr="002926D7">
        <w:rPr>
          <w:rFonts w:asciiTheme="minorHAnsi" w:eastAsia="MS Mincho" w:hAnsiTheme="minorHAnsi" w:cstheme="minorHAnsi"/>
          <w:b/>
          <w:bCs/>
          <w:szCs w:val="22"/>
        </w:rPr>
        <w:t>National Host Institution (NHI),</w:t>
      </w:r>
      <w:r w:rsidRPr="002926D7">
        <w:rPr>
          <w:rFonts w:asciiTheme="minorHAnsi" w:eastAsia="MS Mincho" w:hAnsiTheme="minorHAnsi" w:cstheme="minorHAnsi"/>
          <w:szCs w:val="22"/>
        </w:rPr>
        <w:t xml:space="preserve"> supports the administration of the programme</w:t>
      </w:r>
      <w:bookmarkEnd w:id="193"/>
      <w:r w:rsidR="001945BD" w:rsidRPr="002926D7">
        <w:rPr>
          <w:rFonts w:asciiTheme="minorHAnsi" w:eastAsia="MS Mincho" w:hAnsiTheme="minorHAnsi" w:cstheme="minorHAnsi"/>
          <w:szCs w:val="20"/>
        </w:rPr>
        <w:t>.</w:t>
      </w:r>
      <w:r w:rsidR="00B81D2D" w:rsidRPr="002926D7">
        <w:rPr>
          <w:rFonts w:asciiTheme="minorHAnsi" w:eastAsia="MS Mincho" w:hAnsiTheme="minorHAnsi" w:cstheme="minorHAnsi"/>
          <w:szCs w:val="20"/>
        </w:rPr>
        <w:t xml:space="preserve"> </w:t>
      </w:r>
      <w:bookmarkStart w:id="194" w:name="_Hlk159930899"/>
      <w:r w:rsidR="00B81D2D" w:rsidRPr="002926D7">
        <w:rPr>
          <w:rFonts w:asciiTheme="minorHAnsi" w:eastAsia="MS Mincho" w:hAnsiTheme="minorHAnsi" w:cstheme="minorHAnsi"/>
          <w:szCs w:val="22"/>
        </w:rPr>
        <w:t>There will be a clear separation between the roles of oversight/assurance and execution at the UNDP Country Office level. Oversight will primarily be delivered through representation on the SGP National Steering Committees by senior country office management (or his/her designate). In terms of execution support, the National Coordinators in most cases will be embedded in the respective UNDP Country Offices, and grant administration services (calls for proposals, signing grants, making payments to grantees, etc.) will be directly provided by or managed by the country offices</w:t>
      </w:r>
      <w:bookmarkEnd w:id="194"/>
      <w:r w:rsidR="00B81D2D" w:rsidRPr="002926D7">
        <w:rPr>
          <w:rFonts w:asciiTheme="minorHAnsi" w:eastAsia="MS Mincho" w:hAnsiTheme="minorHAnsi" w:cstheme="minorHAnsi"/>
          <w:szCs w:val="22"/>
        </w:rPr>
        <w:t>.</w:t>
      </w:r>
    </w:p>
    <w:p w14:paraId="67301D1F" w14:textId="77777777" w:rsidR="00B7250C" w:rsidRPr="002926D7" w:rsidRDefault="00B7250C" w:rsidP="002926D7">
      <w:pPr>
        <w:pStyle w:val="ListParagraph"/>
        <w:rPr>
          <w:rFonts w:asciiTheme="minorHAnsi" w:hAnsiTheme="minorHAnsi" w:cstheme="minorHAnsi"/>
          <w:b/>
          <w:szCs w:val="20"/>
        </w:rPr>
      </w:pPr>
    </w:p>
    <w:p w14:paraId="5DDF4B2A" w14:textId="1A7BB0B9" w:rsidR="00B7250C" w:rsidRPr="002926D7" w:rsidRDefault="001945BD" w:rsidP="002926D7">
      <w:pPr>
        <w:numPr>
          <w:ilvl w:val="0"/>
          <w:numId w:val="8"/>
        </w:numPr>
        <w:ind w:left="0" w:firstLine="0"/>
        <w:rPr>
          <w:rFonts w:asciiTheme="minorHAnsi" w:eastAsia="Times New Roman" w:hAnsiTheme="minorHAnsi" w:cstheme="minorHAnsi"/>
          <w:szCs w:val="20"/>
        </w:rPr>
      </w:pPr>
      <w:r w:rsidRPr="002926D7">
        <w:rPr>
          <w:rFonts w:asciiTheme="minorHAnsi" w:hAnsiTheme="minorHAnsi" w:cstheme="minorHAnsi"/>
          <w:b/>
          <w:szCs w:val="20"/>
        </w:rPr>
        <w:t xml:space="preserve">SGP National Steering Committee (NSC): </w:t>
      </w:r>
      <w:r w:rsidRPr="002926D7">
        <w:rPr>
          <w:rFonts w:asciiTheme="minorHAnsi" w:hAnsiTheme="minorHAnsi" w:cstheme="minorHAnsi"/>
          <w:szCs w:val="20"/>
        </w:rPr>
        <w:t xml:space="preserve"> </w:t>
      </w:r>
      <w:r w:rsidR="00002906" w:rsidRPr="002926D7">
        <w:rPr>
          <w:rFonts w:asciiTheme="minorHAnsi" w:hAnsiTheme="minorHAnsi" w:cstheme="minorHAnsi"/>
          <w:szCs w:val="20"/>
        </w:rPr>
        <w:t xml:space="preserve">At the country level, </w:t>
      </w:r>
      <w:r w:rsidR="00153135" w:rsidRPr="002926D7">
        <w:rPr>
          <w:rFonts w:asciiTheme="minorHAnsi" w:hAnsiTheme="minorHAnsi" w:cstheme="minorHAnsi"/>
          <w:szCs w:val="20"/>
        </w:rPr>
        <w:t>the structure of the SGP, implemented by UNDP, is decentralized and country-driven in line with the parameters established and approved by the GEF Council under the GEF SGP Implementation Arrangements and other relevant GEF Council decisions. T</w:t>
      </w:r>
      <w:r w:rsidR="00002906" w:rsidRPr="002926D7">
        <w:rPr>
          <w:rFonts w:asciiTheme="minorHAnsi" w:hAnsiTheme="minorHAnsi" w:cstheme="minorHAnsi"/>
          <w:szCs w:val="20"/>
        </w:rPr>
        <w:t>he SGP National Steering Committee (NSC) in each country provides overall Country Programme guidance and provides direct linkages to national policymaking, development planning, knowledge dissemination, and leveraging of SGP's catalytic role. It is composed of government and non-governmental representatives, with majority membership by non-governmental stakeholders; this reflects the program’s mandated focus on CSO capacity building</w:t>
      </w:r>
      <w:r w:rsidRPr="002926D7">
        <w:rPr>
          <w:rFonts w:asciiTheme="minorHAnsi" w:eastAsia="Times New Roman" w:hAnsiTheme="minorHAnsi" w:cstheme="minorHAnsi"/>
          <w:szCs w:val="20"/>
        </w:rPr>
        <w:t>.</w:t>
      </w:r>
      <w:r w:rsidR="00002906" w:rsidRPr="002926D7">
        <w:rPr>
          <w:rFonts w:asciiTheme="minorHAnsi" w:hAnsiTheme="minorHAnsi" w:cstheme="minorHAnsi"/>
          <w:szCs w:val="20"/>
        </w:rPr>
        <w:t xml:space="preserve"> At country level. the NSC is responsible for selecting and approving grant-funded projects and for ensuring their technical and substantive quality with support in some countries from a Technical Advisory Group (TAG). The TAG consists of a pool of voluntary experts who help review proposals and provide advice in relation to specific areas of programming and partnership development. The respective UNDP CO RR or designated representative also serves on the NSC.</w:t>
      </w:r>
    </w:p>
    <w:p w14:paraId="57E50749" w14:textId="77777777" w:rsidR="00B7250C" w:rsidRPr="002926D7" w:rsidRDefault="00B7250C" w:rsidP="002926D7">
      <w:pPr>
        <w:rPr>
          <w:rFonts w:asciiTheme="minorHAnsi" w:hAnsiTheme="minorHAnsi" w:cstheme="minorHAnsi"/>
          <w:szCs w:val="20"/>
        </w:rPr>
      </w:pPr>
      <w:bookmarkStart w:id="195" w:name="_Hlk153964170"/>
    </w:p>
    <w:p w14:paraId="574B3465" w14:textId="3AE85CF0" w:rsidR="00D26757" w:rsidRPr="002926D7" w:rsidRDefault="00EF7B09" w:rsidP="002926D7">
      <w:pPr>
        <w:numPr>
          <w:ilvl w:val="0"/>
          <w:numId w:val="8"/>
        </w:numPr>
        <w:ind w:left="0" w:firstLine="0"/>
        <w:rPr>
          <w:rFonts w:eastAsia="Times New Roman" w:cs="Calibri"/>
          <w:szCs w:val="20"/>
        </w:rPr>
      </w:pPr>
      <w:bookmarkStart w:id="196" w:name="_Hlk154050334"/>
      <w:r w:rsidRPr="002926D7">
        <w:rPr>
          <w:rFonts w:asciiTheme="minorHAnsi" w:hAnsiTheme="minorHAnsi" w:cstheme="minorHAnsi"/>
          <w:b/>
          <w:bCs/>
          <w:szCs w:val="22"/>
        </w:rPr>
        <w:t xml:space="preserve">SGP Country Programme Team: </w:t>
      </w:r>
      <w:r w:rsidRPr="002926D7">
        <w:rPr>
          <w:rFonts w:asciiTheme="minorHAnsi" w:hAnsiTheme="minorHAnsi" w:cstheme="minorHAnsi"/>
          <w:szCs w:val="22"/>
        </w:rPr>
        <w:t xml:space="preserve">For each participating country, there is an SGP Country Programme Team </w:t>
      </w:r>
      <w:r w:rsidRPr="002926D7">
        <w:rPr>
          <w:rFonts w:asciiTheme="minorHAnsi" w:hAnsiTheme="minorHAnsi" w:cstheme="minorHAnsi"/>
          <w:bCs/>
          <w:szCs w:val="22"/>
        </w:rPr>
        <w:t>typically</w:t>
      </w:r>
      <w:r w:rsidRPr="002926D7">
        <w:rPr>
          <w:rFonts w:asciiTheme="minorHAnsi" w:hAnsiTheme="minorHAnsi" w:cstheme="minorHAnsi"/>
          <w:b/>
          <w:bCs/>
          <w:szCs w:val="22"/>
        </w:rPr>
        <w:t xml:space="preserve"> </w:t>
      </w:r>
      <w:r w:rsidRPr="002926D7">
        <w:rPr>
          <w:rFonts w:asciiTheme="minorHAnsi" w:hAnsiTheme="minorHAnsi" w:cstheme="minorHAnsi"/>
          <w:szCs w:val="22"/>
        </w:rPr>
        <w:t>consisting of the National Coordinator (NC) and Programme Assistant (PA), for the operation of the SGP Country Programme on a day-to-day basis. The NC is responsible for all aspects of country programme operations and management, including implementation, management, partnership development, knowledge management and M&amp;E of the programme.  When fulfilling his/her functions, and in adherence to the country-driven nature of the programme, the NC seeks guidance and support from, and in a sense also reports to the National Steering Committee (NSC) on progress in programme implementation.</w:t>
      </w:r>
      <w:r w:rsidRPr="002926D7">
        <w:rPr>
          <w:rFonts w:asciiTheme="minorHAnsi" w:hAnsiTheme="minorHAnsi" w:cstheme="minorHAnsi"/>
          <w:b/>
          <w:bCs/>
          <w:szCs w:val="22"/>
        </w:rPr>
        <w:t xml:space="preserve"> </w:t>
      </w:r>
      <w:r w:rsidRPr="002926D7">
        <w:rPr>
          <w:rFonts w:asciiTheme="minorHAnsi" w:hAnsiTheme="minorHAnsi" w:cstheme="minorHAnsi"/>
          <w:szCs w:val="22"/>
        </w:rPr>
        <w:t>Most SGP Country Programme Teams are hosted by the UNDP Country Office, providing required local supervision and oversight of the program. In a number of countries, a National Host Institution is selected among the national NGOs with necessary capacity.</w:t>
      </w:r>
      <w:r w:rsidRPr="002926D7">
        <w:rPr>
          <w:rFonts w:asciiTheme="minorHAnsi" w:hAnsiTheme="minorHAnsi" w:cstheme="minorHAnsi"/>
          <w:b/>
          <w:bCs/>
          <w:smallCaps/>
          <w:spacing w:val="-2"/>
          <w:szCs w:val="22"/>
        </w:rPr>
        <w:t xml:space="preserve"> </w:t>
      </w:r>
      <w:r w:rsidRPr="002926D7">
        <w:rPr>
          <w:rFonts w:asciiTheme="minorHAnsi" w:hAnsiTheme="minorHAnsi" w:cstheme="minorHAnsi"/>
          <w:szCs w:val="22"/>
        </w:rPr>
        <w:t>The SGP Country Programme Strategy is developed in each country and guides SGP</w:t>
      </w:r>
      <w:r w:rsidRPr="002926D7">
        <w:rPr>
          <w:rFonts w:asciiTheme="minorHAnsi" w:hAnsiTheme="minorHAnsi" w:cstheme="minorHAnsi"/>
          <w:b/>
          <w:bCs/>
          <w:smallCaps/>
          <w:spacing w:val="-2"/>
          <w:szCs w:val="22"/>
        </w:rPr>
        <w:t xml:space="preserve"> </w:t>
      </w:r>
      <w:r w:rsidRPr="002926D7">
        <w:rPr>
          <w:rFonts w:asciiTheme="minorHAnsi" w:hAnsiTheme="minorHAnsi" w:cstheme="minorHAnsi"/>
          <w:szCs w:val="22"/>
        </w:rPr>
        <w:t>operations in-country, enabling strategic use of resources and articulating how the SGP</w:t>
      </w:r>
      <w:r w:rsidRPr="002926D7">
        <w:rPr>
          <w:rFonts w:asciiTheme="minorHAnsi" w:hAnsiTheme="minorHAnsi" w:cstheme="minorHAnsi"/>
          <w:b/>
          <w:bCs/>
          <w:smallCaps/>
          <w:spacing w:val="-2"/>
          <w:szCs w:val="22"/>
        </w:rPr>
        <w:t xml:space="preserve"> </w:t>
      </w:r>
      <w:r w:rsidRPr="002926D7">
        <w:rPr>
          <w:rFonts w:asciiTheme="minorHAnsi" w:hAnsiTheme="minorHAnsi" w:cstheme="minorHAnsi"/>
          <w:szCs w:val="22"/>
        </w:rPr>
        <w:t>supports national and GEF strategic priorities. The SGP Country Programme Team is responsible for</w:t>
      </w:r>
      <w:r w:rsidRPr="002926D7">
        <w:rPr>
          <w:rFonts w:asciiTheme="minorHAnsi" w:hAnsiTheme="minorHAnsi" w:cstheme="minorHAnsi"/>
          <w:b/>
          <w:bCs/>
          <w:smallCaps/>
          <w:spacing w:val="-2"/>
          <w:szCs w:val="22"/>
        </w:rPr>
        <w:t xml:space="preserve"> </w:t>
      </w:r>
      <w:r w:rsidRPr="002926D7">
        <w:rPr>
          <w:rFonts w:asciiTheme="minorHAnsi" w:hAnsiTheme="minorHAnsi" w:cstheme="minorHAnsi"/>
          <w:szCs w:val="22"/>
        </w:rPr>
        <w:t>all aspects of SGP management in the country, in particular working with the NSC, while also</w:t>
      </w:r>
      <w:r w:rsidRPr="002926D7">
        <w:rPr>
          <w:rFonts w:asciiTheme="minorHAnsi" w:hAnsiTheme="minorHAnsi" w:cstheme="minorHAnsi"/>
          <w:b/>
          <w:bCs/>
          <w:smallCaps/>
          <w:spacing w:val="-2"/>
          <w:szCs w:val="22"/>
        </w:rPr>
        <w:t xml:space="preserve"> </w:t>
      </w:r>
      <w:r w:rsidRPr="002926D7">
        <w:rPr>
          <w:rFonts w:asciiTheme="minorHAnsi" w:hAnsiTheme="minorHAnsi" w:cstheme="minorHAnsi"/>
          <w:szCs w:val="22"/>
        </w:rPr>
        <w:t>facilitating global coherence in SGP implementation through its reporting links to the SGP</w:t>
      </w:r>
      <w:bookmarkEnd w:id="196"/>
      <w:r w:rsidR="00300B26" w:rsidRPr="002926D7">
        <w:rPr>
          <w:rFonts w:asciiTheme="minorHAnsi" w:hAnsiTheme="minorHAnsi" w:cstheme="minorHAnsi"/>
          <w:szCs w:val="20"/>
        </w:rPr>
        <w:t>.</w:t>
      </w:r>
      <w:bookmarkEnd w:id="148"/>
      <w:bookmarkEnd w:id="149"/>
    </w:p>
    <w:p w14:paraId="1499202D" w14:textId="77777777" w:rsidR="00D91A9D" w:rsidRPr="002926D7" w:rsidRDefault="00D91A9D" w:rsidP="002926D7">
      <w:pPr>
        <w:rPr>
          <w:rFonts w:asciiTheme="minorHAnsi" w:hAnsiTheme="minorHAnsi" w:cstheme="minorHAnsi"/>
          <w:b/>
          <w:bCs/>
          <w:szCs w:val="22"/>
        </w:rPr>
      </w:pPr>
    </w:p>
    <w:p w14:paraId="7007445A" w14:textId="410EC575" w:rsidR="00D91A9D" w:rsidRPr="002926D7" w:rsidRDefault="00D91A9D" w:rsidP="002926D7">
      <w:pPr>
        <w:rPr>
          <w:rFonts w:asciiTheme="minorHAnsi" w:hAnsiTheme="minorHAnsi" w:cstheme="minorHAnsi"/>
          <w:b/>
          <w:bCs/>
          <w:szCs w:val="22"/>
        </w:rPr>
      </w:pPr>
      <w:r w:rsidRPr="002926D7">
        <w:rPr>
          <w:rFonts w:asciiTheme="minorHAnsi" w:hAnsiTheme="minorHAnsi" w:cstheme="minorHAnsi"/>
          <w:b/>
          <w:bCs/>
          <w:szCs w:val="22"/>
        </w:rPr>
        <w:t>SGP 2.0 Implementation Arrangements</w:t>
      </w:r>
    </w:p>
    <w:p w14:paraId="708AF3B0" w14:textId="77777777" w:rsidR="00D91A9D" w:rsidRPr="002926D7" w:rsidRDefault="00D91A9D" w:rsidP="002926D7">
      <w:pPr>
        <w:rPr>
          <w:rFonts w:eastAsia="Times New Roman" w:cs="Calibri"/>
          <w:szCs w:val="20"/>
        </w:rPr>
      </w:pPr>
    </w:p>
    <w:p w14:paraId="30933C89" w14:textId="6A344838" w:rsidR="00D91A9D" w:rsidRPr="002926D7" w:rsidRDefault="00D91A9D" w:rsidP="002926D7">
      <w:pPr>
        <w:numPr>
          <w:ilvl w:val="0"/>
          <w:numId w:val="8"/>
        </w:numPr>
        <w:ind w:left="0" w:firstLine="0"/>
        <w:rPr>
          <w:rFonts w:asciiTheme="minorHAnsi" w:eastAsiaTheme="minorEastAsia" w:hAnsiTheme="minorHAnsi" w:cstheme="minorHAnsi"/>
          <w:szCs w:val="20"/>
        </w:rPr>
      </w:pPr>
      <w:bookmarkStart w:id="197" w:name="_Hlk166779296"/>
      <w:r w:rsidRPr="002926D7">
        <w:rPr>
          <w:rFonts w:asciiTheme="minorHAnsi" w:eastAsiaTheme="minorEastAsia" w:hAnsiTheme="minorHAnsi" w:cstheme="minorHAnsi"/>
          <w:szCs w:val="20"/>
        </w:rPr>
        <w:t>The SGP OP8-Part 1 (Tranche 1) program</w:t>
      </w:r>
      <w:r w:rsidR="009D18CB" w:rsidRPr="002926D7">
        <w:rPr>
          <w:rFonts w:asciiTheme="minorHAnsi" w:eastAsiaTheme="minorEastAsia" w:hAnsiTheme="minorHAnsi" w:cstheme="minorHAnsi"/>
          <w:szCs w:val="20"/>
        </w:rPr>
        <w:t>me</w:t>
      </w:r>
      <w:r w:rsidRPr="002926D7">
        <w:rPr>
          <w:rFonts w:asciiTheme="minorHAnsi" w:eastAsiaTheme="minorEastAsia" w:hAnsiTheme="minorHAnsi" w:cstheme="minorHAnsi"/>
          <w:szCs w:val="20"/>
        </w:rPr>
        <w:t xml:space="preserve"> will be implemented by UNDP in line with its rules and procedures. UNDP will report back to the GEF in line with the requirements of the fund</w:t>
      </w:r>
      <w:bookmarkEnd w:id="197"/>
      <w:r w:rsidRPr="002926D7">
        <w:rPr>
          <w:rFonts w:asciiTheme="minorHAnsi" w:eastAsiaTheme="minorEastAsia" w:hAnsiTheme="minorHAnsi" w:cstheme="minorHAnsi"/>
          <w:szCs w:val="20"/>
        </w:rPr>
        <w:t>.</w:t>
      </w:r>
      <w:bookmarkEnd w:id="143"/>
      <w:bookmarkEnd w:id="150"/>
      <w:bookmarkEnd w:id="151"/>
      <w:bookmarkEnd w:id="152"/>
      <w:bookmarkEnd w:id="153"/>
      <w:bookmarkEnd w:id="154"/>
      <w:bookmarkEnd w:id="155"/>
      <w:bookmarkEnd w:id="195"/>
      <w:r w:rsidRPr="002926D7">
        <w:rPr>
          <w:rFonts w:asciiTheme="minorHAnsi" w:eastAsiaTheme="minorEastAsia" w:hAnsiTheme="minorHAnsi" w:cstheme="minorHAnsi"/>
          <w:szCs w:val="20"/>
        </w:rPr>
        <w:t xml:space="preserve"> As </w:t>
      </w:r>
      <w:r w:rsidRPr="002926D7">
        <w:rPr>
          <w:rFonts w:cs="Arial"/>
          <w:lang w:eastAsia="zh-CN"/>
        </w:rPr>
        <w:t xml:space="preserve">outlined in the GEF </w:t>
      </w:r>
      <w:r w:rsidRPr="002926D7">
        <w:rPr>
          <w:rFonts w:cs="Arial"/>
          <w:i/>
          <w:iCs/>
          <w:lang w:eastAsia="zh-CN"/>
        </w:rPr>
        <w:t>Small Grants Programme 2.0 Implementation Arrangements for GEF-8</w:t>
      </w:r>
      <w:r w:rsidRPr="002926D7">
        <w:rPr>
          <w:rStyle w:val="FootnoteReference"/>
          <w:i/>
          <w:iCs/>
          <w:lang w:eastAsia="zh-CN"/>
        </w:rPr>
        <w:footnoteReference w:id="14"/>
      </w:r>
      <w:r w:rsidRPr="002926D7">
        <w:rPr>
          <w:rFonts w:cs="Arial"/>
          <w:lang w:eastAsia="zh-CN"/>
        </w:rPr>
        <w:t xml:space="preserve"> document</w:t>
      </w:r>
      <w:r w:rsidR="00096D2A" w:rsidRPr="002926D7">
        <w:rPr>
          <w:rFonts w:cs="Arial"/>
          <w:lang w:eastAsia="zh-CN"/>
        </w:rPr>
        <w:t>, t</w:t>
      </w:r>
      <w:r w:rsidR="0013428E" w:rsidRPr="002926D7">
        <w:rPr>
          <w:rFonts w:asciiTheme="minorHAnsi" w:eastAsiaTheme="minorEastAsia" w:hAnsiTheme="minorHAnsi" w:cstheme="minorHAnsi"/>
          <w:szCs w:val="20"/>
        </w:rPr>
        <w:t xml:space="preserve">he GEF SGP 2.0 Steering Committee </w:t>
      </w:r>
      <w:r w:rsidR="00096D2A" w:rsidRPr="002926D7">
        <w:rPr>
          <w:rFonts w:asciiTheme="minorHAnsi" w:eastAsiaTheme="minorEastAsia" w:hAnsiTheme="minorHAnsi" w:cstheme="minorHAnsi"/>
          <w:szCs w:val="20"/>
        </w:rPr>
        <w:t>s</w:t>
      </w:r>
      <w:r w:rsidR="0013428E" w:rsidRPr="002926D7">
        <w:rPr>
          <w:rFonts w:asciiTheme="minorHAnsi" w:eastAsiaTheme="minorEastAsia" w:hAnsiTheme="minorHAnsi" w:cstheme="minorHAnsi"/>
          <w:szCs w:val="20"/>
        </w:rPr>
        <w:t>hall provide a platform for coordination between GEFSEC, SGP implementing agencies and civil society representatives to ensure alignment with the SGP 2.0 Implementation Arrangements for GEF 8 and GEF Operational Guidelines for SGP</w:t>
      </w:r>
      <w:r w:rsidRPr="002926D7">
        <w:rPr>
          <w:rFonts w:cs="Arial"/>
          <w:lang w:eastAsia="zh-CN"/>
        </w:rPr>
        <w:t>.</w:t>
      </w:r>
    </w:p>
    <w:p w14:paraId="6502090B" w14:textId="77777777" w:rsidR="001E0F11" w:rsidRPr="002926D7" w:rsidRDefault="001E0F11" w:rsidP="002926D7">
      <w:pPr>
        <w:rPr>
          <w:rFonts w:cs="Arial"/>
          <w:lang w:eastAsia="zh-CN"/>
        </w:rPr>
      </w:pPr>
    </w:p>
    <w:p w14:paraId="1F0A1A94" w14:textId="61AA5483" w:rsidR="001E0F11" w:rsidRPr="002926D7" w:rsidRDefault="001E0F11" w:rsidP="002926D7">
      <w:pPr>
        <w:rPr>
          <w:rFonts w:asciiTheme="minorHAnsi" w:eastAsiaTheme="minorEastAsia" w:hAnsiTheme="minorHAnsi" w:cstheme="minorHAnsi"/>
          <w:szCs w:val="20"/>
        </w:rPr>
      </w:pPr>
      <w:r w:rsidRPr="002926D7">
        <w:rPr>
          <w:noProof/>
        </w:rPr>
        <w:drawing>
          <wp:inline distT="0" distB="0" distL="0" distR="0" wp14:anchorId="5E7920FF" wp14:editId="67F3B6B1">
            <wp:extent cx="5619750" cy="3053715"/>
            <wp:effectExtent l="0" t="0" r="0" b="0"/>
            <wp:docPr id="150224868" name="Picture 1" descr="A diagram of a company's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858087" name="Picture 1" descr="A diagram of a company's program&#10;&#10;Description automatically generated"/>
                    <pic:cNvPicPr>
                      <a:picLocks noChangeAspect="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619750" cy="3053715"/>
                    </a:xfrm>
                    <a:prstGeom prst="rect">
                      <a:avLst/>
                    </a:prstGeom>
                    <a:noFill/>
                    <a:ln>
                      <a:noFill/>
                    </a:ln>
                  </pic:spPr>
                </pic:pic>
              </a:graphicData>
            </a:graphic>
          </wp:inline>
        </w:drawing>
      </w:r>
    </w:p>
    <w:p w14:paraId="0140BD02" w14:textId="77777777" w:rsidR="00D91A9D" w:rsidRPr="002926D7" w:rsidRDefault="00D91A9D" w:rsidP="002926D7">
      <w:pPr>
        <w:rPr>
          <w:rFonts w:cs="Arial"/>
          <w:lang w:eastAsia="zh-CN"/>
        </w:rPr>
      </w:pPr>
    </w:p>
    <w:p w14:paraId="45764CDD" w14:textId="240CC19B" w:rsidR="00D91A9D" w:rsidRPr="002926D7" w:rsidRDefault="00096D2A" w:rsidP="002926D7">
      <w:pPr>
        <w:numPr>
          <w:ilvl w:val="0"/>
          <w:numId w:val="8"/>
        </w:numPr>
        <w:ind w:left="0" w:firstLine="0"/>
        <w:rPr>
          <w:rFonts w:cs="Arial"/>
          <w:lang w:eastAsia="zh-CN"/>
        </w:rPr>
      </w:pPr>
      <w:bookmarkStart w:id="198" w:name="_Hlk168064767"/>
      <w:r w:rsidRPr="002926D7">
        <w:rPr>
          <w:rFonts w:cs="Arial"/>
          <w:lang w:eastAsia="zh-CN"/>
        </w:rPr>
        <w:t>Within the SGP 2.0 the following will apply:</w:t>
      </w:r>
      <w:bookmarkStart w:id="199" w:name="_Hlk168064746"/>
    </w:p>
    <w:bookmarkEnd w:id="198"/>
    <w:p w14:paraId="666F9E80" w14:textId="77777777" w:rsidR="00D91A9D" w:rsidRPr="002926D7" w:rsidRDefault="00D91A9D" w:rsidP="002926D7">
      <w:pPr>
        <w:rPr>
          <w:lang w:eastAsia="zh-CN"/>
        </w:rPr>
      </w:pPr>
    </w:p>
    <w:p w14:paraId="63207F59" w14:textId="77777777" w:rsidR="00D91A9D" w:rsidRPr="002926D7" w:rsidRDefault="00D91A9D" w:rsidP="002926D7">
      <w:pPr>
        <w:numPr>
          <w:ilvl w:val="0"/>
          <w:numId w:val="8"/>
        </w:numPr>
        <w:ind w:left="0" w:firstLine="0"/>
        <w:rPr>
          <w:rFonts w:cs="Arial"/>
          <w:lang w:eastAsia="zh-CN"/>
        </w:rPr>
      </w:pPr>
      <w:r w:rsidRPr="002926D7">
        <w:rPr>
          <w:rFonts w:cs="Arial"/>
          <w:b/>
          <w:bCs/>
          <w:lang w:eastAsia="zh-CN"/>
        </w:rPr>
        <w:t>GEF Council</w:t>
      </w:r>
      <w:r w:rsidRPr="002926D7">
        <w:rPr>
          <w:rFonts w:cs="Arial"/>
          <w:lang w:eastAsia="zh-CN"/>
        </w:rPr>
        <w:t>: Endorses SGP Implementation Arrangements, approves funding for projects covering multiple countries submitted by GEF Agencies, receives reports and reviews implementation progress and results.</w:t>
      </w:r>
    </w:p>
    <w:p w14:paraId="70C253EB" w14:textId="77777777" w:rsidR="00D91A9D" w:rsidRPr="002926D7" w:rsidRDefault="00D91A9D" w:rsidP="002926D7">
      <w:pPr>
        <w:rPr>
          <w:rFonts w:cs="Arial"/>
          <w:lang w:eastAsia="zh-CN"/>
        </w:rPr>
      </w:pPr>
    </w:p>
    <w:p w14:paraId="6A1A4F5C" w14:textId="18014464" w:rsidR="00D91A9D" w:rsidRPr="002926D7" w:rsidRDefault="00D91A9D" w:rsidP="002926D7">
      <w:pPr>
        <w:numPr>
          <w:ilvl w:val="0"/>
          <w:numId w:val="8"/>
        </w:numPr>
        <w:ind w:left="0" w:firstLine="0"/>
        <w:rPr>
          <w:rFonts w:cs="Arial"/>
          <w:lang w:eastAsia="zh-CN"/>
        </w:rPr>
      </w:pPr>
      <w:r w:rsidRPr="002926D7">
        <w:rPr>
          <w:rFonts w:cs="Arial"/>
          <w:b/>
          <w:bCs/>
          <w:lang w:eastAsia="zh-CN"/>
        </w:rPr>
        <w:t>GEF Secretariat</w:t>
      </w:r>
      <w:r w:rsidRPr="002926D7">
        <w:rPr>
          <w:rFonts w:cs="Arial"/>
          <w:lang w:eastAsia="zh-CN"/>
        </w:rPr>
        <w:t xml:space="preserve">: Provides the strategic direction and manages the operationalization of SGP 2.0 along the Implementation Arrangements per Council decisions. It provides </w:t>
      </w:r>
      <w:r w:rsidR="003B0301" w:rsidRPr="002926D7">
        <w:rPr>
          <w:rFonts w:cs="Arial"/>
          <w:lang w:eastAsia="zh-CN"/>
        </w:rPr>
        <w:t>program</w:t>
      </w:r>
      <w:r w:rsidRPr="002926D7">
        <w:rPr>
          <w:rFonts w:cs="Arial"/>
          <w:lang w:eastAsia="zh-CN"/>
        </w:rPr>
        <w:t xml:space="preserve"> oversight and monitoring, manages the agency selection processes of Implementing Agencies, and leads the development of the operational guidelines of the program. It chairs the </w:t>
      </w:r>
      <w:r w:rsidR="003B0301" w:rsidRPr="002926D7">
        <w:rPr>
          <w:rFonts w:cs="Arial"/>
          <w:lang w:eastAsia="zh-CN"/>
        </w:rPr>
        <w:t xml:space="preserve">GEF </w:t>
      </w:r>
      <w:r w:rsidRPr="002926D7">
        <w:rPr>
          <w:rFonts w:cs="Arial"/>
          <w:lang w:eastAsia="zh-CN"/>
        </w:rPr>
        <w:t xml:space="preserve">SGP </w:t>
      </w:r>
      <w:r w:rsidR="003B0301" w:rsidRPr="002926D7">
        <w:rPr>
          <w:rFonts w:cs="Arial"/>
          <w:lang w:eastAsia="zh-CN"/>
        </w:rPr>
        <w:t xml:space="preserve">2.0 </w:t>
      </w:r>
      <w:r w:rsidRPr="002926D7">
        <w:rPr>
          <w:rFonts w:cs="Arial"/>
          <w:lang w:eastAsia="zh-CN"/>
        </w:rPr>
        <w:t>Global Steering Committee.</w:t>
      </w:r>
    </w:p>
    <w:p w14:paraId="0E637955" w14:textId="77777777" w:rsidR="00D91A9D" w:rsidRPr="002926D7" w:rsidRDefault="00D91A9D" w:rsidP="002926D7">
      <w:pPr>
        <w:rPr>
          <w:rFonts w:cs="Arial"/>
          <w:lang w:eastAsia="zh-CN"/>
        </w:rPr>
      </w:pPr>
    </w:p>
    <w:p w14:paraId="340B6C88" w14:textId="0C6506C4" w:rsidR="00832735" w:rsidRPr="002926D7" w:rsidRDefault="003B0301" w:rsidP="002926D7">
      <w:pPr>
        <w:numPr>
          <w:ilvl w:val="0"/>
          <w:numId w:val="8"/>
        </w:numPr>
        <w:ind w:left="0" w:firstLine="0"/>
        <w:rPr>
          <w:rFonts w:cs="Arial"/>
          <w:lang w:eastAsia="zh-CN"/>
        </w:rPr>
      </w:pPr>
      <w:r w:rsidRPr="002926D7">
        <w:rPr>
          <w:rFonts w:cs="Arial"/>
          <w:b/>
          <w:bCs/>
          <w:lang w:eastAsia="zh-CN"/>
        </w:rPr>
        <w:t xml:space="preserve">GEF </w:t>
      </w:r>
      <w:r w:rsidR="00D91A9D" w:rsidRPr="002926D7">
        <w:rPr>
          <w:rFonts w:cs="Arial"/>
          <w:b/>
          <w:bCs/>
          <w:lang w:eastAsia="zh-CN"/>
        </w:rPr>
        <w:t xml:space="preserve">SGP </w:t>
      </w:r>
      <w:r w:rsidRPr="002926D7">
        <w:rPr>
          <w:rFonts w:cs="Arial"/>
          <w:b/>
          <w:bCs/>
          <w:lang w:eastAsia="zh-CN"/>
        </w:rPr>
        <w:t xml:space="preserve">2.0 </w:t>
      </w:r>
      <w:r w:rsidR="00D91A9D" w:rsidRPr="002926D7">
        <w:rPr>
          <w:rFonts w:cs="Arial"/>
          <w:b/>
          <w:bCs/>
          <w:lang w:eastAsia="zh-CN"/>
        </w:rPr>
        <w:t>Global Steering Committee</w:t>
      </w:r>
      <w:r w:rsidR="00D91A9D" w:rsidRPr="002926D7">
        <w:rPr>
          <w:rFonts w:cs="Arial"/>
          <w:lang w:eastAsia="zh-CN"/>
        </w:rPr>
        <w:t xml:space="preserve">: Provides periodic operational guidance for SGP within the parameters of these Implementation Arrangements. It provides strategic guidance, oversight of progress, and any strategic issues arising during SGP implementation. The GEF Secretariat chairs the Committee and leads the process to update the Committee’s Terms of Reference which will be included in the operational guidelines to be developed by the GEF Secretariat. In GEF-8 the Secretariat will strategically expand the membership and increase the frequency of meetings to strengthen the role and effectiveness of the </w:t>
      </w:r>
      <w:r w:rsidRPr="002926D7">
        <w:rPr>
          <w:rFonts w:cs="Arial"/>
          <w:lang w:eastAsia="zh-CN"/>
        </w:rPr>
        <w:t xml:space="preserve">GEF </w:t>
      </w:r>
      <w:r w:rsidR="00D91A9D" w:rsidRPr="002926D7">
        <w:rPr>
          <w:rFonts w:cs="Arial"/>
          <w:lang w:eastAsia="zh-CN"/>
        </w:rPr>
        <w:t xml:space="preserve">SGP </w:t>
      </w:r>
      <w:r w:rsidRPr="002926D7">
        <w:rPr>
          <w:rFonts w:cs="Arial"/>
          <w:lang w:eastAsia="zh-CN"/>
        </w:rPr>
        <w:t xml:space="preserve">2.0 </w:t>
      </w:r>
      <w:r w:rsidR="00D91A9D" w:rsidRPr="002926D7">
        <w:rPr>
          <w:rFonts w:cs="Arial"/>
          <w:lang w:eastAsia="zh-CN"/>
        </w:rPr>
        <w:t>Global Steering Committee to support the operationalization of SGP 2.0.</w:t>
      </w:r>
      <w:bookmarkEnd w:id="144"/>
      <w:bookmarkEnd w:id="199"/>
    </w:p>
    <w:p w14:paraId="65DC42D3" w14:textId="77777777" w:rsidR="00A7581C" w:rsidRPr="002926D7" w:rsidRDefault="00A7581C" w:rsidP="002926D7">
      <w:pPr>
        <w:pStyle w:val="ListParagraph"/>
        <w:rPr>
          <w:rFonts w:cs="Arial"/>
          <w:lang w:eastAsia="zh-CN"/>
        </w:rPr>
      </w:pPr>
    </w:p>
    <w:p w14:paraId="764C3D65" w14:textId="77777777" w:rsidR="00A7581C" w:rsidRPr="002926D7" w:rsidRDefault="00A7581C" w:rsidP="002926D7">
      <w:pPr>
        <w:rPr>
          <w:rFonts w:cs="Arial"/>
          <w:lang w:eastAsia="zh-CN"/>
        </w:rPr>
      </w:pPr>
    </w:p>
    <w:p w14:paraId="5089DBE7" w14:textId="24F3804F" w:rsidR="003E3ABA" w:rsidRPr="002926D7" w:rsidRDefault="003E3ABA" w:rsidP="002926D7">
      <w:pPr>
        <w:pStyle w:val="Heading1"/>
        <w:spacing w:before="0" w:after="0"/>
        <w:rPr>
          <w:rFonts w:ascii="Calibri" w:hAnsi="Calibri"/>
        </w:rPr>
      </w:pPr>
      <w:bookmarkStart w:id="200" w:name="_Toc151386984"/>
      <w:bookmarkStart w:id="201" w:name="_Hlk66050409"/>
      <w:r w:rsidRPr="002926D7">
        <w:rPr>
          <w:rFonts w:ascii="Calibri" w:hAnsi="Calibri"/>
        </w:rPr>
        <w:lastRenderedPageBreak/>
        <w:t>Financial Planning and Management</w:t>
      </w:r>
      <w:bookmarkEnd w:id="200"/>
      <w:r w:rsidRPr="002926D7">
        <w:rPr>
          <w:rFonts w:ascii="Calibri" w:hAnsi="Calibri"/>
        </w:rPr>
        <w:t xml:space="preserve"> </w:t>
      </w:r>
    </w:p>
    <w:p w14:paraId="53C61E49" w14:textId="3F2D2D3C" w:rsidR="006674A2" w:rsidRPr="002926D7" w:rsidRDefault="006674A2" w:rsidP="002926D7">
      <w:pPr>
        <w:autoSpaceDE w:val="0"/>
        <w:autoSpaceDN w:val="0"/>
        <w:adjustRightInd w:val="0"/>
        <w:jc w:val="left"/>
        <w:rPr>
          <w:bCs/>
          <w:iCs/>
          <w:color w:val="000000"/>
          <w:szCs w:val="20"/>
        </w:rPr>
      </w:pPr>
    </w:p>
    <w:p w14:paraId="3A6408D1" w14:textId="4E88A9CA" w:rsidR="007E3FCF" w:rsidRPr="002926D7" w:rsidRDefault="00BA6994" w:rsidP="002926D7">
      <w:pPr>
        <w:numPr>
          <w:ilvl w:val="0"/>
          <w:numId w:val="8"/>
        </w:numPr>
        <w:ind w:left="0" w:firstLine="0"/>
      </w:pPr>
      <w:bookmarkStart w:id="202" w:name="_Hlk123647096"/>
      <w:r w:rsidRPr="002926D7">
        <w:t xml:space="preserve">The total cost of the project is USD </w:t>
      </w:r>
      <w:r w:rsidR="00FF28C6" w:rsidRPr="002926D7">
        <w:t>1</w:t>
      </w:r>
      <w:r w:rsidR="007B7D60" w:rsidRPr="002926D7">
        <w:t>61,186</w:t>
      </w:r>
      <w:r w:rsidR="00FF28C6" w:rsidRPr="002926D7">
        <w:t>,603</w:t>
      </w:r>
      <w:r w:rsidRPr="002926D7">
        <w:t xml:space="preserve">.  This is financed through a GEF grant of USD </w:t>
      </w:r>
      <w:r w:rsidR="0063488F" w:rsidRPr="002926D7">
        <w:t>126,18</w:t>
      </w:r>
      <w:r w:rsidR="00170400" w:rsidRPr="002926D7">
        <w:t>6</w:t>
      </w:r>
      <w:r w:rsidR="0063488F" w:rsidRPr="002926D7">
        <w:t>,</w:t>
      </w:r>
      <w:r w:rsidR="00170400" w:rsidRPr="002926D7">
        <w:t>603</w:t>
      </w:r>
      <w:r w:rsidRPr="002926D7">
        <w:t xml:space="preserve"> administered by UNDP,</w:t>
      </w:r>
      <w:r w:rsidR="00B85C18" w:rsidRPr="002926D7">
        <w:t xml:space="preserve"> </w:t>
      </w:r>
      <w:r w:rsidRPr="002926D7">
        <w:t xml:space="preserve">and additional support of USD </w:t>
      </w:r>
      <w:r w:rsidR="004335AC" w:rsidRPr="002926D7">
        <w:t>35,000</w:t>
      </w:r>
      <w:r w:rsidR="007B7D60" w:rsidRPr="002926D7">
        <w:t>,000</w:t>
      </w:r>
      <w:r w:rsidR="004335AC" w:rsidRPr="002926D7">
        <w:t xml:space="preserve"> </w:t>
      </w:r>
      <w:r w:rsidR="00036379" w:rsidRPr="002926D7">
        <w:t>in co-financing</w:t>
      </w:r>
      <w:r w:rsidRPr="002926D7">
        <w:t xml:space="preserve">. UNDP, as the GEF Implementing Agency, is responsible for the oversight of the GEF resources and the </w:t>
      </w:r>
      <w:r w:rsidRPr="002926D7">
        <w:rPr>
          <w:lang w:eastAsia="zh-CN"/>
        </w:rPr>
        <w:t>cash co-financing transferred to UNDP bank account only</w:t>
      </w:r>
      <w:r w:rsidR="003E3ABA" w:rsidRPr="002926D7">
        <w:t>.</w:t>
      </w:r>
    </w:p>
    <w:p w14:paraId="30C57200" w14:textId="77777777" w:rsidR="007E3FCF" w:rsidRPr="002926D7" w:rsidRDefault="007E3FCF" w:rsidP="002926D7"/>
    <w:bookmarkEnd w:id="202"/>
    <w:p w14:paraId="5B318A5B" w14:textId="3F1C15B9" w:rsidR="5508A8B9" w:rsidRPr="002926D7" w:rsidRDefault="5508A8B9" w:rsidP="002926D7">
      <w:pPr>
        <w:numPr>
          <w:ilvl w:val="0"/>
          <w:numId w:val="8"/>
        </w:numPr>
        <w:spacing w:after="120"/>
        <w:ind w:left="0" w:firstLine="0"/>
        <w:rPr>
          <w:color w:val="000000" w:themeColor="text1"/>
        </w:rPr>
      </w:pPr>
      <w:r w:rsidRPr="002926D7">
        <w:rPr>
          <w:b/>
          <w:bCs/>
          <w:color w:val="000000" w:themeColor="text1"/>
          <w:u w:val="single"/>
        </w:rPr>
        <w:t>C</w:t>
      </w:r>
      <w:r w:rsidR="48B1E5DE" w:rsidRPr="002926D7">
        <w:rPr>
          <w:b/>
          <w:bCs/>
          <w:color w:val="000000" w:themeColor="text1"/>
          <w:u w:val="single"/>
        </w:rPr>
        <w:t>o-financing</w:t>
      </w:r>
      <w:r w:rsidR="48B1E5DE" w:rsidRPr="002926D7">
        <w:rPr>
          <w:color w:val="000000" w:themeColor="text1"/>
        </w:rPr>
        <w:t xml:space="preserve">: </w:t>
      </w:r>
      <w:r w:rsidR="43AD3B7D" w:rsidRPr="002926D7">
        <w:rPr>
          <w:color w:val="000000" w:themeColor="text1"/>
        </w:rPr>
        <w:t>The actual realization of project co-financing amounts will be monitored by the UNDP  and the PMU on an annual basis in the GEF PI</w:t>
      </w:r>
      <w:r w:rsidR="4C5AD2FA" w:rsidRPr="002926D7">
        <w:rPr>
          <w:color w:val="000000" w:themeColor="text1"/>
        </w:rPr>
        <w:t>R</w:t>
      </w:r>
      <w:r w:rsidR="43AD3B7D" w:rsidRPr="002926D7">
        <w:rPr>
          <w:color w:val="000000" w:themeColor="text1"/>
        </w:rPr>
        <w:t xml:space="preserve"> and will be reported to the GEF during the mid-term review and terminal evaluation process as follows</w:t>
      </w:r>
      <w:r w:rsidR="15555F16" w:rsidRPr="002926D7">
        <w:rPr>
          <w:color w:val="000000" w:themeColor="text1"/>
        </w:rPr>
        <w:t>.</w:t>
      </w:r>
    </w:p>
    <w:tbl>
      <w:tblPr>
        <w:tblStyle w:val="TableGrid"/>
        <w:tblW w:w="0" w:type="auto"/>
        <w:tblLayout w:type="fixed"/>
        <w:tblLook w:val="06A0" w:firstRow="1" w:lastRow="0" w:firstColumn="1" w:lastColumn="0" w:noHBand="1" w:noVBand="1"/>
      </w:tblPr>
      <w:tblGrid>
        <w:gridCol w:w="2785"/>
        <w:gridCol w:w="2970"/>
        <w:gridCol w:w="1716"/>
        <w:gridCol w:w="1544"/>
      </w:tblGrid>
      <w:tr w:rsidR="6F35BD26" w:rsidRPr="002926D7" w14:paraId="5153BDF3" w14:textId="77777777" w:rsidTr="00655CC9">
        <w:trPr>
          <w:trHeight w:val="585"/>
          <w:tblHeader/>
        </w:trPr>
        <w:tc>
          <w:tcPr>
            <w:tcW w:w="2785"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118409D7" w14:textId="03FFB2AC" w:rsidR="6F35BD26" w:rsidRPr="002926D7" w:rsidRDefault="6F35BD26" w:rsidP="002926D7">
            <w:pPr>
              <w:jc w:val="center"/>
              <w:rPr>
                <w:rFonts w:eastAsia="Calibri" w:cs="Calibri"/>
                <w:b/>
                <w:bCs/>
                <w:color w:val="000000" w:themeColor="text1"/>
                <w:szCs w:val="20"/>
              </w:rPr>
            </w:pPr>
            <w:r w:rsidRPr="002926D7">
              <w:rPr>
                <w:rFonts w:eastAsia="Calibri" w:cs="Calibri"/>
                <w:b/>
                <w:bCs/>
                <w:color w:val="000000" w:themeColor="text1"/>
                <w:szCs w:val="20"/>
              </w:rPr>
              <w:t>Sources of Co-Financing</w:t>
            </w:r>
          </w:p>
        </w:tc>
        <w:tc>
          <w:tcPr>
            <w:tcW w:w="2970"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40D31D51" w14:textId="64BA99FF" w:rsidR="6F35BD26" w:rsidRPr="002926D7" w:rsidRDefault="6F35BD26" w:rsidP="002926D7">
            <w:pPr>
              <w:jc w:val="center"/>
              <w:rPr>
                <w:rFonts w:eastAsia="Calibri" w:cs="Calibri"/>
                <w:b/>
                <w:bCs/>
                <w:color w:val="000000" w:themeColor="text1"/>
                <w:szCs w:val="20"/>
              </w:rPr>
            </w:pPr>
            <w:r w:rsidRPr="002926D7">
              <w:rPr>
                <w:rFonts w:eastAsia="Calibri" w:cs="Calibri"/>
                <w:b/>
                <w:bCs/>
                <w:color w:val="000000" w:themeColor="text1"/>
                <w:szCs w:val="20"/>
              </w:rPr>
              <w:t>Name of Co-Financier</w:t>
            </w:r>
          </w:p>
        </w:tc>
        <w:tc>
          <w:tcPr>
            <w:tcW w:w="1716"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63239032" w14:textId="063B7A7C" w:rsidR="6F35BD26" w:rsidRPr="002926D7" w:rsidRDefault="6F35BD26" w:rsidP="002926D7">
            <w:pPr>
              <w:jc w:val="center"/>
              <w:rPr>
                <w:rFonts w:eastAsia="Calibri" w:cs="Calibri"/>
                <w:b/>
                <w:bCs/>
                <w:color w:val="000000" w:themeColor="text1"/>
                <w:szCs w:val="20"/>
              </w:rPr>
            </w:pPr>
            <w:r w:rsidRPr="002926D7">
              <w:rPr>
                <w:rFonts w:eastAsia="Calibri" w:cs="Calibri"/>
                <w:b/>
                <w:bCs/>
                <w:color w:val="000000" w:themeColor="text1"/>
                <w:szCs w:val="20"/>
              </w:rPr>
              <w:t>Type of Co-Financing</w:t>
            </w: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00B09315" w14:textId="5A534722" w:rsidR="6F35BD26" w:rsidRPr="002926D7" w:rsidRDefault="6F35BD26" w:rsidP="002926D7">
            <w:pPr>
              <w:jc w:val="center"/>
              <w:rPr>
                <w:rFonts w:eastAsia="Calibri" w:cs="Calibri"/>
                <w:b/>
                <w:bCs/>
                <w:color w:val="000000" w:themeColor="text1"/>
                <w:szCs w:val="20"/>
              </w:rPr>
            </w:pPr>
            <w:r w:rsidRPr="002926D7">
              <w:rPr>
                <w:rFonts w:eastAsia="Calibri" w:cs="Calibri"/>
                <w:b/>
                <w:bCs/>
                <w:color w:val="000000" w:themeColor="text1"/>
                <w:szCs w:val="20"/>
              </w:rPr>
              <w:t>Co-financing amount (USD</w:t>
            </w:r>
            <w:r w:rsidR="00655CC9" w:rsidRPr="002926D7">
              <w:rPr>
                <w:rFonts w:eastAsia="Calibri" w:cs="Calibri"/>
                <w:b/>
                <w:bCs/>
                <w:color w:val="000000" w:themeColor="text1"/>
                <w:szCs w:val="20"/>
              </w:rPr>
              <w:t>)</w:t>
            </w:r>
          </w:p>
        </w:tc>
      </w:tr>
      <w:tr w:rsidR="00655CC9" w:rsidRPr="002926D7" w14:paraId="641C41AD" w14:textId="77777777" w:rsidTr="00655CC9">
        <w:trPr>
          <w:trHeight w:val="362"/>
        </w:trPr>
        <w:tc>
          <w:tcPr>
            <w:tcW w:w="2785" w:type="dxa"/>
            <w:tcBorders>
              <w:top w:val="single" w:sz="4" w:space="0" w:color="auto"/>
              <w:left w:val="single" w:sz="4" w:space="0" w:color="auto"/>
              <w:bottom w:val="single" w:sz="4" w:space="0" w:color="000000" w:themeColor="text1"/>
              <w:right w:val="single" w:sz="4" w:space="0" w:color="auto"/>
            </w:tcBorders>
            <w:shd w:val="clear" w:color="auto" w:fill="FFFFFF" w:themeFill="background1"/>
            <w:tcMar>
              <w:top w:w="15" w:type="dxa"/>
              <w:left w:w="15" w:type="dxa"/>
              <w:right w:w="15" w:type="dxa"/>
            </w:tcMar>
            <w:vAlign w:val="center"/>
          </w:tcPr>
          <w:p w14:paraId="70C02CC7" w14:textId="3C29C0A7" w:rsidR="00655CC9" w:rsidRPr="002926D7" w:rsidRDefault="00655CC9" w:rsidP="002926D7">
            <w:pPr>
              <w:ind w:left="70"/>
              <w:jc w:val="left"/>
              <w:rPr>
                <w:rFonts w:eastAsia="Calibri" w:cs="Calibri"/>
                <w:color w:val="000000" w:themeColor="text1"/>
                <w:szCs w:val="20"/>
              </w:rPr>
            </w:pPr>
            <w:r w:rsidRPr="002926D7">
              <w:rPr>
                <w:rFonts w:eastAsia="Calibri" w:cs="Calibri"/>
                <w:color w:val="000000" w:themeColor="text1"/>
                <w:szCs w:val="20"/>
              </w:rPr>
              <w:t>GEF Agency</w:t>
            </w:r>
          </w:p>
        </w:tc>
        <w:tc>
          <w:tcPr>
            <w:tcW w:w="2970" w:type="dxa"/>
            <w:tcBorders>
              <w:top w:val="single" w:sz="4" w:space="0" w:color="auto"/>
              <w:left w:val="single" w:sz="4" w:space="0" w:color="auto"/>
              <w:bottom w:val="single" w:sz="4" w:space="0" w:color="000000" w:themeColor="text1"/>
              <w:right w:val="single" w:sz="4" w:space="0" w:color="auto"/>
            </w:tcBorders>
            <w:shd w:val="clear" w:color="auto" w:fill="FFFFFF" w:themeFill="background1"/>
            <w:tcMar>
              <w:top w:w="15" w:type="dxa"/>
              <w:left w:w="15" w:type="dxa"/>
              <w:right w:w="15" w:type="dxa"/>
            </w:tcMar>
            <w:vAlign w:val="center"/>
          </w:tcPr>
          <w:p w14:paraId="2F4EA685" w14:textId="6037A9E8" w:rsidR="00655CC9" w:rsidRPr="002926D7" w:rsidRDefault="00655CC9" w:rsidP="002926D7">
            <w:pPr>
              <w:ind w:left="50"/>
              <w:jc w:val="left"/>
              <w:rPr>
                <w:rFonts w:eastAsia="Calibri" w:cs="Calibri"/>
                <w:color w:val="000000" w:themeColor="text1"/>
                <w:szCs w:val="20"/>
              </w:rPr>
            </w:pPr>
            <w:r w:rsidRPr="002926D7">
              <w:rPr>
                <w:rFonts w:eastAsia="Calibri" w:cs="Calibri"/>
                <w:color w:val="000000" w:themeColor="text1"/>
                <w:szCs w:val="20"/>
              </w:rPr>
              <w:t>UNDP</w:t>
            </w:r>
          </w:p>
        </w:tc>
        <w:tc>
          <w:tcPr>
            <w:tcW w:w="1716" w:type="dxa"/>
            <w:tcBorders>
              <w:top w:val="single" w:sz="4" w:space="0" w:color="auto"/>
              <w:left w:val="single" w:sz="4" w:space="0" w:color="auto"/>
              <w:right w:val="single" w:sz="4" w:space="0" w:color="auto"/>
            </w:tcBorders>
            <w:shd w:val="clear" w:color="auto" w:fill="FFFFFF" w:themeFill="background1"/>
            <w:tcMar>
              <w:top w:w="15" w:type="dxa"/>
              <w:left w:w="15" w:type="dxa"/>
              <w:right w:w="15" w:type="dxa"/>
            </w:tcMar>
            <w:vAlign w:val="center"/>
          </w:tcPr>
          <w:p w14:paraId="3DCC2B32" w14:textId="600E1D83" w:rsidR="00655CC9" w:rsidRPr="002926D7" w:rsidRDefault="00655CC9" w:rsidP="002926D7">
            <w:pPr>
              <w:jc w:val="center"/>
              <w:rPr>
                <w:rFonts w:eastAsia="Calibri" w:cs="Calibri"/>
                <w:color w:val="000000" w:themeColor="text1"/>
                <w:szCs w:val="20"/>
              </w:rPr>
            </w:pPr>
            <w:r w:rsidRPr="002926D7">
              <w:rPr>
                <w:rFonts w:eastAsia="Calibri" w:cs="Calibri"/>
                <w:color w:val="000000" w:themeColor="text1"/>
                <w:szCs w:val="20"/>
              </w:rPr>
              <w:t>Grant</w:t>
            </w:r>
          </w:p>
        </w:tc>
        <w:tc>
          <w:tcPr>
            <w:tcW w:w="1544" w:type="dxa"/>
            <w:tcBorders>
              <w:top w:val="single" w:sz="4" w:space="0" w:color="auto"/>
              <w:left w:val="single" w:sz="4" w:space="0" w:color="auto"/>
              <w:right w:val="single" w:sz="4" w:space="0" w:color="auto"/>
            </w:tcBorders>
            <w:shd w:val="clear" w:color="auto" w:fill="FFFFFF" w:themeFill="background1"/>
            <w:tcMar>
              <w:top w:w="15" w:type="dxa"/>
              <w:left w:w="15" w:type="dxa"/>
              <w:right w:w="15" w:type="dxa"/>
            </w:tcMar>
            <w:vAlign w:val="center"/>
          </w:tcPr>
          <w:p w14:paraId="1398FA50" w14:textId="373A7FD8" w:rsidR="00655CC9" w:rsidRPr="002926D7" w:rsidRDefault="00655CC9" w:rsidP="002926D7">
            <w:pPr>
              <w:jc w:val="center"/>
              <w:rPr>
                <w:rFonts w:eastAsia="Calibri" w:cs="Calibri"/>
                <w:color w:val="000000" w:themeColor="text1"/>
                <w:szCs w:val="20"/>
              </w:rPr>
            </w:pPr>
            <w:r w:rsidRPr="002926D7">
              <w:rPr>
                <w:rFonts w:eastAsia="Calibri" w:cs="Calibri"/>
                <w:color w:val="000000" w:themeColor="text1"/>
                <w:szCs w:val="20"/>
              </w:rPr>
              <w:t>3</w:t>
            </w:r>
            <w:r w:rsidR="00B945B7" w:rsidRPr="002926D7">
              <w:rPr>
                <w:rFonts w:eastAsia="Calibri" w:cs="Calibri"/>
                <w:color w:val="000000" w:themeColor="text1"/>
                <w:szCs w:val="20"/>
              </w:rPr>
              <w:t>5</w:t>
            </w:r>
            <w:r w:rsidRPr="002926D7">
              <w:rPr>
                <w:rFonts w:eastAsia="Calibri" w:cs="Calibri"/>
                <w:color w:val="000000" w:themeColor="text1"/>
                <w:szCs w:val="20"/>
              </w:rPr>
              <w:t>,000,000</w:t>
            </w:r>
          </w:p>
        </w:tc>
      </w:tr>
      <w:tr w:rsidR="00655CC9" w:rsidRPr="002926D7" w14:paraId="663643B9" w14:textId="77777777" w:rsidTr="00655CC9">
        <w:trPr>
          <w:trHeight w:val="300"/>
        </w:trPr>
        <w:tc>
          <w:tcPr>
            <w:tcW w:w="2785" w:type="dxa"/>
            <w:tcBorders>
              <w:left w:val="single" w:sz="0" w:space="0" w:color="auto"/>
              <w:bottom w:val="single" w:sz="0" w:space="0" w:color="000000" w:themeColor="text1"/>
              <w:right w:val="single" w:sz="0" w:space="0" w:color="auto"/>
            </w:tcBorders>
            <w:vAlign w:val="center"/>
          </w:tcPr>
          <w:p w14:paraId="0D17BD6F" w14:textId="232FBD58" w:rsidR="00655CC9" w:rsidRPr="002926D7" w:rsidRDefault="00655CC9" w:rsidP="002926D7">
            <w:pPr>
              <w:ind w:left="70"/>
              <w:jc w:val="left"/>
              <w:rPr>
                <w:b/>
                <w:bCs/>
                <w:i/>
                <w:iCs/>
              </w:rPr>
            </w:pPr>
            <w:r w:rsidRPr="002926D7">
              <w:rPr>
                <w:b/>
                <w:bCs/>
                <w:i/>
                <w:iCs/>
              </w:rPr>
              <w:t>Total</w:t>
            </w:r>
          </w:p>
        </w:tc>
        <w:tc>
          <w:tcPr>
            <w:tcW w:w="2970" w:type="dxa"/>
            <w:tcBorders>
              <w:left w:val="single" w:sz="0" w:space="0" w:color="auto"/>
              <w:bottom w:val="single" w:sz="0" w:space="0" w:color="000000" w:themeColor="text1"/>
              <w:right w:val="single" w:sz="0" w:space="0" w:color="auto"/>
            </w:tcBorders>
            <w:vAlign w:val="center"/>
          </w:tcPr>
          <w:p w14:paraId="62CB0CE2" w14:textId="77777777" w:rsidR="00655CC9" w:rsidRPr="002926D7" w:rsidRDefault="00655CC9" w:rsidP="002926D7">
            <w:pPr>
              <w:ind w:left="50"/>
              <w:jc w:val="left"/>
            </w:pPr>
          </w:p>
        </w:tc>
        <w:tc>
          <w:tcPr>
            <w:tcW w:w="1716" w:type="dxa"/>
            <w:tcBorders>
              <w:top w:val="single" w:sz="4" w:space="0" w:color="auto"/>
              <w:left w:val="nil"/>
              <w:bottom w:val="single" w:sz="4" w:space="0" w:color="auto"/>
              <w:right w:val="single" w:sz="4" w:space="0" w:color="auto"/>
            </w:tcBorders>
            <w:shd w:val="clear" w:color="auto" w:fill="FFFFFF" w:themeFill="background1"/>
            <w:tcMar>
              <w:top w:w="15" w:type="dxa"/>
              <w:left w:w="15" w:type="dxa"/>
              <w:right w:w="15" w:type="dxa"/>
            </w:tcMar>
            <w:vAlign w:val="center"/>
          </w:tcPr>
          <w:p w14:paraId="22BA37D5" w14:textId="77777777" w:rsidR="00655CC9" w:rsidRPr="002926D7" w:rsidRDefault="00655CC9" w:rsidP="002926D7">
            <w:pPr>
              <w:jc w:val="center"/>
              <w:rPr>
                <w:rFonts w:eastAsia="Calibri" w:cs="Calibri"/>
                <w:color w:val="000000" w:themeColor="text1"/>
                <w:szCs w:val="20"/>
              </w:rPr>
            </w:pPr>
          </w:p>
        </w:tc>
        <w:tc>
          <w:tcPr>
            <w:tcW w:w="1544"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right w:w="15" w:type="dxa"/>
            </w:tcMar>
            <w:vAlign w:val="center"/>
          </w:tcPr>
          <w:p w14:paraId="5CFCB846" w14:textId="039C8534" w:rsidR="00655CC9" w:rsidRPr="002926D7" w:rsidRDefault="00010BF7" w:rsidP="002926D7">
            <w:pPr>
              <w:jc w:val="center"/>
              <w:rPr>
                <w:rFonts w:eastAsia="Calibri" w:cs="Calibri"/>
                <w:b/>
                <w:bCs/>
                <w:i/>
                <w:iCs/>
                <w:color w:val="000000" w:themeColor="text1"/>
                <w:szCs w:val="20"/>
              </w:rPr>
            </w:pPr>
            <w:r w:rsidRPr="002926D7">
              <w:rPr>
                <w:rFonts w:eastAsia="Calibri" w:cs="Calibri"/>
                <w:b/>
                <w:bCs/>
                <w:i/>
                <w:iCs/>
                <w:color w:val="000000" w:themeColor="text1"/>
                <w:szCs w:val="20"/>
              </w:rPr>
              <w:t xml:space="preserve"> </w:t>
            </w:r>
            <w:r w:rsidR="004A7D3C" w:rsidRPr="002926D7">
              <w:rPr>
                <w:rFonts w:eastAsia="Calibri" w:cs="Calibri"/>
                <w:b/>
                <w:bCs/>
                <w:i/>
                <w:iCs/>
                <w:color w:val="000000" w:themeColor="text1"/>
                <w:szCs w:val="20"/>
              </w:rPr>
              <w:t>35,000</w:t>
            </w:r>
            <w:r w:rsidR="007B7D60" w:rsidRPr="002926D7">
              <w:rPr>
                <w:rFonts w:eastAsia="Calibri" w:cs="Calibri"/>
                <w:b/>
                <w:bCs/>
                <w:i/>
                <w:iCs/>
                <w:color w:val="000000" w:themeColor="text1"/>
                <w:szCs w:val="20"/>
              </w:rPr>
              <w:t>,000</w:t>
            </w:r>
          </w:p>
        </w:tc>
      </w:tr>
    </w:tbl>
    <w:p w14:paraId="367121D5" w14:textId="77777777" w:rsidR="003A4433" w:rsidRPr="002926D7" w:rsidRDefault="003A4433" w:rsidP="002926D7"/>
    <w:p w14:paraId="310C0796" w14:textId="3C58D1B0" w:rsidR="18D4624A" w:rsidRPr="002926D7" w:rsidRDefault="18D4624A" w:rsidP="002926D7">
      <w:pPr>
        <w:numPr>
          <w:ilvl w:val="0"/>
          <w:numId w:val="8"/>
        </w:numPr>
        <w:ind w:left="0" w:firstLine="0"/>
      </w:pPr>
      <w:r w:rsidRPr="002926D7">
        <w:rPr>
          <w:b/>
          <w:bCs/>
        </w:rPr>
        <w:t>Budget Revision and Tolerance:</w:t>
      </w:r>
      <w:r w:rsidRPr="002926D7">
        <w:t xml:space="preserve"> As per UNDP POPP, the project board may agree with the project manager on a tolerance level for each detailed plan under the overall multi-year workplan. The agreed tolerance should be written in the project document or approved project board meeting minutes. It should normally not exceed 10 percent of the agreed annual budget at the activity level, but within the overall approved multi-year workplan at the activity level. Within the agreed tolerances, the project manager can operate without intervention from the project board. Restrictions apply as follows:</w:t>
      </w:r>
    </w:p>
    <w:p w14:paraId="6FE3FAC9" w14:textId="73711A21" w:rsidR="6F35BD26" w:rsidRPr="002926D7" w:rsidRDefault="6F35BD26" w:rsidP="002926D7"/>
    <w:p w14:paraId="7CC940EB" w14:textId="28B1F106" w:rsidR="00274BE7" w:rsidRPr="002926D7" w:rsidRDefault="40A73D37" w:rsidP="002926D7">
      <w:pPr>
        <w:numPr>
          <w:ilvl w:val="0"/>
          <w:numId w:val="8"/>
        </w:numPr>
        <w:ind w:left="0" w:firstLine="0"/>
      </w:pPr>
      <w:r w:rsidRPr="002926D7">
        <w:t>Should the following deviations occur, the Project Manager/</w:t>
      </w:r>
      <w:r w:rsidR="00781308" w:rsidRPr="002926D7">
        <w:t>Executing Agency</w:t>
      </w:r>
      <w:r w:rsidRPr="002926D7">
        <w:t xml:space="preserve"> through UNDP will seek the approval of the BPPS/NCE-VF team to ensure accurate reporting to the GEF.  It is </w:t>
      </w:r>
      <w:r w:rsidRPr="002926D7">
        <w:rPr>
          <w:b/>
          <w:bCs/>
        </w:rPr>
        <w:t>strongly encouraged</w:t>
      </w:r>
      <w:r w:rsidRPr="002926D7">
        <w:t xml:space="preserve"> to maintain the expenditures within the approved budget at the budgetary account and at the component level:</w:t>
      </w:r>
    </w:p>
    <w:p w14:paraId="4FCC758D" w14:textId="77777777" w:rsidR="00274BE7" w:rsidRPr="002926D7" w:rsidRDefault="00274BE7" w:rsidP="002926D7">
      <w:pPr>
        <w:numPr>
          <w:ilvl w:val="0"/>
          <w:numId w:val="18"/>
        </w:numPr>
        <w:spacing w:before="60"/>
        <w:rPr>
          <w:szCs w:val="20"/>
        </w:rPr>
      </w:pPr>
      <w:r w:rsidRPr="002926D7">
        <w:rPr>
          <w:szCs w:val="20"/>
        </w:rPr>
        <w:t>Budget reallocations must prove that the suggested changes in the budget will not lead to material changes in the results to be achieved by the project. A strong justification is required and will be approved on an exceptional basis.  Budget re-allocations among the components (including PMC) of the approved Total Budget and Work Plans (TBWP) that represent a value greater than 10% of the total GEF grant.</w:t>
      </w:r>
    </w:p>
    <w:p w14:paraId="71C67790" w14:textId="2D6C2228" w:rsidR="00274BE7" w:rsidRPr="002926D7" w:rsidRDefault="00274BE7" w:rsidP="002926D7">
      <w:pPr>
        <w:numPr>
          <w:ilvl w:val="0"/>
          <w:numId w:val="18"/>
        </w:numPr>
        <w:spacing w:before="60"/>
        <w:rPr>
          <w:szCs w:val="20"/>
        </w:rPr>
      </w:pPr>
      <w:r w:rsidRPr="002926D7">
        <w:rPr>
          <w:szCs w:val="20"/>
        </w:rPr>
        <w:t>Introduction of new outputs/activities (i.e. budget items)</w:t>
      </w:r>
      <w:r w:rsidRPr="002926D7">
        <w:rPr>
          <w:rFonts w:ascii="Times New Roman" w:hAnsi="Times New Roman"/>
          <w:sz w:val="24"/>
        </w:rPr>
        <w:t xml:space="preserve"> </w:t>
      </w:r>
      <w:r w:rsidRPr="002926D7">
        <w:rPr>
          <w:szCs w:val="20"/>
        </w:rPr>
        <w:t xml:space="preserve">that were not part of the agreed project document and TBWP that represent a value greater than 5% of the total GEF grant. The new budget items must be eligible as per the </w:t>
      </w:r>
      <w:hyperlink r:id="rId32" w:history="1">
        <w:r w:rsidRPr="002926D7">
          <w:rPr>
            <w:color w:val="0000FF"/>
            <w:szCs w:val="20"/>
            <w:u w:val="single"/>
          </w:rPr>
          <w:t>GEF and UNDP policies</w:t>
        </w:r>
      </w:hyperlink>
      <w:r w:rsidRPr="002926D7">
        <w:rPr>
          <w:szCs w:val="20"/>
        </w:rPr>
        <w:t xml:space="preserve">. </w:t>
      </w:r>
    </w:p>
    <w:p w14:paraId="65E5CB3E" w14:textId="77777777" w:rsidR="00274BE7" w:rsidRPr="002926D7" w:rsidRDefault="00274BE7" w:rsidP="002926D7">
      <w:pPr>
        <w:numPr>
          <w:ilvl w:val="0"/>
          <w:numId w:val="18"/>
        </w:numPr>
        <w:spacing w:before="60"/>
        <w:rPr>
          <w:szCs w:val="20"/>
        </w:rPr>
      </w:pPr>
      <w:r w:rsidRPr="002926D7">
        <w:rPr>
          <w:szCs w:val="20"/>
        </w:rPr>
        <w:t>Project management cost (PMC): budget under PMC component is capped and cannot be increased.</w:t>
      </w:r>
    </w:p>
    <w:p w14:paraId="3794F0D0" w14:textId="77777777" w:rsidR="007E3FCF" w:rsidRPr="002926D7" w:rsidRDefault="007E3FCF" w:rsidP="002926D7">
      <w:pPr>
        <w:rPr>
          <w:rFonts w:asciiTheme="minorHAnsi" w:hAnsiTheme="minorHAnsi"/>
          <w:szCs w:val="20"/>
        </w:rPr>
      </w:pPr>
    </w:p>
    <w:p w14:paraId="1613CED2" w14:textId="1ABA181C" w:rsidR="007E3FCF" w:rsidRPr="002926D7" w:rsidRDefault="003A4433" w:rsidP="002926D7">
      <w:pPr>
        <w:numPr>
          <w:ilvl w:val="0"/>
          <w:numId w:val="8"/>
        </w:numPr>
        <w:ind w:left="0" w:firstLine="0"/>
      </w:pPr>
      <w:r w:rsidRPr="002926D7">
        <w:t>UNDP is not in a position to increase the total budget above the amount approved by the donor, therefore any over-expenditure would have to be absorbed from non-GEF resources by the Implementing Partner (GEF Executing Entity</w:t>
      </w:r>
      <w:r w:rsidR="0D3992B3" w:rsidRPr="002926D7">
        <w:rPr>
          <w:rFonts w:asciiTheme="minorHAnsi" w:hAnsiTheme="minorHAnsi"/>
        </w:rPr>
        <w:t>).</w:t>
      </w:r>
    </w:p>
    <w:p w14:paraId="7567A675" w14:textId="77777777" w:rsidR="00274BE7" w:rsidRPr="002926D7" w:rsidRDefault="00274BE7" w:rsidP="002926D7"/>
    <w:p w14:paraId="1141B666" w14:textId="403144DF" w:rsidR="00274BE7" w:rsidRPr="002926D7" w:rsidRDefault="40A73D37" w:rsidP="002926D7">
      <w:pPr>
        <w:numPr>
          <w:ilvl w:val="0"/>
          <w:numId w:val="8"/>
        </w:numPr>
        <w:ind w:left="0" w:firstLine="0"/>
        <w:rPr>
          <w:rFonts w:cs="Arial"/>
          <w:lang w:eastAsia="zh-CN"/>
        </w:rPr>
      </w:pPr>
      <w:r w:rsidRPr="002926D7">
        <w:rPr>
          <w:rFonts w:cs="Arial"/>
          <w:b/>
          <w:bCs/>
          <w:noProof/>
          <w:u w:val="single"/>
          <w:lang w:eastAsia="zh-CN"/>
        </w:rPr>
        <w:t>Project extensions</w:t>
      </w:r>
      <w:r w:rsidRPr="002926D7">
        <w:rPr>
          <w:rFonts w:cs="Arial"/>
          <w:b/>
          <w:bCs/>
          <w:noProof/>
          <w:lang w:eastAsia="zh-CN"/>
        </w:rPr>
        <w:t xml:space="preserve">: </w:t>
      </w:r>
      <w:r w:rsidR="003A4433" w:rsidRPr="002926D7">
        <w:rPr>
          <w:color w:val="000000"/>
          <w:shd w:val="clear" w:color="auto" w:fill="FFFFFF"/>
        </w:rPr>
        <w:t>The UNDP-</w:t>
      </w:r>
      <w:r w:rsidR="003A4433" w:rsidRPr="002926D7">
        <w:rPr>
          <w:color w:val="000000"/>
        </w:rPr>
        <w:t xml:space="preserve">BPPS-NCE team </w:t>
      </w:r>
      <w:r w:rsidR="003A4433" w:rsidRPr="002926D7">
        <w:rPr>
          <w:color w:val="000000"/>
          <w:shd w:val="clear" w:color="auto" w:fill="FFFFFF"/>
        </w:rPr>
        <w:t>Executive Coordinator must approve all requests for </w:t>
      </w:r>
      <w:r w:rsidR="003A4433" w:rsidRPr="002926D7">
        <w:rPr>
          <w:color w:val="000000"/>
          <w:bdr w:val="none" w:sz="0" w:space="0" w:color="auto" w:frame="1"/>
        </w:rPr>
        <w:t>extension</w:t>
      </w:r>
      <w:r w:rsidR="003A4433" w:rsidRPr="002926D7">
        <w:rPr>
          <w:color w:val="000000"/>
          <w:shd w:val="clear" w:color="auto" w:fill="FFFFFF"/>
        </w:rPr>
        <w:t> of the Project Completion Date and for other milestone </w:t>
      </w:r>
      <w:r w:rsidR="003A4433" w:rsidRPr="002926D7">
        <w:rPr>
          <w:color w:val="000000"/>
          <w:bdr w:val="none" w:sz="0" w:space="0" w:color="auto" w:frame="1"/>
        </w:rPr>
        <w:t>extension</w:t>
      </w:r>
      <w:r w:rsidR="003A4433" w:rsidRPr="002926D7">
        <w:rPr>
          <w:color w:val="000000"/>
          <w:shd w:val="clear" w:color="auto" w:fill="FFFFFF"/>
        </w:rPr>
        <w:t xml:space="preserve">s with hard deadlines. </w:t>
      </w:r>
      <w:r w:rsidR="003A4433" w:rsidRPr="002926D7">
        <w:rPr>
          <w:color w:val="000000"/>
        </w:rPr>
        <w:t>A</w:t>
      </w:r>
      <w:r w:rsidR="003A4433" w:rsidRPr="002926D7">
        <w:rPr>
          <w:color w:val="000000"/>
          <w:shd w:val="clear" w:color="auto" w:fill="FFFFFF"/>
        </w:rPr>
        <w:t>ll </w:t>
      </w:r>
      <w:r w:rsidR="003A4433" w:rsidRPr="002926D7">
        <w:rPr>
          <w:color w:val="000000"/>
          <w:bdr w:val="none" w:sz="0" w:space="0" w:color="auto" w:frame="1"/>
        </w:rPr>
        <w:t>extension</w:t>
      </w:r>
      <w:r w:rsidR="003A4433" w:rsidRPr="002926D7">
        <w:rPr>
          <w:color w:val="000000"/>
          <w:shd w:val="clear" w:color="auto" w:fill="FFFFFF"/>
        </w:rPr>
        <w:t xml:space="preserve">s </w:t>
      </w:r>
      <w:r w:rsidR="003A4433" w:rsidRPr="002926D7">
        <w:rPr>
          <w:color w:val="000000"/>
        </w:rPr>
        <w:t xml:space="preserve">impose additional time and </w:t>
      </w:r>
      <w:r w:rsidR="003A4433" w:rsidRPr="002926D7">
        <w:rPr>
          <w:color w:val="000000"/>
          <w:shd w:val="clear" w:color="auto" w:fill="FFFFFF"/>
        </w:rPr>
        <w:t>cost</w:t>
      </w:r>
      <w:r w:rsidR="003A4433" w:rsidRPr="002926D7">
        <w:rPr>
          <w:color w:val="000000"/>
        </w:rPr>
        <w:t xml:space="preserve"> burdens at all levels</w:t>
      </w:r>
      <w:r w:rsidR="003A4433" w:rsidRPr="002926D7">
        <w:rPr>
          <w:color w:val="000000"/>
          <w:shd w:val="clear" w:color="auto" w:fill="FFFFFF"/>
        </w:rPr>
        <w:t xml:space="preserve"> and the GEF project budget cannot be increased</w:t>
      </w:r>
      <w:r w:rsidR="003A4433" w:rsidRPr="002926D7">
        <w:rPr>
          <w:color w:val="000000"/>
        </w:rPr>
        <w:t xml:space="preserve"> beyond its originally approved amount</w:t>
      </w:r>
      <w:r w:rsidR="003A4433" w:rsidRPr="002926D7">
        <w:rPr>
          <w:color w:val="000000"/>
          <w:shd w:val="clear" w:color="auto" w:fill="FFFFFF"/>
        </w:rPr>
        <w:t>. A single </w:t>
      </w:r>
      <w:r w:rsidR="003A4433" w:rsidRPr="002926D7">
        <w:rPr>
          <w:color w:val="000000"/>
          <w:bdr w:val="none" w:sz="0" w:space="0" w:color="auto" w:frame="1"/>
        </w:rPr>
        <w:t>extension</w:t>
      </w:r>
      <w:r w:rsidR="003A4433" w:rsidRPr="002926D7">
        <w:rPr>
          <w:color w:val="000000"/>
          <w:shd w:val="clear" w:color="auto" w:fill="FFFFFF"/>
        </w:rPr>
        <w:t> may be granted on an exceptional basis and subject to the conditions and maximum durations set out in the UNDP POPP</w:t>
      </w:r>
      <w:r w:rsidR="003A4433" w:rsidRPr="002926D7">
        <w:rPr>
          <w:color w:val="000000"/>
        </w:rPr>
        <w:t>.</w:t>
      </w:r>
      <w:r w:rsidR="003A4433" w:rsidRPr="002926D7" w:rsidDel="00D8450B">
        <w:rPr>
          <w:color w:val="000000"/>
        </w:rPr>
        <w:t xml:space="preserve"> </w:t>
      </w:r>
      <w:r w:rsidR="003A4433" w:rsidRPr="002926D7">
        <w:rPr>
          <w:color w:val="000000"/>
        </w:rPr>
        <w:t xml:space="preserve">The </w:t>
      </w:r>
      <w:r w:rsidR="003A4433" w:rsidRPr="002926D7">
        <w:rPr>
          <w:color w:val="000000"/>
          <w:shd w:val="clear" w:color="auto" w:fill="FFFFFF"/>
        </w:rPr>
        <w:t>project management costs during the </w:t>
      </w:r>
      <w:r w:rsidR="003A4433" w:rsidRPr="002926D7">
        <w:rPr>
          <w:color w:val="000000"/>
          <w:bdr w:val="none" w:sz="0" w:space="0" w:color="auto" w:frame="1"/>
        </w:rPr>
        <w:t>extension</w:t>
      </w:r>
      <w:r w:rsidR="003A4433" w:rsidRPr="002926D7">
        <w:rPr>
          <w:color w:val="000000"/>
          <w:shd w:val="clear" w:color="auto" w:fill="FFFFFF"/>
        </w:rPr>
        <w:t xml:space="preserve"> period must remain within the originally approved amount, and any increase in PMC costs </w:t>
      </w:r>
      <w:r w:rsidR="003A4433" w:rsidRPr="002926D7">
        <w:rPr>
          <w:color w:val="000000"/>
        </w:rPr>
        <w:t xml:space="preserve">shall </w:t>
      </w:r>
      <w:r w:rsidR="003A4433" w:rsidRPr="002926D7">
        <w:rPr>
          <w:color w:val="000000"/>
          <w:shd w:val="clear" w:color="auto" w:fill="FFFFFF"/>
        </w:rPr>
        <w:t>be covered by non-GEF resources; the additional UNDP oversight costs during the </w:t>
      </w:r>
      <w:r w:rsidR="003A4433" w:rsidRPr="002926D7">
        <w:rPr>
          <w:color w:val="000000"/>
          <w:bdr w:val="none" w:sz="0" w:space="0" w:color="auto" w:frame="1"/>
        </w:rPr>
        <w:t>extension</w:t>
      </w:r>
      <w:r w:rsidR="003A4433" w:rsidRPr="002926D7">
        <w:rPr>
          <w:color w:val="000000"/>
          <w:shd w:val="clear" w:color="auto" w:fill="FFFFFF"/>
        </w:rPr>
        <w:t xml:space="preserve"> period must be covered by non-GEF resources, in accordance with UNDP’s </w:t>
      </w:r>
      <w:r w:rsidR="003A4433" w:rsidRPr="002926D7">
        <w:rPr>
          <w:color w:val="000000"/>
        </w:rPr>
        <w:t xml:space="preserve">policy as </w:t>
      </w:r>
      <w:r w:rsidR="003A4433" w:rsidRPr="002926D7">
        <w:rPr>
          <w:color w:val="000000"/>
          <w:shd w:val="clear" w:color="auto" w:fill="FFFFFF"/>
        </w:rPr>
        <w:t>set out in UNDP POPP</w:t>
      </w:r>
      <w:r w:rsidR="00720066" w:rsidRPr="002926D7">
        <w:rPr>
          <w:rFonts w:cs="Arial"/>
          <w:noProof/>
          <w:lang w:eastAsia="zh-CN"/>
        </w:rPr>
        <w:t>.</w:t>
      </w:r>
    </w:p>
    <w:p w14:paraId="58622C40" w14:textId="77777777" w:rsidR="00720066" w:rsidRPr="002926D7" w:rsidRDefault="00720066" w:rsidP="002926D7">
      <w:pPr>
        <w:rPr>
          <w:rFonts w:cs="Arial"/>
          <w:lang w:eastAsia="zh-CN"/>
        </w:rPr>
      </w:pPr>
    </w:p>
    <w:p w14:paraId="10F20C8F" w14:textId="1B6F283C" w:rsidR="007E3FCF" w:rsidRPr="002926D7" w:rsidRDefault="003A4433" w:rsidP="002926D7">
      <w:pPr>
        <w:numPr>
          <w:ilvl w:val="0"/>
          <w:numId w:val="8"/>
        </w:numPr>
        <w:ind w:left="0" w:firstLine="0"/>
        <w:rPr>
          <w:rFonts w:cs="Arial"/>
          <w:lang w:eastAsia="zh-CN"/>
        </w:rPr>
      </w:pPr>
      <w:r w:rsidRPr="002926D7">
        <w:t xml:space="preserve">For any extension request, UNDP CO and IP will consult and jointly present a clear plan indicating how and from which specific sources the additional oversight costs that will be incurred by UNDP will be covered during the </w:t>
      </w:r>
      <w:r w:rsidRPr="002926D7">
        <w:lastRenderedPageBreak/>
        <w:t xml:space="preserve">extended period. </w:t>
      </w:r>
      <w:r w:rsidR="00781308" w:rsidRPr="002926D7">
        <w:t>The BPPS</w:t>
      </w:r>
      <w:r w:rsidR="00781308" w:rsidRPr="002926D7">
        <w:rPr>
          <w:b/>
          <w:bCs/>
        </w:rPr>
        <w:t xml:space="preserve"> </w:t>
      </w:r>
      <w:r w:rsidR="00781308" w:rsidRPr="002926D7">
        <w:t>Vertical Fund Programme Support, Oversight and Compliance Unit Executive Coordinator will consult the Regional Bureaux (RBX) and may reject the extension request if no (external co-financing by the Executing Agency or internal UNDP CO resources) can be identified</w:t>
      </w:r>
      <w:r w:rsidRPr="002926D7">
        <w:rPr>
          <w:rFonts w:asciiTheme="minorHAnsi" w:hAnsiTheme="minorHAnsi" w:cs="Calibri"/>
        </w:rPr>
        <w:t>.</w:t>
      </w:r>
    </w:p>
    <w:p w14:paraId="2E8F0D90" w14:textId="77777777" w:rsidR="003A4433" w:rsidRPr="002926D7" w:rsidRDefault="003A4433" w:rsidP="002926D7">
      <w:pPr>
        <w:rPr>
          <w:lang w:eastAsia="zh-CN"/>
        </w:rPr>
      </w:pPr>
    </w:p>
    <w:p w14:paraId="7A8A814B" w14:textId="7E55AA06" w:rsidR="003A4433" w:rsidRPr="002926D7" w:rsidRDefault="003A4433" w:rsidP="002926D7">
      <w:pPr>
        <w:numPr>
          <w:ilvl w:val="0"/>
          <w:numId w:val="8"/>
        </w:numPr>
        <w:ind w:left="0" w:firstLine="0"/>
        <w:rPr>
          <w:rFonts w:cs="Arial"/>
          <w:lang w:eastAsia="zh-CN"/>
        </w:rPr>
      </w:pPr>
      <w:r w:rsidRPr="002926D7">
        <w:t>All extension requests, along with all supporting documentation, shall be submitted by the IP to the UNDP CO in line with the requirements and within the deadlines set out in the UNDP SOPs and policies in UNDP POPP.</w:t>
      </w:r>
    </w:p>
    <w:p w14:paraId="4E4A10F5" w14:textId="77777777" w:rsidR="00720066" w:rsidRPr="002926D7" w:rsidRDefault="00720066" w:rsidP="002926D7">
      <w:pPr>
        <w:rPr>
          <w:rFonts w:cs="Arial"/>
          <w:lang w:eastAsia="zh-CN"/>
        </w:rPr>
      </w:pPr>
    </w:p>
    <w:p w14:paraId="55236372" w14:textId="4BCE441A" w:rsidR="007E3FCF" w:rsidRPr="002926D7" w:rsidRDefault="4713D888" w:rsidP="002926D7">
      <w:pPr>
        <w:numPr>
          <w:ilvl w:val="0"/>
          <w:numId w:val="8"/>
        </w:numPr>
        <w:ind w:left="0" w:firstLine="0"/>
      </w:pPr>
      <w:r w:rsidRPr="002926D7">
        <w:rPr>
          <w:rFonts w:asciiTheme="minorHAnsi" w:hAnsiTheme="minorHAnsi" w:cs="Calibri"/>
          <w:b/>
          <w:bCs/>
          <w:u w:val="single"/>
        </w:rPr>
        <w:t>Audit</w:t>
      </w:r>
      <w:r w:rsidRPr="002926D7">
        <w:rPr>
          <w:rFonts w:asciiTheme="minorHAnsi" w:hAnsiTheme="minorHAnsi" w:cs="Calibri"/>
        </w:rPr>
        <w:t xml:space="preserve">: </w:t>
      </w:r>
      <w:r w:rsidR="003A4433" w:rsidRPr="002926D7">
        <w:rPr>
          <w:rFonts w:cs="Calibri"/>
        </w:rPr>
        <w:t>The project will be audited as per UNDP Financial Regulations and Rules and applicable audit policies. Audit cycle and process must be discussed during the Inception workshop. If the Implementing Partner is an UN Agency, the project will be audited according to that Agencies applicable audit policies</w:t>
      </w:r>
      <w:r w:rsidR="0FB22F18" w:rsidRPr="002926D7">
        <w:rPr>
          <w:rFonts w:asciiTheme="minorHAnsi" w:hAnsiTheme="minorHAnsi" w:cs="Calibri"/>
        </w:rPr>
        <w:t xml:space="preserve">. </w:t>
      </w:r>
    </w:p>
    <w:p w14:paraId="2FE43E15" w14:textId="77777777" w:rsidR="00F2781F" w:rsidRPr="002926D7" w:rsidRDefault="00F2781F" w:rsidP="002926D7"/>
    <w:p w14:paraId="64942105" w14:textId="1D6076E5" w:rsidR="003A4433" w:rsidRPr="002926D7" w:rsidRDefault="00F2781F" w:rsidP="002926D7">
      <w:pPr>
        <w:numPr>
          <w:ilvl w:val="0"/>
          <w:numId w:val="8"/>
        </w:numPr>
        <w:ind w:left="0" w:firstLine="0"/>
      </w:pPr>
      <w:r w:rsidRPr="002926D7">
        <w:rPr>
          <w:rFonts w:asciiTheme="minorHAnsi" w:hAnsiTheme="minorHAnsi"/>
          <w:b/>
          <w:bCs/>
          <w:u w:val="single"/>
        </w:rPr>
        <w:t>Transfer or disposal of assets</w:t>
      </w:r>
      <w:r w:rsidRPr="002926D7">
        <w:rPr>
          <w:rFonts w:asciiTheme="minorHAnsi" w:hAnsiTheme="minorHAnsi"/>
        </w:rPr>
        <w:t xml:space="preserve">: </w:t>
      </w:r>
      <w:r w:rsidRPr="002926D7">
        <w:t>In consultation with the Implementing Partner and other parties of the project, UNDP is responsible for deciding on the transfer or other disposal of assets. Transfer or disposal of assets is recommended to be reviewed and endorsed by the project board following UNDP rules and regulations. Assets may be transferred to the government for project activities managed by a national institution at any time during the life of a project, however</w:t>
      </w:r>
      <w:r w:rsidR="000C0CFA" w:rsidRPr="002926D7">
        <w:t>,</w:t>
      </w:r>
      <w:r w:rsidRPr="002926D7">
        <w:t xml:space="preserve"> </w:t>
      </w:r>
      <w:r w:rsidRPr="002926D7">
        <w:rPr>
          <w:b/>
          <w:bCs/>
        </w:rPr>
        <w:t xml:space="preserve">must be </w:t>
      </w:r>
      <w:r w:rsidRPr="002926D7">
        <w:rPr>
          <w:b/>
        </w:rPr>
        <w:t>done before the operational closure date</w:t>
      </w:r>
      <w:r w:rsidRPr="002926D7">
        <w:t>. In all cases of transfer, a transfer document must be prepared and kept on file</w:t>
      </w:r>
      <w:r w:rsidRPr="002926D7">
        <w:rPr>
          <w:szCs w:val="20"/>
          <w:vertAlign w:val="superscript"/>
        </w:rPr>
        <w:footnoteReference w:id="15"/>
      </w:r>
      <w:r w:rsidRPr="002926D7">
        <w:t>. The transfer should be done before Project Management Unit complete their assignments</w:t>
      </w:r>
      <w:r w:rsidRPr="002926D7">
        <w:rPr>
          <w:rFonts w:asciiTheme="minorHAnsi" w:hAnsiTheme="minorHAnsi"/>
        </w:rPr>
        <w:t>.</w:t>
      </w:r>
    </w:p>
    <w:p w14:paraId="21C3A844" w14:textId="77777777" w:rsidR="003A4433" w:rsidRPr="002926D7" w:rsidRDefault="003A4433" w:rsidP="002926D7"/>
    <w:p w14:paraId="03D1DACC" w14:textId="77777777" w:rsidR="003A4433" w:rsidRPr="002926D7" w:rsidRDefault="003A4433" w:rsidP="002926D7">
      <w:pPr>
        <w:numPr>
          <w:ilvl w:val="0"/>
          <w:numId w:val="8"/>
        </w:numPr>
        <w:ind w:left="0" w:firstLine="0"/>
      </w:pPr>
      <w:r w:rsidRPr="002926D7">
        <w:rPr>
          <w:b/>
          <w:bCs/>
          <w:u w:val="single"/>
        </w:rPr>
        <w:t>Completion Date</w:t>
      </w:r>
      <w:r w:rsidRPr="002926D7">
        <w:rPr>
          <w:b/>
          <w:u w:val="single"/>
        </w:rPr>
        <w:t xml:space="preserve">: </w:t>
      </w:r>
      <w:r w:rsidRPr="002926D7">
        <w:t>The project completion date is the date of Project Document Signature plus project duration. This date can only be extended through a formal extension request. Prior to completion date, all UNDP-financed inputs must be provided and related activities for the Project completed. No activities, except for the final clearance of the Terminal Evaluation Report and the corresponding management response and the end-of-project review Project Board Meeting should take place after the Completion Date.</w:t>
      </w:r>
    </w:p>
    <w:p w14:paraId="24C3774A" w14:textId="77777777" w:rsidR="003A4433" w:rsidRPr="002926D7" w:rsidRDefault="003A4433" w:rsidP="002926D7"/>
    <w:p w14:paraId="2683F42A" w14:textId="6BFC66A6" w:rsidR="003A4433" w:rsidRPr="002926D7" w:rsidRDefault="003A4433" w:rsidP="002926D7">
      <w:pPr>
        <w:numPr>
          <w:ilvl w:val="0"/>
          <w:numId w:val="8"/>
        </w:numPr>
        <w:ind w:left="0" w:firstLine="0"/>
      </w:pPr>
      <w:r w:rsidRPr="002926D7">
        <w:rPr>
          <w:b/>
          <w:bCs/>
          <w:szCs w:val="20"/>
          <w:u w:val="single"/>
        </w:rPr>
        <w:t>Project Closure</w:t>
      </w:r>
      <w:r w:rsidRPr="002926D7">
        <w:rPr>
          <w:szCs w:val="20"/>
        </w:rPr>
        <w:t>: Project closure will be conducted as per UNDP requirements outlined in the UNDP POPP. All c</w:t>
      </w:r>
      <w:r w:rsidRPr="002926D7">
        <w:rPr>
          <w:rFonts w:cs="Arial"/>
          <w:szCs w:val="20"/>
        </w:rPr>
        <w:t xml:space="preserve">osts incurred to close the project must be included in the project closure budget and reported as final project commitments presented to the Project Board during the final project review. The only costs a project may incur following the final project review are those included in the project closure budget. </w:t>
      </w:r>
    </w:p>
    <w:p w14:paraId="7F9D8BB3" w14:textId="77777777" w:rsidR="003A4433" w:rsidRPr="002926D7" w:rsidRDefault="003A4433" w:rsidP="002926D7">
      <w:pPr>
        <w:numPr>
          <w:ilvl w:val="0"/>
          <w:numId w:val="25"/>
        </w:numPr>
        <w:spacing w:before="120"/>
        <w:rPr>
          <w:szCs w:val="20"/>
        </w:rPr>
      </w:pPr>
      <w:r w:rsidRPr="002926D7">
        <w:rPr>
          <w:b/>
          <w:szCs w:val="20"/>
          <w:u w:val="single"/>
        </w:rPr>
        <w:t>Operational Closure</w:t>
      </w:r>
      <w:r w:rsidRPr="002926D7">
        <w:rPr>
          <w:szCs w:val="20"/>
        </w:rPr>
        <w:t>:</w:t>
      </w:r>
      <w:r w:rsidRPr="002926D7" w:rsidDel="0035635E">
        <w:rPr>
          <w:szCs w:val="20"/>
        </w:rPr>
        <w:t xml:space="preserve"> </w:t>
      </w:r>
      <w:r w:rsidRPr="002926D7">
        <w:rPr>
          <w:b/>
          <w:szCs w:val="20"/>
        </w:rPr>
        <w:t>Operational closure must happen within 9 months from project completion date</w:t>
      </w:r>
      <w:r w:rsidRPr="002926D7">
        <w:rPr>
          <w:b/>
          <w:bCs/>
          <w:szCs w:val="20"/>
        </w:rPr>
        <w:t>.</w:t>
      </w:r>
      <w:r w:rsidRPr="002926D7">
        <w:rPr>
          <w:b/>
          <w:szCs w:val="20"/>
        </w:rPr>
        <w:t xml:space="preserve"> </w:t>
      </w:r>
      <w:r w:rsidRPr="002926D7">
        <w:rPr>
          <w:szCs w:val="20"/>
        </w:rPr>
        <w:t>Prior to operational closure, the Terminal Evaluation must have been submitted and the corresponding TE management response and the end-of-project review Project Board meeting must have been completed.</w:t>
      </w:r>
      <w:r w:rsidRPr="002926D7" w:rsidDel="00FA33C0">
        <w:rPr>
          <w:szCs w:val="20"/>
        </w:rPr>
        <w:t xml:space="preserve"> </w:t>
      </w:r>
      <w:r w:rsidRPr="002926D7">
        <w:rPr>
          <w:szCs w:val="20"/>
        </w:rPr>
        <w:t xml:space="preserve">The Implementing Partner through a Project Board decision will notify the UNDP Country Office when operational closure has been completed. Before Operational Closure, the project must have completed the transfer or disposal of any equipment that is still the property of UNDP. </w:t>
      </w:r>
    </w:p>
    <w:p w14:paraId="5A054F88" w14:textId="69FC7D72" w:rsidR="003A4433" w:rsidRPr="002926D7" w:rsidRDefault="003A4433" w:rsidP="002926D7">
      <w:pPr>
        <w:numPr>
          <w:ilvl w:val="0"/>
          <w:numId w:val="25"/>
        </w:numPr>
        <w:spacing w:before="120"/>
        <w:rPr>
          <w:szCs w:val="20"/>
        </w:rPr>
      </w:pPr>
      <w:r w:rsidRPr="002926D7">
        <w:rPr>
          <w:b/>
          <w:szCs w:val="20"/>
          <w:u w:val="single"/>
        </w:rPr>
        <w:t>Financial</w:t>
      </w:r>
      <w:r w:rsidRPr="002926D7">
        <w:rPr>
          <w:b/>
          <w:bCs/>
          <w:szCs w:val="20"/>
          <w:u w:val="single"/>
        </w:rPr>
        <w:t xml:space="preserve"> Closure</w:t>
      </w:r>
      <w:r w:rsidRPr="002926D7">
        <w:rPr>
          <w:b/>
          <w:bCs/>
          <w:szCs w:val="20"/>
        </w:rPr>
        <w:t>:</w:t>
      </w:r>
      <w:r w:rsidRPr="002926D7">
        <w:rPr>
          <w:szCs w:val="20"/>
        </w:rPr>
        <w:t xml:space="preserve"> </w:t>
      </w:r>
      <w:r w:rsidRPr="002926D7">
        <w:rPr>
          <w:b/>
          <w:szCs w:val="20"/>
        </w:rPr>
        <w:t xml:space="preserve">Financial closure must happen </w:t>
      </w:r>
      <w:r w:rsidR="00781308" w:rsidRPr="002926D7">
        <w:rPr>
          <w:b/>
          <w:bCs/>
        </w:rPr>
        <w:t xml:space="preserve">within 6 months </w:t>
      </w:r>
      <w:r w:rsidRPr="002926D7">
        <w:rPr>
          <w:b/>
          <w:szCs w:val="20"/>
        </w:rPr>
        <w:t>of operational closure or after the date of cancellation.</w:t>
      </w:r>
      <w:r w:rsidRPr="002926D7">
        <w:rPr>
          <w:szCs w:val="20"/>
        </w:rPr>
        <w:t xml:space="preserve"> The project will be financially closed when the following conditions have been met: a) the project is operationally completed or has been cancelled; b) the Implementing Partner has reported all financial transactions to UNDP; c) UNDP has closed the accounts for the project; d) UNDP and the Implementing Partner have certified a final Combined Delivery Report (which serves as final budget revision). </w:t>
      </w:r>
    </w:p>
    <w:p w14:paraId="18C8F7D7" w14:textId="77777777" w:rsidR="003A4433" w:rsidRPr="002926D7" w:rsidRDefault="003A4433" w:rsidP="002926D7">
      <w:pPr>
        <w:spacing w:before="120"/>
        <w:ind w:left="720"/>
        <w:rPr>
          <w:szCs w:val="20"/>
        </w:rPr>
      </w:pPr>
      <w:r w:rsidRPr="002926D7">
        <w:rPr>
          <w:szCs w:val="20"/>
        </w:rPr>
        <w:t xml:space="preserve">Between operational and financial closure, the implementing partner will identify and settle all financial obligations and prepare a final expenditure report. The UNDP Country Office will send the final signed closure documents including confirmation of final cumulative expenditure and unspent balance to BPPS/NCE for confirmation before the project will be financially closed in Quantum by the UNDP Country Office. </w:t>
      </w:r>
    </w:p>
    <w:p w14:paraId="752D720E" w14:textId="77777777" w:rsidR="007E3FCF" w:rsidRPr="002926D7" w:rsidRDefault="007E3FCF" w:rsidP="002926D7">
      <w:pPr>
        <w:rPr>
          <w:rFonts w:asciiTheme="minorHAnsi" w:hAnsiTheme="minorHAnsi"/>
          <w:szCs w:val="20"/>
          <w:u w:val="single"/>
        </w:rPr>
      </w:pPr>
    </w:p>
    <w:p w14:paraId="6FF95246" w14:textId="01E8763B" w:rsidR="007E3FCF" w:rsidRPr="002926D7" w:rsidRDefault="003A4433" w:rsidP="002926D7">
      <w:pPr>
        <w:numPr>
          <w:ilvl w:val="0"/>
          <w:numId w:val="8"/>
        </w:numPr>
        <w:ind w:left="0" w:firstLine="0"/>
      </w:pPr>
      <w:r w:rsidRPr="002926D7">
        <w:rPr>
          <w:b/>
          <w:u w:val="single"/>
        </w:rPr>
        <w:lastRenderedPageBreak/>
        <w:t>Cancellation and Suspension:</w:t>
      </w:r>
      <w:r w:rsidRPr="002926D7">
        <w:t xml:space="preserve"> </w:t>
      </w:r>
      <w:r w:rsidRPr="002926D7">
        <w:rPr>
          <w:szCs w:val="20"/>
        </w:rPr>
        <w:t>All projects considering going through cancellation or suspension must follow UNDP and GEF requirements. Guidance can be found in the UNDP POPP (</w:t>
      </w:r>
      <w:hyperlink r:id="rId33" w:history="1">
        <w:r w:rsidRPr="002926D7">
          <w:rPr>
            <w:color w:val="0000FF"/>
            <w:szCs w:val="20"/>
            <w:u w:val="single"/>
          </w:rPr>
          <w:t>SOPs for management actions of Vertical Fund projects escalated to the Executive Coordinator</w:t>
        </w:r>
      </w:hyperlink>
      <w:r w:rsidRPr="002926D7">
        <w:rPr>
          <w:szCs w:val="20"/>
        </w:rPr>
        <w:t xml:space="preserve"> and </w:t>
      </w:r>
      <w:hyperlink r:id="rId34" w:history="1">
        <w:r w:rsidRPr="002926D7">
          <w:rPr>
            <w:color w:val="0000FF"/>
            <w:szCs w:val="20"/>
            <w:u w:val="single"/>
          </w:rPr>
          <w:t>Guidance for GEF project revisions</w:t>
        </w:r>
      </w:hyperlink>
      <w:r w:rsidRPr="002926D7">
        <w:rPr>
          <w:szCs w:val="20"/>
        </w:rPr>
        <w:t>).</w:t>
      </w:r>
      <w:r w:rsidR="0FB22F18" w:rsidRPr="002926D7">
        <w:rPr>
          <w:rFonts w:asciiTheme="minorHAnsi" w:hAnsiTheme="minorHAnsi"/>
        </w:rPr>
        <w:t>.</w:t>
      </w:r>
    </w:p>
    <w:p w14:paraId="4AD643E3" w14:textId="77777777" w:rsidR="007E3FCF" w:rsidRPr="002926D7" w:rsidRDefault="007E3FCF" w:rsidP="002926D7">
      <w:pPr>
        <w:rPr>
          <w:rFonts w:asciiTheme="minorHAnsi" w:hAnsiTheme="minorHAnsi"/>
          <w:szCs w:val="20"/>
          <w:u w:val="single"/>
        </w:rPr>
      </w:pPr>
    </w:p>
    <w:p w14:paraId="396DC1D6" w14:textId="491446AB" w:rsidR="00051A7A" w:rsidRPr="002926D7" w:rsidRDefault="003A4433" w:rsidP="002926D7">
      <w:pPr>
        <w:numPr>
          <w:ilvl w:val="0"/>
          <w:numId w:val="8"/>
        </w:numPr>
        <w:ind w:left="0" w:firstLine="0"/>
      </w:pPr>
      <w:r w:rsidRPr="002926D7">
        <w:rPr>
          <w:b/>
          <w:bCs/>
          <w:u w:val="single"/>
        </w:rPr>
        <w:t>Refund to GEF:</w:t>
      </w:r>
      <w:r w:rsidRPr="002926D7">
        <w:t xml:space="preserve"> Should a refund of unspent funds to the GEF be necessary, this will be managed directly by the BPPS/NCE team Directorate in New York. No action is required by the UNDP Country Office on the actual refund from UNDP project to the GEF. Unspent project balance is not permitted to be transferred to any other projects</w:t>
      </w:r>
      <w:r w:rsidR="0FB22F18" w:rsidRPr="002926D7">
        <w:rPr>
          <w:rFonts w:asciiTheme="minorHAnsi" w:hAnsiTheme="minorHAnsi"/>
        </w:rPr>
        <w:t>.</w:t>
      </w:r>
      <w:bookmarkEnd w:id="201"/>
    </w:p>
    <w:p w14:paraId="41F1D9F5" w14:textId="77777777" w:rsidR="00494749" w:rsidRPr="002926D7" w:rsidRDefault="00494749" w:rsidP="002926D7">
      <w:pPr>
        <w:jc w:val="left"/>
        <w:rPr>
          <w:rFonts w:asciiTheme="minorHAnsi" w:hAnsiTheme="minorHAnsi"/>
          <w:szCs w:val="20"/>
          <w:u w:val="single"/>
        </w:rPr>
      </w:pPr>
    </w:p>
    <w:p w14:paraId="76436923" w14:textId="77777777" w:rsidR="003057A8" w:rsidRPr="002926D7" w:rsidRDefault="003057A8" w:rsidP="002926D7">
      <w:pPr>
        <w:jc w:val="left"/>
        <w:rPr>
          <w:rFonts w:asciiTheme="minorHAnsi" w:hAnsiTheme="minorHAnsi"/>
          <w:szCs w:val="20"/>
        </w:rPr>
      </w:pPr>
    </w:p>
    <w:p w14:paraId="13255B74" w14:textId="77777777" w:rsidR="00740F26" w:rsidRPr="002926D7" w:rsidRDefault="00740F26" w:rsidP="002926D7">
      <w:pPr>
        <w:jc w:val="left"/>
        <w:rPr>
          <w:rFonts w:asciiTheme="minorHAnsi" w:hAnsiTheme="minorHAnsi"/>
          <w:b/>
          <w:smallCaps/>
          <w:spacing w:val="-2"/>
          <w:szCs w:val="20"/>
        </w:rPr>
        <w:sectPr w:rsidR="00740F26" w:rsidRPr="002926D7" w:rsidSect="00294901">
          <w:pgSz w:w="12240" w:h="15840" w:code="1"/>
          <w:pgMar w:top="1440" w:right="1440" w:bottom="1440" w:left="1440" w:header="720" w:footer="432" w:gutter="0"/>
          <w:cols w:space="708"/>
          <w:docGrid w:linePitch="360"/>
        </w:sectPr>
      </w:pPr>
    </w:p>
    <w:p w14:paraId="1B322ECF" w14:textId="77777777" w:rsidR="003E3ABA" w:rsidRPr="002926D7" w:rsidRDefault="003E3ABA" w:rsidP="002926D7">
      <w:pPr>
        <w:pStyle w:val="Heading1"/>
        <w:spacing w:before="0" w:after="60"/>
        <w:rPr>
          <w:rFonts w:ascii="Calibri" w:hAnsi="Calibri"/>
          <w:szCs w:val="28"/>
        </w:rPr>
      </w:pPr>
      <w:bookmarkStart w:id="203" w:name="_Toc151386985"/>
      <w:bookmarkStart w:id="204" w:name="_Hlk36996253"/>
      <w:bookmarkStart w:id="205" w:name="_Hlk96449882"/>
      <w:r w:rsidRPr="002926D7">
        <w:rPr>
          <w:rFonts w:ascii="Calibri" w:hAnsi="Calibri"/>
          <w:szCs w:val="28"/>
        </w:rPr>
        <w:lastRenderedPageBreak/>
        <w:t>Total Budget and Work Plan</w:t>
      </w:r>
      <w:bookmarkEnd w:id="203"/>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ayout w:type="fixed"/>
        <w:tblLook w:val="0000" w:firstRow="0" w:lastRow="0" w:firstColumn="0" w:lastColumn="0" w:noHBand="0" w:noVBand="0"/>
      </w:tblPr>
      <w:tblGrid>
        <w:gridCol w:w="3108"/>
        <w:gridCol w:w="2199"/>
        <w:gridCol w:w="1980"/>
        <w:gridCol w:w="7103"/>
      </w:tblGrid>
      <w:tr w:rsidR="003A4433" w:rsidRPr="002926D7" w14:paraId="1F020DAB" w14:textId="77777777" w:rsidTr="0057510D">
        <w:trPr>
          <w:cantSplit/>
          <w:trHeight w:val="280"/>
        </w:trPr>
        <w:tc>
          <w:tcPr>
            <w:tcW w:w="5000" w:type="pct"/>
            <w:gridSpan w:val="4"/>
            <w:shd w:val="clear" w:color="auto" w:fill="D9D9D9"/>
            <w:noWrap/>
            <w:vAlign w:val="bottom"/>
          </w:tcPr>
          <w:p w14:paraId="01A48153" w14:textId="77777777" w:rsidR="003A4433" w:rsidRPr="002926D7" w:rsidRDefault="003A4433" w:rsidP="002926D7">
            <w:pPr>
              <w:spacing w:after="60"/>
              <w:rPr>
                <w:rFonts w:cs="Arial"/>
                <w:b/>
                <w:sz w:val="18"/>
                <w:szCs w:val="18"/>
              </w:rPr>
            </w:pPr>
            <w:bookmarkStart w:id="206" w:name="_Hlk66902260"/>
            <w:r w:rsidRPr="002926D7">
              <w:rPr>
                <w:rFonts w:cs="Arial"/>
                <w:b/>
                <w:bCs/>
                <w:sz w:val="18"/>
                <w:szCs w:val="18"/>
              </w:rPr>
              <w:t>Total</w:t>
            </w:r>
            <w:r w:rsidRPr="002926D7">
              <w:rPr>
                <w:rFonts w:cs="Arial"/>
                <w:b/>
                <w:sz w:val="18"/>
                <w:szCs w:val="18"/>
              </w:rPr>
              <w:t xml:space="preserve"> Budget and Work Plan</w:t>
            </w:r>
          </w:p>
        </w:tc>
      </w:tr>
      <w:tr w:rsidR="003A4433" w:rsidRPr="002926D7" w14:paraId="51FFC62C" w14:textId="77777777" w:rsidTr="0057510D">
        <w:trPr>
          <w:cantSplit/>
          <w:trHeight w:val="280"/>
        </w:trPr>
        <w:tc>
          <w:tcPr>
            <w:tcW w:w="1080" w:type="pct"/>
            <w:noWrap/>
            <w:vAlign w:val="center"/>
          </w:tcPr>
          <w:p w14:paraId="2CD31BA9" w14:textId="77777777" w:rsidR="003A4433" w:rsidRPr="002926D7" w:rsidRDefault="003A4433" w:rsidP="002926D7">
            <w:pPr>
              <w:spacing w:after="60"/>
              <w:rPr>
                <w:rFonts w:cs="Arial"/>
                <w:color w:val="000000"/>
                <w:sz w:val="18"/>
                <w:szCs w:val="18"/>
                <w:lang w:eastAsia="zh-CN"/>
              </w:rPr>
            </w:pPr>
            <w:r w:rsidRPr="002926D7">
              <w:rPr>
                <w:rFonts w:cs="Arial"/>
                <w:color w:val="000000"/>
                <w:sz w:val="18"/>
                <w:szCs w:val="18"/>
                <w:lang w:eastAsia="zh-CN"/>
              </w:rPr>
              <w:t>Quantum Business Unit</w:t>
            </w:r>
          </w:p>
        </w:tc>
        <w:tc>
          <w:tcPr>
            <w:tcW w:w="3920" w:type="pct"/>
            <w:gridSpan w:val="3"/>
            <w:vAlign w:val="center"/>
          </w:tcPr>
          <w:p w14:paraId="39D8ECC3" w14:textId="2C8B6837" w:rsidR="003A4433" w:rsidRPr="002926D7" w:rsidRDefault="003A4433" w:rsidP="002926D7">
            <w:pPr>
              <w:spacing w:after="60"/>
              <w:rPr>
                <w:rFonts w:cs="Arial"/>
                <w:i/>
                <w:iCs/>
                <w:sz w:val="18"/>
                <w:szCs w:val="18"/>
              </w:rPr>
            </w:pPr>
            <w:r w:rsidRPr="002926D7">
              <w:rPr>
                <w:rFonts w:cs="Calibri"/>
                <w:bCs/>
                <w:iCs/>
                <w:color w:val="000000"/>
                <w:sz w:val="18"/>
                <w:szCs w:val="18"/>
                <w:lang w:eastAsia="zh-CN"/>
              </w:rPr>
              <w:t>UNDP</w:t>
            </w:r>
            <w:r w:rsidR="00E44B21" w:rsidRPr="002926D7">
              <w:rPr>
                <w:rFonts w:cs="Calibri"/>
                <w:bCs/>
                <w:iCs/>
                <w:color w:val="000000"/>
                <w:sz w:val="18"/>
                <w:szCs w:val="18"/>
                <w:lang w:eastAsia="zh-CN"/>
              </w:rPr>
              <w:t>1</w:t>
            </w:r>
          </w:p>
        </w:tc>
      </w:tr>
      <w:tr w:rsidR="003A4433" w:rsidRPr="002926D7" w14:paraId="2E92FE87" w14:textId="77777777" w:rsidTr="00DE3E9B">
        <w:trPr>
          <w:cantSplit/>
          <w:trHeight w:val="280"/>
        </w:trPr>
        <w:tc>
          <w:tcPr>
            <w:tcW w:w="1080" w:type="pct"/>
            <w:noWrap/>
            <w:vAlign w:val="bottom"/>
          </w:tcPr>
          <w:p w14:paraId="5C627986" w14:textId="77777777" w:rsidR="003A4433" w:rsidRPr="002926D7" w:rsidRDefault="003A4433" w:rsidP="002926D7">
            <w:pPr>
              <w:spacing w:after="60"/>
              <w:rPr>
                <w:rFonts w:cs="Arial"/>
                <w:b/>
                <w:sz w:val="18"/>
                <w:szCs w:val="18"/>
              </w:rPr>
            </w:pPr>
            <w:r w:rsidRPr="002926D7">
              <w:rPr>
                <w:rFonts w:cs="Arial"/>
                <w:color w:val="000000"/>
                <w:sz w:val="18"/>
                <w:szCs w:val="18"/>
                <w:lang w:eastAsia="zh-CN"/>
              </w:rPr>
              <w:t xml:space="preserve">Quantum Project ID: </w:t>
            </w:r>
          </w:p>
        </w:tc>
        <w:tc>
          <w:tcPr>
            <w:tcW w:w="764" w:type="pct"/>
            <w:vAlign w:val="bottom"/>
          </w:tcPr>
          <w:p w14:paraId="48DCE6F7" w14:textId="6924AAF6" w:rsidR="003A4433" w:rsidRPr="002926D7" w:rsidRDefault="00781308" w:rsidP="002926D7">
            <w:pPr>
              <w:spacing w:after="60"/>
              <w:rPr>
                <w:rFonts w:cs="Arial"/>
                <w:sz w:val="18"/>
                <w:szCs w:val="18"/>
              </w:rPr>
            </w:pPr>
            <w:r w:rsidRPr="002926D7">
              <w:rPr>
                <w:rFonts w:eastAsia="Times New Roman"/>
                <w:sz w:val="18"/>
                <w:szCs w:val="18"/>
              </w:rPr>
              <w:t>01001602</w:t>
            </w:r>
          </w:p>
        </w:tc>
        <w:tc>
          <w:tcPr>
            <w:tcW w:w="688" w:type="pct"/>
            <w:vAlign w:val="center"/>
          </w:tcPr>
          <w:p w14:paraId="5D95710A" w14:textId="77777777" w:rsidR="003A4433" w:rsidRPr="002926D7" w:rsidRDefault="003A4433" w:rsidP="002926D7">
            <w:pPr>
              <w:spacing w:after="60"/>
              <w:rPr>
                <w:rFonts w:cs="Arial"/>
                <w:color w:val="000000"/>
                <w:sz w:val="18"/>
                <w:szCs w:val="18"/>
                <w:lang w:eastAsia="zh-CN"/>
              </w:rPr>
            </w:pPr>
            <w:r w:rsidRPr="002926D7">
              <w:rPr>
                <w:rFonts w:cs="Arial"/>
                <w:color w:val="000000"/>
                <w:sz w:val="18"/>
                <w:szCs w:val="18"/>
                <w:lang w:eastAsia="zh-CN"/>
              </w:rPr>
              <w:t>Quantum Project Title:</w:t>
            </w:r>
          </w:p>
        </w:tc>
        <w:tc>
          <w:tcPr>
            <w:tcW w:w="2468" w:type="pct"/>
            <w:vAlign w:val="bottom"/>
          </w:tcPr>
          <w:p w14:paraId="491E6845" w14:textId="54CEA667" w:rsidR="003A4433" w:rsidRPr="002926D7" w:rsidRDefault="00781308" w:rsidP="002926D7">
            <w:pPr>
              <w:spacing w:after="60"/>
              <w:rPr>
                <w:rFonts w:cs="Arial"/>
                <w:sz w:val="18"/>
                <w:szCs w:val="18"/>
              </w:rPr>
            </w:pPr>
            <w:r w:rsidRPr="002926D7">
              <w:rPr>
                <w:rFonts w:eastAsia="Times New Roman"/>
                <w:sz w:val="18"/>
                <w:szCs w:val="18"/>
              </w:rPr>
              <w:t>GEF SGP 8th Operational Phase – Core (Part 1)</w:t>
            </w:r>
          </w:p>
        </w:tc>
      </w:tr>
      <w:tr w:rsidR="003A4433" w:rsidRPr="002926D7" w14:paraId="35DF3DA4" w14:textId="77777777" w:rsidTr="00DE3E9B">
        <w:trPr>
          <w:cantSplit/>
          <w:trHeight w:val="280"/>
        </w:trPr>
        <w:tc>
          <w:tcPr>
            <w:tcW w:w="1080" w:type="pct"/>
            <w:noWrap/>
            <w:vAlign w:val="bottom"/>
          </w:tcPr>
          <w:p w14:paraId="583B4441" w14:textId="77777777" w:rsidR="003A4433" w:rsidRPr="002926D7" w:rsidRDefault="003A4433" w:rsidP="002926D7">
            <w:pPr>
              <w:spacing w:after="60"/>
              <w:rPr>
                <w:rFonts w:cs="Arial"/>
                <w:color w:val="000000"/>
                <w:sz w:val="18"/>
                <w:szCs w:val="18"/>
                <w:lang w:eastAsia="zh-CN"/>
              </w:rPr>
            </w:pPr>
            <w:r w:rsidRPr="002926D7">
              <w:rPr>
                <w:rFonts w:cs="Arial"/>
                <w:color w:val="000000"/>
                <w:sz w:val="18"/>
                <w:szCs w:val="18"/>
                <w:lang w:eastAsia="zh-CN"/>
              </w:rPr>
              <w:t>Quantum Award ID:</w:t>
            </w:r>
          </w:p>
        </w:tc>
        <w:tc>
          <w:tcPr>
            <w:tcW w:w="764" w:type="pct"/>
            <w:vAlign w:val="bottom"/>
          </w:tcPr>
          <w:p w14:paraId="74B648D4" w14:textId="62E39F45" w:rsidR="003A4433" w:rsidRPr="002926D7" w:rsidRDefault="00781308" w:rsidP="002926D7">
            <w:pPr>
              <w:spacing w:after="60"/>
              <w:rPr>
                <w:rFonts w:cs="Arial"/>
                <w:sz w:val="18"/>
                <w:szCs w:val="18"/>
              </w:rPr>
            </w:pPr>
            <w:r w:rsidRPr="002926D7">
              <w:rPr>
                <w:rFonts w:eastAsia="Times New Roman"/>
                <w:sz w:val="18"/>
                <w:szCs w:val="18"/>
              </w:rPr>
              <w:t>1210267</w:t>
            </w:r>
          </w:p>
        </w:tc>
        <w:tc>
          <w:tcPr>
            <w:tcW w:w="688" w:type="pct"/>
            <w:vAlign w:val="center"/>
          </w:tcPr>
          <w:p w14:paraId="1014D758" w14:textId="77777777" w:rsidR="003A4433" w:rsidRPr="002926D7" w:rsidRDefault="003A4433" w:rsidP="002926D7">
            <w:pPr>
              <w:spacing w:after="60"/>
              <w:rPr>
                <w:rFonts w:cs="Arial"/>
                <w:color w:val="000000"/>
                <w:sz w:val="18"/>
                <w:szCs w:val="18"/>
                <w:lang w:eastAsia="zh-CN"/>
              </w:rPr>
            </w:pPr>
            <w:r w:rsidRPr="002926D7">
              <w:rPr>
                <w:rFonts w:cs="Arial"/>
                <w:color w:val="000000"/>
                <w:sz w:val="18"/>
                <w:szCs w:val="18"/>
                <w:lang w:eastAsia="zh-CN"/>
              </w:rPr>
              <w:t>Quantum Award Title:</w:t>
            </w:r>
          </w:p>
        </w:tc>
        <w:tc>
          <w:tcPr>
            <w:tcW w:w="2468" w:type="pct"/>
            <w:vAlign w:val="bottom"/>
          </w:tcPr>
          <w:p w14:paraId="0A95F4DB" w14:textId="1A423E7D" w:rsidR="003A4433" w:rsidRPr="002926D7" w:rsidRDefault="00781308" w:rsidP="002926D7">
            <w:pPr>
              <w:spacing w:after="60"/>
              <w:rPr>
                <w:rFonts w:cs="Arial"/>
                <w:i/>
                <w:iCs/>
                <w:sz w:val="18"/>
                <w:szCs w:val="18"/>
              </w:rPr>
            </w:pPr>
            <w:r w:rsidRPr="002926D7">
              <w:rPr>
                <w:rFonts w:eastAsia="Times New Roman"/>
                <w:sz w:val="18"/>
                <w:szCs w:val="18"/>
              </w:rPr>
              <w:t>Eighth Operational Phase of GEF Small Grants Programme</w:t>
            </w:r>
          </w:p>
        </w:tc>
      </w:tr>
      <w:tr w:rsidR="003A4433" w:rsidRPr="002926D7" w14:paraId="04FD388A" w14:textId="77777777" w:rsidTr="0057510D">
        <w:trPr>
          <w:trHeight w:val="280"/>
        </w:trPr>
        <w:tc>
          <w:tcPr>
            <w:tcW w:w="1080" w:type="pct"/>
            <w:tcBorders>
              <w:top w:val="nil"/>
              <w:left w:val="single" w:sz="4" w:space="0" w:color="auto"/>
              <w:bottom w:val="single" w:sz="4" w:space="0" w:color="auto"/>
              <w:right w:val="single" w:sz="4" w:space="0" w:color="auto"/>
            </w:tcBorders>
            <w:noWrap/>
            <w:vAlign w:val="center"/>
            <w:hideMark/>
          </w:tcPr>
          <w:p w14:paraId="504C8C60" w14:textId="77777777" w:rsidR="003A4433" w:rsidRPr="002926D7" w:rsidRDefault="003A4433" w:rsidP="002926D7">
            <w:pPr>
              <w:spacing w:after="60"/>
              <w:rPr>
                <w:rFonts w:cs="Calibri"/>
                <w:bCs/>
                <w:color w:val="000000"/>
                <w:sz w:val="18"/>
                <w:szCs w:val="18"/>
                <w:lang w:eastAsia="zh-CN"/>
              </w:rPr>
            </w:pPr>
            <w:r w:rsidRPr="002926D7">
              <w:rPr>
                <w:rFonts w:cs="Calibri"/>
                <w:bCs/>
                <w:color w:val="000000"/>
                <w:sz w:val="18"/>
                <w:szCs w:val="18"/>
                <w:lang w:eastAsia="zh-CN"/>
              </w:rPr>
              <w:t xml:space="preserve">UNDP-GEF PIMS No. </w:t>
            </w:r>
          </w:p>
        </w:tc>
        <w:tc>
          <w:tcPr>
            <w:tcW w:w="3920" w:type="pct"/>
            <w:gridSpan w:val="3"/>
            <w:tcBorders>
              <w:top w:val="single" w:sz="4" w:space="0" w:color="auto"/>
              <w:left w:val="nil"/>
              <w:bottom w:val="single" w:sz="4" w:space="0" w:color="auto"/>
              <w:right w:val="single" w:sz="4" w:space="0" w:color="auto"/>
            </w:tcBorders>
            <w:noWrap/>
            <w:vAlign w:val="center"/>
            <w:hideMark/>
          </w:tcPr>
          <w:p w14:paraId="23B229E0" w14:textId="392A3975" w:rsidR="003A4433" w:rsidRPr="002926D7" w:rsidRDefault="000E61DB" w:rsidP="002926D7">
            <w:pPr>
              <w:spacing w:after="60"/>
              <w:rPr>
                <w:rFonts w:cs="Calibri"/>
                <w:bCs/>
                <w:color w:val="000000"/>
                <w:sz w:val="18"/>
                <w:szCs w:val="18"/>
                <w:lang w:eastAsia="zh-CN"/>
              </w:rPr>
            </w:pPr>
            <w:r w:rsidRPr="002926D7">
              <w:rPr>
                <w:rFonts w:cs="Calibri"/>
                <w:bCs/>
                <w:color w:val="000000"/>
                <w:sz w:val="18"/>
                <w:szCs w:val="18"/>
                <w:lang w:eastAsia="zh-CN"/>
              </w:rPr>
              <w:t>9520</w:t>
            </w:r>
          </w:p>
        </w:tc>
      </w:tr>
      <w:tr w:rsidR="003A4433" w:rsidRPr="002926D7" w14:paraId="74ECC499" w14:textId="77777777" w:rsidTr="0057510D">
        <w:trPr>
          <w:trHeight w:val="280"/>
        </w:trPr>
        <w:tc>
          <w:tcPr>
            <w:tcW w:w="1080" w:type="pct"/>
            <w:tcBorders>
              <w:top w:val="nil"/>
              <w:left w:val="single" w:sz="4" w:space="0" w:color="auto"/>
              <w:bottom w:val="single" w:sz="4" w:space="0" w:color="auto"/>
              <w:right w:val="single" w:sz="4" w:space="0" w:color="auto"/>
            </w:tcBorders>
            <w:vAlign w:val="center"/>
            <w:hideMark/>
          </w:tcPr>
          <w:p w14:paraId="016EC886" w14:textId="77777777" w:rsidR="003A4433" w:rsidRPr="002926D7" w:rsidRDefault="003A4433" w:rsidP="002926D7">
            <w:pPr>
              <w:spacing w:after="60"/>
              <w:rPr>
                <w:rFonts w:cs="Calibri"/>
                <w:bCs/>
                <w:color w:val="000000"/>
                <w:sz w:val="18"/>
                <w:szCs w:val="18"/>
                <w:lang w:eastAsia="zh-CN"/>
              </w:rPr>
            </w:pPr>
            <w:r w:rsidRPr="002926D7">
              <w:rPr>
                <w:rFonts w:cs="Calibri"/>
                <w:bCs/>
                <w:color w:val="000000"/>
                <w:sz w:val="18"/>
                <w:szCs w:val="18"/>
                <w:lang w:eastAsia="zh-CN"/>
              </w:rPr>
              <w:t xml:space="preserve">Implementing Partner </w:t>
            </w:r>
          </w:p>
        </w:tc>
        <w:tc>
          <w:tcPr>
            <w:tcW w:w="3920" w:type="pct"/>
            <w:gridSpan w:val="3"/>
            <w:tcBorders>
              <w:top w:val="single" w:sz="4" w:space="0" w:color="auto"/>
              <w:left w:val="nil"/>
              <w:bottom w:val="single" w:sz="4" w:space="0" w:color="auto"/>
              <w:right w:val="single" w:sz="4" w:space="0" w:color="auto"/>
            </w:tcBorders>
            <w:noWrap/>
            <w:vAlign w:val="center"/>
            <w:hideMark/>
          </w:tcPr>
          <w:p w14:paraId="120F6D9C" w14:textId="586DD609" w:rsidR="003A4433" w:rsidRPr="002926D7" w:rsidRDefault="000E61DB" w:rsidP="002926D7">
            <w:pPr>
              <w:spacing w:after="60"/>
              <w:rPr>
                <w:rFonts w:cs="Calibri"/>
                <w:bCs/>
                <w:iCs/>
                <w:color w:val="000000"/>
                <w:sz w:val="18"/>
                <w:szCs w:val="18"/>
                <w:lang w:eastAsia="zh-CN"/>
              </w:rPr>
            </w:pPr>
            <w:r w:rsidRPr="002926D7">
              <w:rPr>
                <w:rFonts w:cs="Calibri"/>
                <w:bCs/>
                <w:iCs/>
                <w:color w:val="000000"/>
                <w:sz w:val="18"/>
                <w:szCs w:val="18"/>
                <w:lang w:eastAsia="zh-CN"/>
              </w:rPr>
              <w:t>UNDP</w:t>
            </w:r>
          </w:p>
        </w:tc>
      </w:tr>
    </w:tbl>
    <w:p w14:paraId="627EAB75" w14:textId="23EAFF11" w:rsidR="004424FA" w:rsidRPr="002926D7" w:rsidRDefault="004424FA" w:rsidP="002926D7">
      <w:pPr>
        <w:jc w:val="center"/>
        <w:rPr>
          <w:rFonts w:asciiTheme="minorHAnsi" w:hAnsiTheme="minorHAnsi" w:cstheme="minorHAnsi"/>
          <w:sz w:val="12"/>
          <w:szCs w:val="12"/>
        </w:rPr>
      </w:pPr>
    </w:p>
    <w:tbl>
      <w:tblPr>
        <w:tblW w:w="5160" w:type="pct"/>
        <w:jc w:val="center"/>
        <w:tblLayout w:type="fixed"/>
        <w:tblLook w:val="04A0" w:firstRow="1" w:lastRow="0" w:firstColumn="1" w:lastColumn="0" w:noHBand="0" w:noVBand="1"/>
      </w:tblPr>
      <w:tblGrid>
        <w:gridCol w:w="1256"/>
        <w:gridCol w:w="1348"/>
        <w:gridCol w:w="1348"/>
        <w:gridCol w:w="811"/>
        <w:gridCol w:w="810"/>
        <w:gridCol w:w="810"/>
        <w:gridCol w:w="816"/>
        <w:gridCol w:w="991"/>
        <w:gridCol w:w="1077"/>
        <w:gridCol w:w="1080"/>
        <w:gridCol w:w="988"/>
        <w:gridCol w:w="991"/>
        <w:gridCol w:w="819"/>
        <w:gridCol w:w="9"/>
        <w:gridCol w:w="1152"/>
        <w:gridCol w:w="534"/>
      </w:tblGrid>
      <w:tr w:rsidR="00170617" w:rsidRPr="002926D7" w14:paraId="7BB71527" w14:textId="77777777" w:rsidTr="00170617">
        <w:trPr>
          <w:trHeight w:val="619"/>
          <w:jc w:val="center"/>
        </w:trPr>
        <w:tc>
          <w:tcPr>
            <w:tcW w:w="423" w:type="pct"/>
            <w:tcBorders>
              <w:top w:val="single" w:sz="8" w:space="0" w:color="auto"/>
              <w:left w:val="single" w:sz="8" w:space="0" w:color="auto"/>
              <w:bottom w:val="nil"/>
              <w:right w:val="single" w:sz="8" w:space="0" w:color="auto"/>
            </w:tcBorders>
            <w:shd w:val="clear" w:color="000000" w:fill="DEEAF6"/>
            <w:vAlign w:val="center"/>
            <w:hideMark/>
          </w:tcPr>
          <w:p w14:paraId="001FEBC4" w14:textId="77777777" w:rsidR="00F77F6C" w:rsidRPr="002926D7" w:rsidRDefault="00F77F6C" w:rsidP="002926D7">
            <w:pPr>
              <w:contextualSpacing/>
              <w:jc w:val="center"/>
              <w:rPr>
                <w:rFonts w:eastAsia="Times New Roman" w:cs="Calibri"/>
                <w:b/>
                <w:bCs/>
                <w:color w:val="000000"/>
                <w:sz w:val="14"/>
                <w:szCs w:val="14"/>
              </w:rPr>
            </w:pPr>
            <w:r w:rsidRPr="002926D7">
              <w:rPr>
                <w:rFonts w:eastAsia="Times New Roman" w:cs="Calibri"/>
                <w:b/>
                <w:bCs/>
                <w:color w:val="000000"/>
                <w:sz w:val="14"/>
                <w:szCs w:val="14"/>
              </w:rPr>
              <w:t>Quantum Outcome</w:t>
            </w:r>
          </w:p>
        </w:tc>
        <w:tc>
          <w:tcPr>
            <w:tcW w:w="454" w:type="pct"/>
            <w:tcBorders>
              <w:top w:val="single" w:sz="8" w:space="0" w:color="auto"/>
              <w:left w:val="nil"/>
              <w:bottom w:val="nil"/>
              <w:right w:val="single" w:sz="8" w:space="0" w:color="auto"/>
            </w:tcBorders>
            <w:shd w:val="clear" w:color="000000" w:fill="DEEAF6"/>
            <w:vAlign w:val="center"/>
            <w:hideMark/>
          </w:tcPr>
          <w:p w14:paraId="63A460F8" w14:textId="77777777" w:rsidR="00F77F6C" w:rsidRPr="002926D7" w:rsidRDefault="00F77F6C" w:rsidP="002926D7">
            <w:pPr>
              <w:contextualSpacing/>
              <w:jc w:val="center"/>
              <w:rPr>
                <w:rFonts w:eastAsia="Times New Roman" w:cs="Calibri"/>
                <w:b/>
                <w:bCs/>
                <w:color w:val="000000"/>
                <w:sz w:val="14"/>
                <w:szCs w:val="14"/>
              </w:rPr>
            </w:pPr>
            <w:r w:rsidRPr="002926D7">
              <w:rPr>
                <w:rFonts w:eastAsia="Times New Roman" w:cs="Calibri"/>
                <w:b/>
                <w:bCs/>
                <w:color w:val="000000"/>
                <w:sz w:val="14"/>
                <w:szCs w:val="14"/>
              </w:rPr>
              <w:t>Quantum Output</w:t>
            </w:r>
          </w:p>
        </w:tc>
        <w:tc>
          <w:tcPr>
            <w:tcW w:w="454" w:type="pct"/>
            <w:tcBorders>
              <w:top w:val="single" w:sz="8" w:space="0" w:color="auto"/>
              <w:left w:val="nil"/>
              <w:bottom w:val="nil"/>
              <w:right w:val="single" w:sz="8" w:space="0" w:color="auto"/>
            </w:tcBorders>
            <w:shd w:val="clear" w:color="000000" w:fill="DEEAF6"/>
            <w:vAlign w:val="center"/>
            <w:hideMark/>
          </w:tcPr>
          <w:p w14:paraId="3428EEBA" w14:textId="77777777" w:rsidR="00F77F6C" w:rsidRPr="002926D7" w:rsidRDefault="00F77F6C" w:rsidP="002926D7">
            <w:pPr>
              <w:contextualSpacing/>
              <w:jc w:val="center"/>
              <w:rPr>
                <w:rFonts w:eastAsia="Times New Roman" w:cs="Calibri"/>
                <w:b/>
                <w:bCs/>
                <w:color w:val="000000"/>
                <w:sz w:val="14"/>
                <w:szCs w:val="14"/>
              </w:rPr>
            </w:pPr>
            <w:r w:rsidRPr="002926D7">
              <w:rPr>
                <w:rFonts w:eastAsia="Times New Roman" w:cs="Calibri"/>
                <w:b/>
                <w:bCs/>
                <w:color w:val="000000"/>
                <w:sz w:val="14"/>
                <w:szCs w:val="14"/>
              </w:rPr>
              <w:t>Quantum Activity</w:t>
            </w:r>
          </w:p>
        </w:tc>
        <w:tc>
          <w:tcPr>
            <w:tcW w:w="273" w:type="pct"/>
            <w:vMerge w:val="restart"/>
            <w:tcBorders>
              <w:top w:val="single" w:sz="8" w:space="0" w:color="auto"/>
              <w:left w:val="single" w:sz="8" w:space="0" w:color="auto"/>
              <w:bottom w:val="single" w:sz="8" w:space="0" w:color="000000"/>
              <w:right w:val="single" w:sz="8" w:space="0" w:color="auto"/>
            </w:tcBorders>
            <w:shd w:val="clear" w:color="000000" w:fill="DEEAF6"/>
            <w:vAlign w:val="center"/>
            <w:hideMark/>
          </w:tcPr>
          <w:p w14:paraId="215B1543" w14:textId="18F0F634" w:rsidR="00F77F6C" w:rsidRPr="002926D7" w:rsidRDefault="00F77F6C" w:rsidP="002926D7">
            <w:pPr>
              <w:contextualSpacing/>
              <w:jc w:val="center"/>
              <w:rPr>
                <w:rFonts w:eastAsia="Times New Roman" w:cs="Calibri"/>
                <w:b/>
                <w:bCs/>
                <w:color w:val="000000"/>
                <w:sz w:val="14"/>
                <w:szCs w:val="14"/>
              </w:rPr>
            </w:pPr>
            <w:r w:rsidRPr="002926D7">
              <w:rPr>
                <w:rFonts w:eastAsia="Times New Roman" w:cs="Calibri"/>
                <w:b/>
                <w:bCs/>
                <w:color w:val="000000"/>
                <w:sz w:val="14"/>
                <w:szCs w:val="14"/>
              </w:rPr>
              <w:t>Quantum UNDP</w:t>
            </w:r>
            <w:r w:rsidR="001506D3" w:rsidRPr="002926D7">
              <w:rPr>
                <w:rFonts w:eastAsia="Times New Roman" w:cs="Calibri"/>
                <w:b/>
                <w:bCs/>
                <w:color w:val="000000"/>
                <w:sz w:val="14"/>
                <w:szCs w:val="14"/>
              </w:rPr>
              <w:t xml:space="preserve"> </w:t>
            </w:r>
            <w:r w:rsidRPr="002926D7">
              <w:rPr>
                <w:rFonts w:eastAsia="Times New Roman" w:cs="Calibri"/>
                <w:b/>
                <w:bCs/>
                <w:color w:val="000000"/>
                <w:sz w:val="14"/>
                <w:szCs w:val="14"/>
              </w:rPr>
              <w:t>(UNDP, IP, or UNDP)</w:t>
            </w:r>
          </w:p>
        </w:tc>
        <w:tc>
          <w:tcPr>
            <w:tcW w:w="273" w:type="pct"/>
            <w:vMerge w:val="restart"/>
            <w:tcBorders>
              <w:top w:val="single" w:sz="8" w:space="0" w:color="auto"/>
              <w:left w:val="single" w:sz="8" w:space="0" w:color="auto"/>
              <w:bottom w:val="single" w:sz="8" w:space="0" w:color="000000"/>
              <w:right w:val="single" w:sz="8" w:space="0" w:color="auto"/>
            </w:tcBorders>
            <w:shd w:val="clear" w:color="000000" w:fill="DEEAF6"/>
            <w:vAlign w:val="center"/>
            <w:hideMark/>
          </w:tcPr>
          <w:p w14:paraId="3E4B6DF4" w14:textId="77777777" w:rsidR="00F77F6C" w:rsidRPr="002926D7" w:rsidRDefault="00F77F6C" w:rsidP="002926D7">
            <w:pPr>
              <w:contextualSpacing/>
              <w:jc w:val="center"/>
              <w:rPr>
                <w:rFonts w:eastAsia="Times New Roman" w:cs="Calibri"/>
                <w:b/>
                <w:bCs/>
                <w:color w:val="000000"/>
                <w:sz w:val="14"/>
                <w:szCs w:val="14"/>
              </w:rPr>
            </w:pPr>
            <w:r w:rsidRPr="002926D7">
              <w:rPr>
                <w:rFonts w:eastAsia="Times New Roman" w:cs="Calibri"/>
                <w:b/>
                <w:bCs/>
                <w:color w:val="000000"/>
                <w:sz w:val="14"/>
                <w:szCs w:val="14"/>
              </w:rPr>
              <w:t>Quantum Fund ID</w:t>
            </w:r>
          </w:p>
        </w:tc>
        <w:tc>
          <w:tcPr>
            <w:tcW w:w="273" w:type="pct"/>
            <w:vMerge w:val="restart"/>
            <w:tcBorders>
              <w:top w:val="single" w:sz="8" w:space="0" w:color="auto"/>
              <w:left w:val="single" w:sz="8" w:space="0" w:color="auto"/>
              <w:bottom w:val="single" w:sz="8" w:space="0" w:color="000000"/>
              <w:right w:val="single" w:sz="8" w:space="0" w:color="auto"/>
            </w:tcBorders>
            <w:shd w:val="clear" w:color="000000" w:fill="DEEAF6"/>
            <w:vAlign w:val="center"/>
            <w:hideMark/>
          </w:tcPr>
          <w:p w14:paraId="6EC5EF79" w14:textId="77777777" w:rsidR="00F77F6C" w:rsidRPr="002926D7" w:rsidRDefault="00F77F6C" w:rsidP="002926D7">
            <w:pPr>
              <w:ind w:right="-8"/>
              <w:contextualSpacing/>
              <w:jc w:val="center"/>
              <w:rPr>
                <w:rFonts w:eastAsia="Times New Roman" w:cs="Calibri"/>
                <w:b/>
                <w:bCs/>
                <w:color w:val="000000"/>
                <w:sz w:val="14"/>
                <w:szCs w:val="14"/>
              </w:rPr>
            </w:pPr>
            <w:r w:rsidRPr="002926D7">
              <w:rPr>
                <w:rFonts w:eastAsia="Times New Roman" w:cs="Calibri"/>
                <w:b/>
                <w:bCs/>
                <w:color w:val="000000"/>
                <w:sz w:val="14"/>
                <w:szCs w:val="14"/>
              </w:rPr>
              <w:t>Quantum Donor ID</w:t>
            </w:r>
          </w:p>
        </w:tc>
        <w:tc>
          <w:tcPr>
            <w:tcW w:w="275" w:type="pct"/>
            <w:vMerge w:val="restart"/>
            <w:tcBorders>
              <w:top w:val="single" w:sz="8" w:space="0" w:color="auto"/>
              <w:left w:val="single" w:sz="8" w:space="0" w:color="auto"/>
              <w:bottom w:val="single" w:sz="8" w:space="0" w:color="000000"/>
              <w:right w:val="single" w:sz="8" w:space="0" w:color="auto"/>
            </w:tcBorders>
            <w:shd w:val="clear" w:color="000000" w:fill="DEEAF6"/>
            <w:vAlign w:val="center"/>
            <w:hideMark/>
          </w:tcPr>
          <w:p w14:paraId="3A80D9E3" w14:textId="77777777" w:rsidR="00F77F6C" w:rsidRPr="002926D7" w:rsidRDefault="00F77F6C" w:rsidP="002926D7">
            <w:pPr>
              <w:contextualSpacing/>
              <w:jc w:val="center"/>
              <w:rPr>
                <w:rFonts w:eastAsia="Times New Roman" w:cs="Calibri"/>
                <w:b/>
                <w:bCs/>
                <w:color w:val="000000"/>
                <w:sz w:val="14"/>
                <w:szCs w:val="14"/>
              </w:rPr>
            </w:pPr>
            <w:r w:rsidRPr="002926D7">
              <w:rPr>
                <w:rFonts w:eastAsia="Times New Roman" w:cs="Calibri"/>
                <w:b/>
                <w:bCs/>
                <w:color w:val="000000"/>
                <w:sz w:val="14"/>
                <w:szCs w:val="14"/>
              </w:rPr>
              <w:t>Quantum Budgetary Account Code</w:t>
            </w:r>
          </w:p>
        </w:tc>
        <w:tc>
          <w:tcPr>
            <w:tcW w:w="334" w:type="pct"/>
            <w:vMerge w:val="restart"/>
            <w:tcBorders>
              <w:top w:val="single" w:sz="8" w:space="0" w:color="auto"/>
              <w:left w:val="single" w:sz="8" w:space="0" w:color="auto"/>
              <w:bottom w:val="single" w:sz="8" w:space="0" w:color="000000"/>
              <w:right w:val="single" w:sz="8" w:space="0" w:color="auto"/>
            </w:tcBorders>
            <w:shd w:val="clear" w:color="000000" w:fill="DEEAF6"/>
            <w:vAlign w:val="center"/>
            <w:hideMark/>
          </w:tcPr>
          <w:p w14:paraId="7C33A6B6" w14:textId="77777777" w:rsidR="00F77F6C" w:rsidRPr="002926D7" w:rsidRDefault="00F77F6C" w:rsidP="002926D7">
            <w:pPr>
              <w:contextualSpacing/>
              <w:jc w:val="center"/>
              <w:rPr>
                <w:rFonts w:eastAsia="Times New Roman" w:cs="Calibri"/>
                <w:b/>
                <w:bCs/>
                <w:color w:val="000000"/>
                <w:sz w:val="14"/>
                <w:szCs w:val="14"/>
              </w:rPr>
            </w:pPr>
            <w:r w:rsidRPr="002926D7">
              <w:rPr>
                <w:rFonts w:eastAsia="Times New Roman" w:cs="Calibri"/>
                <w:b/>
                <w:bCs/>
                <w:color w:val="000000"/>
                <w:sz w:val="14"/>
                <w:szCs w:val="14"/>
              </w:rPr>
              <w:t>Quantum Budget Account Description</w:t>
            </w:r>
          </w:p>
        </w:tc>
        <w:tc>
          <w:tcPr>
            <w:tcW w:w="363" w:type="pct"/>
            <w:vMerge w:val="restart"/>
            <w:tcBorders>
              <w:top w:val="single" w:sz="8" w:space="0" w:color="auto"/>
              <w:left w:val="single" w:sz="8" w:space="0" w:color="auto"/>
              <w:bottom w:val="single" w:sz="8" w:space="0" w:color="000000"/>
              <w:right w:val="single" w:sz="8" w:space="0" w:color="auto"/>
            </w:tcBorders>
            <w:shd w:val="clear" w:color="000000" w:fill="DEEAF6"/>
            <w:vAlign w:val="center"/>
            <w:hideMark/>
          </w:tcPr>
          <w:p w14:paraId="648F9EBC" w14:textId="77777777" w:rsidR="00F77F6C" w:rsidRPr="002926D7" w:rsidRDefault="00F77F6C" w:rsidP="002926D7">
            <w:pPr>
              <w:contextualSpacing/>
              <w:jc w:val="center"/>
              <w:rPr>
                <w:rFonts w:eastAsia="Times New Roman" w:cs="Calibri"/>
                <w:b/>
                <w:bCs/>
                <w:color w:val="000000"/>
                <w:sz w:val="14"/>
                <w:szCs w:val="14"/>
              </w:rPr>
            </w:pPr>
            <w:r w:rsidRPr="002926D7">
              <w:rPr>
                <w:rFonts w:eastAsia="Times New Roman" w:cs="Calibri"/>
                <w:b/>
                <w:bCs/>
                <w:color w:val="000000"/>
                <w:sz w:val="14"/>
                <w:szCs w:val="14"/>
              </w:rPr>
              <w:t xml:space="preserve"> Amount Year 2024 </w:t>
            </w:r>
          </w:p>
        </w:tc>
        <w:tc>
          <w:tcPr>
            <w:tcW w:w="364" w:type="pct"/>
            <w:vMerge w:val="restart"/>
            <w:tcBorders>
              <w:top w:val="single" w:sz="8" w:space="0" w:color="auto"/>
              <w:left w:val="single" w:sz="8" w:space="0" w:color="auto"/>
              <w:bottom w:val="single" w:sz="8" w:space="0" w:color="000000"/>
              <w:right w:val="single" w:sz="8" w:space="0" w:color="auto"/>
            </w:tcBorders>
            <w:shd w:val="clear" w:color="000000" w:fill="DEEAF6"/>
            <w:vAlign w:val="center"/>
            <w:hideMark/>
          </w:tcPr>
          <w:p w14:paraId="74C96DA2" w14:textId="77777777" w:rsidR="00F77F6C" w:rsidRPr="002926D7" w:rsidRDefault="00F77F6C" w:rsidP="002926D7">
            <w:pPr>
              <w:contextualSpacing/>
              <w:jc w:val="center"/>
              <w:rPr>
                <w:rFonts w:eastAsia="Times New Roman" w:cs="Calibri"/>
                <w:b/>
                <w:bCs/>
                <w:color w:val="000000"/>
                <w:sz w:val="14"/>
                <w:szCs w:val="14"/>
              </w:rPr>
            </w:pPr>
            <w:r w:rsidRPr="002926D7">
              <w:rPr>
                <w:rFonts w:eastAsia="Times New Roman" w:cs="Calibri"/>
                <w:b/>
                <w:bCs/>
                <w:color w:val="000000"/>
                <w:sz w:val="14"/>
                <w:szCs w:val="14"/>
              </w:rPr>
              <w:t xml:space="preserve"> Amount Year 2025 </w:t>
            </w:r>
          </w:p>
        </w:tc>
        <w:tc>
          <w:tcPr>
            <w:tcW w:w="333" w:type="pct"/>
            <w:vMerge w:val="restart"/>
            <w:tcBorders>
              <w:top w:val="single" w:sz="8" w:space="0" w:color="auto"/>
              <w:left w:val="single" w:sz="8" w:space="0" w:color="auto"/>
              <w:bottom w:val="single" w:sz="8" w:space="0" w:color="000000"/>
              <w:right w:val="single" w:sz="8" w:space="0" w:color="auto"/>
            </w:tcBorders>
            <w:shd w:val="clear" w:color="000000" w:fill="DEEAF6"/>
            <w:vAlign w:val="center"/>
            <w:hideMark/>
          </w:tcPr>
          <w:p w14:paraId="6E7FC9CC" w14:textId="77777777" w:rsidR="00F77F6C" w:rsidRPr="002926D7" w:rsidRDefault="00F77F6C" w:rsidP="002926D7">
            <w:pPr>
              <w:contextualSpacing/>
              <w:jc w:val="center"/>
              <w:rPr>
                <w:rFonts w:eastAsia="Times New Roman" w:cs="Calibri"/>
                <w:b/>
                <w:bCs/>
                <w:color w:val="000000"/>
                <w:sz w:val="14"/>
                <w:szCs w:val="14"/>
              </w:rPr>
            </w:pPr>
            <w:r w:rsidRPr="002926D7">
              <w:rPr>
                <w:rFonts w:eastAsia="Times New Roman" w:cs="Calibri"/>
                <w:b/>
                <w:bCs/>
                <w:color w:val="000000"/>
                <w:sz w:val="14"/>
                <w:szCs w:val="14"/>
              </w:rPr>
              <w:t xml:space="preserve"> Amount Year 2026 </w:t>
            </w:r>
          </w:p>
        </w:tc>
        <w:tc>
          <w:tcPr>
            <w:tcW w:w="334" w:type="pct"/>
            <w:vMerge w:val="restart"/>
            <w:tcBorders>
              <w:top w:val="single" w:sz="8" w:space="0" w:color="auto"/>
              <w:left w:val="single" w:sz="8" w:space="0" w:color="auto"/>
              <w:bottom w:val="single" w:sz="8" w:space="0" w:color="000000"/>
              <w:right w:val="single" w:sz="8" w:space="0" w:color="auto"/>
            </w:tcBorders>
            <w:shd w:val="clear" w:color="000000" w:fill="DEEAF6"/>
            <w:vAlign w:val="center"/>
            <w:hideMark/>
          </w:tcPr>
          <w:p w14:paraId="376D9151" w14:textId="77777777" w:rsidR="00F77F6C" w:rsidRPr="002926D7" w:rsidRDefault="00F77F6C" w:rsidP="002926D7">
            <w:pPr>
              <w:contextualSpacing/>
              <w:jc w:val="center"/>
              <w:rPr>
                <w:rFonts w:eastAsia="Times New Roman" w:cs="Calibri"/>
                <w:b/>
                <w:bCs/>
                <w:color w:val="000000"/>
                <w:sz w:val="14"/>
                <w:szCs w:val="14"/>
              </w:rPr>
            </w:pPr>
            <w:r w:rsidRPr="002926D7">
              <w:rPr>
                <w:rFonts w:eastAsia="Times New Roman" w:cs="Calibri"/>
                <w:b/>
                <w:bCs/>
                <w:color w:val="000000"/>
                <w:sz w:val="14"/>
                <w:szCs w:val="14"/>
              </w:rPr>
              <w:t xml:space="preserve"> Amount Year 2027 </w:t>
            </w:r>
          </w:p>
        </w:tc>
        <w:tc>
          <w:tcPr>
            <w:tcW w:w="276" w:type="pct"/>
            <w:vMerge w:val="restart"/>
            <w:tcBorders>
              <w:top w:val="single" w:sz="8" w:space="0" w:color="auto"/>
              <w:left w:val="single" w:sz="8" w:space="0" w:color="auto"/>
              <w:bottom w:val="single" w:sz="8" w:space="0" w:color="000000"/>
              <w:right w:val="single" w:sz="8" w:space="0" w:color="auto"/>
            </w:tcBorders>
            <w:shd w:val="clear" w:color="000000" w:fill="DEEAF6"/>
            <w:vAlign w:val="center"/>
            <w:hideMark/>
          </w:tcPr>
          <w:p w14:paraId="016CB429" w14:textId="77777777" w:rsidR="00F77F6C" w:rsidRPr="002926D7" w:rsidRDefault="00F77F6C" w:rsidP="002926D7">
            <w:pPr>
              <w:contextualSpacing/>
              <w:jc w:val="center"/>
              <w:rPr>
                <w:rFonts w:eastAsia="Times New Roman" w:cs="Calibri"/>
                <w:b/>
                <w:bCs/>
                <w:color w:val="000000"/>
                <w:sz w:val="14"/>
                <w:szCs w:val="14"/>
              </w:rPr>
            </w:pPr>
            <w:r w:rsidRPr="002926D7">
              <w:rPr>
                <w:rFonts w:eastAsia="Times New Roman" w:cs="Calibri"/>
                <w:b/>
                <w:bCs/>
                <w:color w:val="000000"/>
                <w:sz w:val="14"/>
                <w:szCs w:val="14"/>
              </w:rPr>
              <w:t xml:space="preserve"> Amount Year 2027</w:t>
            </w:r>
          </w:p>
        </w:tc>
        <w:tc>
          <w:tcPr>
            <w:tcW w:w="391" w:type="pct"/>
            <w:gridSpan w:val="2"/>
            <w:vMerge w:val="restart"/>
            <w:tcBorders>
              <w:top w:val="single" w:sz="8" w:space="0" w:color="auto"/>
              <w:left w:val="single" w:sz="8" w:space="0" w:color="auto"/>
              <w:bottom w:val="single" w:sz="8" w:space="0" w:color="000000"/>
              <w:right w:val="single" w:sz="8" w:space="0" w:color="auto"/>
            </w:tcBorders>
            <w:shd w:val="clear" w:color="000000" w:fill="DEEAF6"/>
            <w:noWrap/>
            <w:vAlign w:val="center"/>
            <w:hideMark/>
          </w:tcPr>
          <w:p w14:paraId="4248334E" w14:textId="77777777" w:rsidR="00F77F6C" w:rsidRPr="002926D7" w:rsidRDefault="00F77F6C" w:rsidP="002926D7">
            <w:pPr>
              <w:contextualSpacing/>
              <w:jc w:val="center"/>
              <w:rPr>
                <w:rFonts w:eastAsia="Times New Roman" w:cs="Calibri"/>
                <w:b/>
                <w:bCs/>
                <w:color w:val="000000"/>
                <w:sz w:val="14"/>
                <w:szCs w:val="14"/>
              </w:rPr>
            </w:pPr>
            <w:r w:rsidRPr="002926D7">
              <w:rPr>
                <w:rFonts w:eastAsia="Times New Roman" w:cs="Calibri"/>
                <w:b/>
                <w:bCs/>
                <w:color w:val="000000"/>
                <w:sz w:val="14"/>
                <w:szCs w:val="14"/>
              </w:rPr>
              <w:t>Total (USD)</w:t>
            </w:r>
          </w:p>
        </w:tc>
        <w:tc>
          <w:tcPr>
            <w:tcW w:w="181" w:type="pct"/>
            <w:vMerge w:val="restart"/>
            <w:tcBorders>
              <w:top w:val="single" w:sz="8" w:space="0" w:color="auto"/>
              <w:left w:val="single" w:sz="8" w:space="0" w:color="auto"/>
              <w:bottom w:val="single" w:sz="8" w:space="0" w:color="000000"/>
              <w:right w:val="single" w:sz="8" w:space="0" w:color="auto"/>
            </w:tcBorders>
            <w:shd w:val="clear" w:color="000000" w:fill="DEEAF6"/>
            <w:vAlign w:val="center"/>
            <w:hideMark/>
          </w:tcPr>
          <w:p w14:paraId="66E509D5" w14:textId="77777777" w:rsidR="00F77F6C" w:rsidRPr="002926D7" w:rsidRDefault="00F77F6C" w:rsidP="002926D7">
            <w:pPr>
              <w:contextualSpacing/>
              <w:jc w:val="center"/>
              <w:rPr>
                <w:rFonts w:eastAsia="Times New Roman" w:cs="Calibri"/>
                <w:b/>
                <w:bCs/>
                <w:color w:val="000000"/>
                <w:sz w:val="14"/>
                <w:szCs w:val="14"/>
              </w:rPr>
            </w:pPr>
            <w:r w:rsidRPr="002926D7">
              <w:rPr>
                <w:rFonts w:eastAsia="Times New Roman" w:cs="Calibri"/>
                <w:b/>
                <w:bCs/>
                <w:color w:val="000000"/>
                <w:sz w:val="14"/>
                <w:szCs w:val="14"/>
              </w:rPr>
              <w:t xml:space="preserve">See Budget Note: </w:t>
            </w:r>
            <w:r w:rsidRPr="002926D7">
              <w:rPr>
                <w:rFonts w:eastAsia="Times New Roman" w:cs="Calibri"/>
                <w:b/>
                <w:bCs/>
                <w:i/>
                <w:iCs/>
                <w:color w:val="000000"/>
                <w:sz w:val="14"/>
                <w:szCs w:val="14"/>
              </w:rPr>
              <w:t>(reference as number, not as letter)</w:t>
            </w:r>
          </w:p>
        </w:tc>
      </w:tr>
      <w:tr w:rsidR="00170617" w:rsidRPr="002926D7" w14:paraId="15E1CFF1" w14:textId="77777777" w:rsidTr="00170617">
        <w:trPr>
          <w:trHeight w:val="270"/>
          <w:jc w:val="center"/>
        </w:trPr>
        <w:tc>
          <w:tcPr>
            <w:tcW w:w="423" w:type="pct"/>
            <w:tcBorders>
              <w:top w:val="nil"/>
              <w:left w:val="single" w:sz="8" w:space="0" w:color="auto"/>
              <w:bottom w:val="single" w:sz="8" w:space="0" w:color="auto"/>
              <w:right w:val="single" w:sz="8" w:space="0" w:color="auto"/>
            </w:tcBorders>
            <w:shd w:val="clear" w:color="000000" w:fill="DEEAF6"/>
            <w:vAlign w:val="center"/>
            <w:hideMark/>
          </w:tcPr>
          <w:p w14:paraId="39B38522" w14:textId="77777777" w:rsidR="00F77F6C" w:rsidRPr="002926D7" w:rsidRDefault="00F77F6C" w:rsidP="002926D7">
            <w:pPr>
              <w:contextualSpacing/>
              <w:jc w:val="center"/>
              <w:rPr>
                <w:rFonts w:eastAsia="Times New Roman" w:cs="Calibri"/>
                <w:b/>
                <w:bCs/>
                <w:color w:val="000000"/>
                <w:sz w:val="14"/>
                <w:szCs w:val="14"/>
              </w:rPr>
            </w:pPr>
            <w:r w:rsidRPr="002926D7">
              <w:rPr>
                <w:rFonts w:eastAsia="Times New Roman" w:cs="Calibri"/>
                <w:b/>
                <w:bCs/>
                <w:color w:val="000000"/>
                <w:sz w:val="14"/>
                <w:szCs w:val="14"/>
              </w:rPr>
              <w:t>(GEF Component)</w:t>
            </w:r>
          </w:p>
        </w:tc>
        <w:tc>
          <w:tcPr>
            <w:tcW w:w="454" w:type="pct"/>
            <w:tcBorders>
              <w:top w:val="nil"/>
              <w:left w:val="nil"/>
              <w:bottom w:val="single" w:sz="8" w:space="0" w:color="auto"/>
              <w:right w:val="single" w:sz="8" w:space="0" w:color="auto"/>
            </w:tcBorders>
            <w:shd w:val="clear" w:color="000000" w:fill="DEEAF6"/>
            <w:vAlign w:val="center"/>
            <w:hideMark/>
          </w:tcPr>
          <w:p w14:paraId="37074EE1" w14:textId="77777777" w:rsidR="00F77F6C" w:rsidRPr="002926D7" w:rsidRDefault="00F77F6C" w:rsidP="002926D7">
            <w:pPr>
              <w:contextualSpacing/>
              <w:jc w:val="center"/>
              <w:rPr>
                <w:rFonts w:eastAsia="Times New Roman" w:cs="Calibri"/>
                <w:b/>
                <w:bCs/>
                <w:color w:val="000000"/>
                <w:sz w:val="14"/>
                <w:szCs w:val="14"/>
              </w:rPr>
            </w:pPr>
            <w:r w:rsidRPr="002926D7">
              <w:rPr>
                <w:rFonts w:eastAsia="Times New Roman" w:cs="Calibri"/>
                <w:b/>
                <w:bCs/>
                <w:color w:val="000000"/>
                <w:sz w:val="14"/>
                <w:szCs w:val="14"/>
              </w:rPr>
              <w:t>(GEF Outcome)</w:t>
            </w:r>
          </w:p>
        </w:tc>
        <w:tc>
          <w:tcPr>
            <w:tcW w:w="454" w:type="pct"/>
            <w:tcBorders>
              <w:top w:val="nil"/>
              <w:left w:val="nil"/>
              <w:bottom w:val="single" w:sz="8" w:space="0" w:color="auto"/>
              <w:right w:val="single" w:sz="8" w:space="0" w:color="auto"/>
            </w:tcBorders>
            <w:shd w:val="clear" w:color="000000" w:fill="DEEAF6"/>
            <w:vAlign w:val="center"/>
            <w:hideMark/>
          </w:tcPr>
          <w:p w14:paraId="2E69EC4D" w14:textId="77777777" w:rsidR="00F77F6C" w:rsidRPr="002926D7" w:rsidRDefault="00F77F6C" w:rsidP="002926D7">
            <w:pPr>
              <w:contextualSpacing/>
              <w:jc w:val="center"/>
              <w:rPr>
                <w:rFonts w:eastAsia="Times New Roman" w:cs="Calibri"/>
                <w:b/>
                <w:bCs/>
                <w:color w:val="000000"/>
                <w:sz w:val="14"/>
                <w:szCs w:val="14"/>
              </w:rPr>
            </w:pPr>
            <w:r w:rsidRPr="002926D7">
              <w:rPr>
                <w:rFonts w:eastAsia="Times New Roman" w:cs="Calibri"/>
                <w:b/>
                <w:bCs/>
                <w:color w:val="000000"/>
                <w:sz w:val="14"/>
                <w:szCs w:val="14"/>
              </w:rPr>
              <w:t>(GEF Output)</w:t>
            </w:r>
          </w:p>
        </w:tc>
        <w:tc>
          <w:tcPr>
            <w:tcW w:w="273" w:type="pct"/>
            <w:vMerge/>
            <w:tcBorders>
              <w:top w:val="single" w:sz="8" w:space="0" w:color="auto"/>
              <w:left w:val="single" w:sz="8" w:space="0" w:color="auto"/>
              <w:bottom w:val="single" w:sz="8" w:space="0" w:color="000000"/>
              <w:right w:val="single" w:sz="8" w:space="0" w:color="auto"/>
            </w:tcBorders>
            <w:vAlign w:val="center"/>
            <w:hideMark/>
          </w:tcPr>
          <w:p w14:paraId="309B024B" w14:textId="77777777" w:rsidR="00F77F6C" w:rsidRPr="002926D7" w:rsidRDefault="00F77F6C" w:rsidP="002926D7">
            <w:pPr>
              <w:contextualSpacing/>
              <w:jc w:val="left"/>
              <w:rPr>
                <w:rFonts w:eastAsia="Times New Roman" w:cs="Calibri"/>
                <w:b/>
                <w:bCs/>
                <w:color w:val="000000"/>
                <w:sz w:val="14"/>
                <w:szCs w:val="14"/>
              </w:rPr>
            </w:pPr>
          </w:p>
        </w:tc>
        <w:tc>
          <w:tcPr>
            <w:tcW w:w="273" w:type="pct"/>
            <w:vMerge/>
            <w:tcBorders>
              <w:top w:val="single" w:sz="8" w:space="0" w:color="auto"/>
              <w:left w:val="single" w:sz="8" w:space="0" w:color="auto"/>
              <w:bottom w:val="single" w:sz="8" w:space="0" w:color="000000"/>
              <w:right w:val="single" w:sz="8" w:space="0" w:color="auto"/>
            </w:tcBorders>
            <w:vAlign w:val="center"/>
            <w:hideMark/>
          </w:tcPr>
          <w:p w14:paraId="45B3B330" w14:textId="77777777" w:rsidR="00F77F6C" w:rsidRPr="002926D7" w:rsidRDefault="00F77F6C" w:rsidP="002926D7">
            <w:pPr>
              <w:contextualSpacing/>
              <w:jc w:val="left"/>
              <w:rPr>
                <w:rFonts w:eastAsia="Times New Roman" w:cs="Calibri"/>
                <w:b/>
                <w:bCs/>
                <w:color w:val="000000"/>
                <w:sz w:val="14"/>
                <w:szCs w:val="14"/>
              </w:rPr>
            </w:pPr>
          </w:p>
        </w:tc>
        <w:tc>
          <w:tcPr>
            <w:tcW w:w="273" w:type="pct"/>
            <w:vMerge/>
            <w:tcBorders>
              <w:top w:val="single" w:sz="8" w:space="0" w:color="auto"/>
              <w:left w:val="single" w:sz="8" w:space="0" w:color="auto"/>
              <w:bottom w:val="single" w:sz="8" w:space="0" w:color="000000"/>
              <w:right w:val="single" w:sz="8" w:space="0" w:color="auto"/>
            </w:tcBorders>
            <w:vAlign w:val="center"/>
            <w:hideMark/>
          </w:tcPr>
          <w:p w14:paraId="19EE1E45" w14:textId="77777777" w:rsidR="00F77F6C" w:rsidRPr="002926D7" w:rsidRDefault="00F77F6C" w:rsidP="002926D7">
            <w:pPr>
              <w:ind w:right="-8"/>
              <w:contextualSpacing/>
              <w:jc w:val="left"/>
              <w:rPr>
                <w:rFonts w:eastAsia="Times New Roman" w:cs="Calibri"/>
                <w:b/>
                <w:bCs/>
                <w:color w:val="000000"/>
                <w:sz w:val="14"/>
                <w:szCs w:val="14"/>
              </w:rPr>
            </w:pPr>
          </w:p>
        </w:tc>
        <w:tc>
          <w:tcPr>
            <w:tcW w:w="275" w:type="pct"/>
            <w:vMerge/>
            <w:tcBorders>
              <w:top w:val="single" w:sz="8" w:space="0" w:color="auto"/>
              <w:left w:val="single" w:sz="8" w:space="0" w:color="auto"/>
              <w:bottom w:val="single" w:sz="8" w:space="0" w:color="000000"/>
              <w:right w:val="single" w:sz="8" w:space="0" w:color="auto"/>
            </w:tcBorders>
            <w:vAlign w:val="center"/>
            <w:hideMark/>
          </w:tcPr>
          <w:p w14:paraId="5F0BEAC5" w14:textId="77777777" w:rsidR="00F77F6C" w:rsidRPr="002926D7" w:rsidRDefault="00F77F6C" w:rsidP="002926D7">
            <w:pPr>
              <w:contextualSpacing/>
              <w:jc w:val="left"/>
              <w:rPr>
                <w:rFonts w:eastAsia="Times New Roman" w:cs="Calibri"/>
                <w:b/>
                <w:bCs/>
                <w:color w:val="000000"/>
                <w:sz w:val="14"/>
                <w:szCs w:val="14"/>
              </w:rPr>
            </w:pPr>
          </w:p>
        </w:tc>
        <w:tc>
          <w:tcPr>
            <w:tcW w:w="334" w:type="pct"/>
            <w:vMerge/>
            <w:tcBorders>
              <w:top w:val="single" w:sz="8" w:space="0" w:color="auto"/>
              <w:left w:val="single" w:sz="8" w:space="0" w:color="auto"/>
              <w:bottom w:val="single" w:sz="8" w:space="0" w:color="000000"/>
              <w:right w:val="single" w:sz="8" w:space="0" w:color="auto"/>
            </w:tcBorders>
            <w:vAlign w:val="center"/>
            <w:hideMark/>
          </w:tcPr>
          <w:p w14:paraId="673A8020" w14:textId="77777777" w:rsidR="00F77F6C" w:rsidRPr="002926D7" w:rsidRDefault="00F77F6C" w:rsidP="002926D7">
            <w:pPr>
              <w:contextualSpacing/>
              <w:jc w:val="left"/>
              <w:rPr>
                <w:rFonts w:eastAsia="Times New Roman" w:cs="Calibri"/>
                <w:b/>
                <w:bCs/>
                <w:color w:val="000000"/>
                <w:sz w:val="14"/>
                <w:szCs w:val="14"/>
              </w:rPr>
            </w:pPr>
          </w:p>
        </w:tc>
        <w:tc>
          <w:tcPr>
            <w:tcW w:w="363" w:type="pct"/>
            <w:vMerge/>
            <w:tcBorders>
              <w:top w:val="single" w:sz="8" w:space="0" w:color="auto"/>
              <w:left w:val="single" w:sz="8" w:space="0" w:color="auto"/>
              <w:bottom w:val="single" w:sz="8" w:space="0" w:color="000000"/>
              <w:right w:val="single" w:sz="8" w:space="0" w:color="auto"/>
            </w:tcBorders>
            <w:vAlign w:val="center"/>
            <w:hideMark/>
          </w:tcPr>
          <w:p w14:paraId="4A522F6E" w14:textId="77777777" w:rsidR="00F77F6C" w:rsidRPr="002926D7" w:rsidRDefault="00F77F6C" w:rsidP="002926D7">
            <w:pPr>
              <w:contextualSpacing/>
              <w:jc w:val="left"/>
              <w:rPr>
                <w:rFonts w:eastAsia="Times New Roman" w:cs="Calibri"/>
                <w:b/>
                <w:bCs/>
                <w:color w:val="000000"/>
                <w:sz w:val="14"/>
                <w:szCs w:val="14"/>
              </w:rPr>
            </w:pPr>
          </w:p>
        </w:tc>
        <w:tc>
          <w:tcPr>
            <w:tcW w:w="364" w:type="pct"/>
            <w:vMerge/>
            <w:tcBorders>
              <w:top w:val="single" w:sz="8" w:space="0" w:color="auto"/>
              <w:left w:val="single" w:sz="8" w:space="0" w:color="auto"/>
              <w:bottom w:val="single" w:sz="8" w:space="0" w:color="000000"/>
              <w:right w:val="single" w:sz="8" w:space="0" w:color="auto"/>
            </w:tcBorders>
            <w:vAlign w:val="center"/>
            <w:hideMark/>
          </w:tcPr>
          <w:p w14:paraId="4DF266B4" w14:textId="77777777" w:rsidR="00F77F6C" w:rsidRPr="002926D7" w:rsidRDefault="00F77F6C" w:rsidP="002926D7">
            <w:pPr>
              <w:contextualSpacing/>
              <w:jc w:val="left"/>
              <w:rPr>
                <w:rFonts w:eastAsia="Times New Roman" w:cs="Calibri"/>
                <w:b/>
                <w:bCs/>
                <w:color w:val="000000"/>
                <w:sz w:val="14"/>
                <w:szCs w:val="14"/>
              </w:rPr>
            </w:pPr>
          </w:p>
        </w:tc>
        <w:tc>
          <w:tcPr>
            <w:tcW w:w="333" w:type="pct"/>
            <w:vMerge/>
            <w:tcBorders>
              <w:top w:val="single" w:sz="8" w:space="0" w:color="auto"/>
              <w:left w:val="single" w:sz="8" w:space="0" w:color="auto"/>
              <w:bottom w:val="single" w:sz="8" w:space="0" w:color="000000"/>
              <w:right w:val="single" w:sz="8" w:space="0" w:color="auto"/>
            </w:tcBorders>
            <w:vAlign w:val="center"/>
            <w:hideMark/>
          </w:tcPr>
          <w:p w14:paraId="675AD5C3" w14:textId="77777777" w:rsidR="00F77F6C" w:rsidRPr="002926D7" w:rsidRDefault="00F77F6C" w:rsidP="002926D7">
            <w:pPr>
              <w:contextualSpacing/>
              <w:jc w:val="left"/>
              <w:rPr>
                <w:rFonts w:eastAsia="Times New Roman" w:cs="Calibri"/>
                <w:b/>
                <w:bCs/>
                <w:color w:val="000000"/>
                <w:sz w:val="14"/>
                <w:szCs w:val="14"/>
              </w:rPr>
            </w:pPr>
          </w:p>
        </w:tc>
        <w:tc>
          <w:tcPr>
            <w:tcW w:w="334" w:type="pct"/>
            <w:vMerge/>
            <w:tcBorders>
              <w:top w:val="single" w:sz="8" w:space="0" w:color="auto"/>
              <w:left w:val="single" w:sz="8" w:space="0" w:color="auto"/>
              <w:bottom w:val="single" w:sz="8" w:space="0" w:color="000000"/>
              <w:right w:val="single" w:sz="8" w:space="0" w:color="auto"/>
            </w:tcBorders>
            <w:vAlign w:val="center"/>
            <w:hideMark/>
          </w:tcPr>
          <w:p w14:paraId="22C799E5" w14:textId="77777777" w:rsidR="00F77F6C" w:rsidRPr="002926D7" w:rsidRDefault="00F77F6C" w:rsidP="002926D7">
            <w:pPr>
              <w:contextualSpacing/>
              <w:jc w:val="left"/>
              <w:rPr>
                <w:rFonts w:eastAsia="Times New Roman" w:cs="Calibri"/>
                <w:b/>
                <w:bCs/>
                <w:color w:val="000000"/>
                <w:sz w:val="14"/>
                <w:szCs w:val="14"/>
              </w:rPr>
            </w:pPr>
          </w:p>
        </w:tc>
        <w:tc>
          <w:tcPr>
            <w:tcW w:w="276" w:type="pct"/>
            <w:vMerge/>
            <w:tcBorders>
              <w:top w:val="single" w:sz="8" w:space="0" w:color="auto"/>
              <w:left w:val="single" w:sz="8" w:space="0" w:color="auto"/>
              <w:bottom w:val="single" w:sz="8" w:space="0" w:color="000000"/>
              <w:right w:val="single" w:sz="8" w:space="0" w:color="auto"/>
            </w:tcBorders>
            <w:vAlign w:val="center"/>
            <w:hideMark/>
          </w:tcPr>
          <w:p w14:paraId="5E67A9ED" w14:textId="77777777" w:rsidR="00F77F6C" w:rsidRPr="002926D7" w:rsidRDefault="00F77F6C" w:rsidP="002926D7">
            <w:pPr>
              <w:contextualSpacing/>
              <w:jc w:val="left"/>
              <w:rPr>
                <w:rFonts w:eastAsia="Times New Roman" w:cs="Calibri"/>
                <w:b/>
                <w:bCs/>
                <w:color w:val="000000"/>
                <w:sz w:val="14"/>
                <w:szCs w:val="14"/>
              </w:rPr>
            </w:pPr>
          </w:p>
        </w:tc>
        <w:tc>
          <w:tcPr>
            <w:tcW w:w="391" w:type="pct"/>
            <w:gridSpan w:val="2"/>
            <w:vMerge/>
            <w:tcBorders>
              <w:top w:val="single" w:sz="8" w:space="0" w:color="auto"/>
              <w:left w:val="single" w:sz="8" w:space="0" w:color="auto"/>
              <w:bottom w:val="single" w:sz="8" w:space="0" w:color="000000"/>
              <w:right w:val="single" w:sz="8" w:space="0" w:color="auto"/>
            </w:tcBorders>
            <w:vAlign w:val="center"/>
            <w:hideMark/>
          </w:tcPr>
          <w:p w14:paraId="49EECABB" w14:textId="77777777" w:rsidR="00F77F6C" w:rsidRPr="002926D7" w:rsidRDefault="00F77F6C" w:rsidP="002926D7">
            <w:pPr>
              <w:contextualSpacing/>
              <w:jc w:val="left"/>
              <w:rPr>
                <w:rFonts w:eastAsia="Times New Roman" w:cs="Calibri"/>
                <w:b/>
                <w:bCs/>
                <w:color w:val="000000"/>
                <w:sz w:val="14"/>
                <w:szCs w:val="14"/>
              </w:rPr>
            </w:pPr>
          </w:p>
        </w:tc>
        <w:tc>
          <w:tcPr>
            <w:tcW w:w="181" w:type="pct"/>
            <w:vMerge/>
            <w:tcBorders>
              <w:top w:val="single" w:sz="8" w:space="0" w:color="auto"/>
              <w:left w:val="single" w:sz="8" w:space="0" w:color="auto"/>
              <w:bottom w:val="single" w:sz="8" w:space="0" w:color="000000"/>
              <w:right w:val="single" w:sz="8" w:space="0" w:color="auto"/>
            </w:tcBorders>
            <w:vAlign w:val="center"/>
            <w:hideMark/>
          </w:tcPr>
          <w:p w14:paraId="68E43568" w14:textId="77777777" w:rsidR="00F77F6C" w:rsidRPr="002926D7" w:rsidRDefault="00F77F6C" w:rsidP="002926D7">
            <w:pPr>
              <w:contextualSpacing/>
              <w:jc w:val="left"/>
              <w:rPr>
                <w:rFonts w:eastAsia="Times New Roman" w:cs="Calibri"/>
                <w:b/>
                <w:bCs/>
                <w:color w:val="000000"/>
                <w:sz w:val="14"/>
                <w:szCs w:val="14"/>
              </w:rPr>
            </w:pPr>
          </w:p>
        </w:tc>
      </w:tr>
      <w:tr w:rsidR="00170617" w:rsidRPr="002926D7" w14:paraId="431E0EAC" w14:textId="77777777" w:rsidTr="002926D7">
        <w:trPr>
          <w:trHeight w:val="288"/>
          <w:jc w:val="center"/>
        </w:trPr>
        <w:tc>
          <w:tcPr>
            <w:tcW w:w="423" w:type="pct"/>
            <w:vMerge w:val="restart"/>
            <w:tcBorders>
              <w:top w:val="nil"/>
              <w:left w:val="single" w:sz="8" w:space="0" w:color="auto"/>
              <w:right w:val="single" w:sz="8" w:space="0" w:color="auto"/>
            </w:tcBorders>
            <w:vAlign w:val="center"/>
          </w:tcPr>
          <w:p w14:paraId="12F31F61" w14:textId="0194FF5F" w:rsidR="00A25129" w:rsidRPr="002926D7" w:rsidRDefault="00A25129"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 xml:space="preserve">Component 1: Strategic Planning and Multi-Stakeholder Governance   </w:t>
            </w:r>
          </w:p>
        </w:tc>
        <w:tc>
          <w:tcPr>
            <w:tcW w:w="454" w:type="pct"/>
            <w:vMerge w:val="restart"/>
            <w:tcBorders>
              <w:top w:val="nil"/>
              <w:left w:val="nil"/>
              <w:right w:val="nil"/>
            </w:tcBorders>
            <w:noWrap/>
            <w:vAlign w:val="bottom"/>
          </w:tcPr>
          <w:p w14:paraId="14078304" w14:textId="68C0BEE9" w:rsidR="00A25129" w:rsidRPr="002926D7" w:rsidRDefault="00A25129"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Outcome  1.1. Enabling environment strengthened for effective community-driven integrated approaches</w:t>
            </w:r>
          </w:p>
        </w:tc>
        <w:tc>
          <w:tcPr>
            <w:tcW w:w="454" w:type="pct"/>
            <w:vMerge w:val="restart"/>
            <w:tcBorders>
              <w:top w:val="nil"/>
              <w:left w:val="single" w:sz="8" w:space="0" w:color="auto"/>
              <w:bottom w:val="nil"/>
              <w:right w:val="single" w:sz="8" w:space="0" w:color="auto"/>
            </w:tcBorders>
            <w:vAlign w:val="center"/>
            <w:hideMark/>
          </w:tcPr>
          <w:p w14:paraId="7F39DB75" w14:textId="77777777" w:rsidR="00A25129" w:rsidRPr="002926D7" w:rsidRDefault="00A25129"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Output 1.1.1. Country programme strategies developed and National Steering Committees in effective operation.</w:t>
            </w:r>
          </w:p>
        </w:tc>
        <w:tc>
          <w:tcPr>
            <w:tcW w:w="273" w:type="pct"/>
            <w:vMerge w:val="restart"/>
            <w:tcBorders>
              <w:top w:val="nil"/>
              <w:left w:val="single" w:sz="8" w:space="0" w:color="auto"/>
              <w:bottom w:val="nil"/>
              <w:right w:val="single" w:sz="8" w:space="0" w:color="auto"/>
            </w:tcBorders>
            <w:vAlign w:val="center"/>
            <w:hideMark/>
          </w:tcPr>
          <w:p w14:paraId="69A521BF" w14:textId="77777777" w:rsidR="00A25129" w:rsidRPr="002926D7" w:rsidRDefault="00A25129"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UNDP</w:t>
            </w:r>
          </w:p>
        </w:tc>
        <w:tc>
          <w:tcPr>
            <w:tcW w:w="273" w:type="pct"/>
            <w:vMerge w:val="restart"/>
            <w:tcBorders>
              <w:top w:val="nil"/>
              <w:left w:val="single" w:sz="8" w:space="0" w:color="auto"/>
              <w:bottom w:val="nil"/>
              <w:right w:val="single" w:sz="8" w:space="0" w:color="auto"/>
            </w:tcBorders>
            <w:vAlign w:val="center"/>
            <w:hideMark/>
          </w:tcPr>
          <w:p w14:paraId="7F0C7B2B"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62000</w:t>
            </w:r>
          </w:p>
        </w:tc>
        <w:tc>
          <w:tcPr>
            <w:tcW w:w="273" w:type="pct"/>
            <w:vMerge w:val="restart"/>
            <w:tcBorders>
              <w:top w:val="nil"/>
              <w:left w:val="single" w:sz="8" w:space="0" w:color="auto"/>
              <w:bottom w:val="nil"/>
              <w:right w:val="single" w:sz="8" w:space="0" w:color="auto"/>
            </w:tcBorders>
            <w:vAlign w:val="center"/>
            <w:hideMark/>
          </w:tcPr>
          <w:p w14:paraId="1CDE1836" w14:textId="77777777" w:rsidR="00A25129" w:rsidRPr="002926D7" w:rsidRDefault="00A25129" w:rsidP="002926D7">
            <w:pPr>
              <w:ind w:right="-8"/>
              <w:contextualSpacing/>
              <w:jc w:val="left"/>
              <w:rPr>
                <w:rFonts w:eastAsia="Times New Roman" w:cs="Calibri"/>
                <w:i/>
                <w:iCs/>
                <w:color w:val="000000"/>
                <w:sz w:val="14"/>
                <w:szCs w:val="14"/>
              </w:rPr>
            </w:pPr>
            <w:r w:rsidRPr="002926D7">
              <w:rPr>
                <w:rFonts w:eastAsia="Times New Roman" w:cs="Calibri"/>
                <w:i/>
                <w:iCs/>
                <w:color w:val="000000"/>
                <w:sz w:val="14"/>
                <w:szCs w:val="14"/>
              </w:rPr>
              <w:t>10003</w:t>
            </w:r>
          </w:p>
        </w:tc>
        <w:tc>
          <w:tcPr>
            <w:tcW w:w="275" w:type="pct"/>
            <w:tcBorders>
              <w:top w:val="nil"/>
              <w:left w:val="nil"/>
              <w:bottom w:val="single" w:sz="8" w:space="0" w:color="auto"/>
              <w:right w:val="single" w:sz="8" w:space="0" w:color="auto"/>
            </w:tcBorders>
            <w:vAlign w:val="center"/>
            <w:hideMark/>
          </w:tcPr>
          <w:p w14:paraId="0F537F33"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71200</w:t>
            </w:r>
          </w:p>
        </w:tc>
        <w:tc>
          <w:tcPr>
            <w:tcW w:w="334" w:type="pct"/>
            <w:tcBorders>
              <w:top w:val="nil"/>
              <w:left w:val="nil"/>
              <w:bottom w:val="single" w:sz="8" w:space="0" w:color="auto"/>
              <w:right w:val="single" w:sz="8" w:space="0" w:color="auto"/>
            </w:tcBorders>
            <w:vAlign w:val="center"/>
            <w:hideMark/>
          </w:tcPr>
          <w:p w14:paraId="1143881E"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International Consultants</w:t>
            </w:r>
          </w:p>
        </w:tc>
        <w:tc>
          <w:tcPr>
            <w:tcW w:w="363" w:type="pct"/>
            <w:tcBorders>
              <w:top w:val="nil"/>
              <w:left w:val="nil"/>
              <w:bottom w:val="single" w:sz="8" w:space="0" w:color="auto"/>
              <w:right w:val="single" w:sz="8" w:space="0" w:color="auto"/>
            </w:tcBorders>
            <w:noWrap/>
            <w:vAlign w:val="center"/>
            <w:hideMark/>
          </w:tcPr>
          <w:p w14:paraId="66C9B067"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$15,760 </w:t>
            </w:r>
          </w:p>
        </w:tc>
        <w:tc>
          <w:tcPr>
            <w:tcW w:w="364" w:type="pct"/>
            <w:tcBorders>
              <w:top w:val="nil"/>
              <w:left w:val="nil"/>
              <w:bottom w:val="single" w:sz="8" w:space="0" w:color="auto"/>
              <w:right w:val="single" w:sz="8" w:space="0" w:color="auto"/>
            </w:tcBorders>
            <w:noWrap/>
            <w:vAlign w:val="center"/>
            <w:hideMark/>
          </w:tcPr>
          <w:p w14:paraId="62814086"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$21,351 </w:t>
            </w:r>
          </w:p>
        </w:tc>
        <w:tc>
          <w:tcPr>
            <w:tcW w:w="333" w:type="pct"/>
            <w:tcBorders>
              <w:top w:val="nil"/>
              <w:left w:val="nil"/>
              <w:bottom w:val="single" w:sz="8" w:space="0" w:color="auto"/>
              <w:right w:val="single" w:sz="8" w:space="0" w:color="auto"/>
            </w:tcBorders>
            <w:noWrap/>
            <w:vAlign w:val="center"/>
            <w:hideMark/>
          </w:tcPr>
          <w:p w14:paraId="13953E1B"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$9,660 </w:t>
            </w:r>
          </w:p>
        </w:tc>
        <w:tc>
          <w:tcPr>
            <w:tcW w:w="334" w:type="pct"/>
            <w:tcBorders>
              <w:top w:val="nil"/>
              <w:left w:val="nil"/>
              <w:bottom w:val="single" w:sz="8" w:space="0" w:color="auto"/>
              <w:right w:val="single" w:sz="8" w:space="0" w:color="auto"/>
            </w:tcBorders>
            <w:noWrap/>
            <w:vAlign w:val="center"/>
            <w:hideMark/>
          </w:tcPr>
          <w:p w14:paraId="5F7C5B16"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$2,541 </w:t>
            </w:r>
          </w:p>
        </w:tc>
        <w:tc>
          <w:tcPr>
            <w:tcW w:w="276" w:type="pct"/>
            <w:tcBorders>
              <w:top w:val="nil"/>
              <w:left w:val="nil"/>
              <w:bottom w:val="single" w:sz="8" w:space="0" w:color="auto"/>
              <w:right w:val="single" w:sz="8" w:space="0" w:color="auto"/>
            </w:tcBorders>
            <w:noWrap/>
            <w:vAlign w:val="center"/>
            <w:hideMark/>
          </w:tcPr>
          <w:p w14:paraId="40BF4D8F"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$1,525 </w:t>
            </w:r>
          </w:p>
        </w:tc>
        <w:tc>
          <w:tcPr>
            <w:tcW w:w="391" w:type="pct"/>
            <w:gridSpan w:val="2"/>
            <w:tcBorders>
              <w:top w:val="nil"/>
              <w:left w:val="nil"/>
              <w:bottom w:val="single" w:sz="8" w:space="0" w:color="auto"/>
              <w:right w:val="single" w:sz="8" w:space="0" w:color="auto"/>
            </w:tcBorders>
            <w:noWrap/>
            <w:vAlign w:val="center"/>
            <w:hideMark/>
          </w:tcPr>
          <w:p w14:paraId="060F3661"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$50,836 </w:t>
            </w:r>
          </w:p>
        </w:tc>
        <w:tc>
          <w:tcPr>
            <w:tcW w:w="181" w:type="pct"/>
            <w:tcBorders>
              <w:top w:val="nil"/>
              <w:left w:val="nil"/>
              <w:bottom w:val="single" w:sz="8" w:space="0" w:color="auto"/>
              <w:right w:val="single" w:sz="8" w:space="0" w:color="auto"/>
            </w:tcBorders>
            <w:noWrap/>
            <w:vAlign w:val="center"/>
            <w:hideMark/>
          </w:tcPr>
          <w:p w14:paraId="10A5C909"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2</w:t>
            </w:r>
          </w:p>
        </w:tc>
      </w:tr>
      <w:tr w:rsidR="00170617" w:rsidRPr="002926D7" w14:paraId="290F092B" w14:textId="77777777" w:rsidTr="002926D7">
        <w:trPr>
          <w:trHeight w:val="288"/>
          <w:jc w:val="center"/>
        </w:trPr>
        <w:tc>
          <w:tcPr>
            <w:tcW w:w="423" w:type="pct"/>
            <w:vMerge/>
            <w:tcBorders>
              <w:left w:val="single" w:sz="8" w:space="0" w:color="auto"/>
              <w:right w:val="single" w:sz="8" w:space="0" w:color="auto"/>
            </w:tcBorders>
            <w:vAlign w:val="center"/>
          </w:tcPr>
          <w:p w14:paraId="7325C35C" w14:textId="14A463CA"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nil"/>
            </w:tcBorders>
            <w:noWrap/>
            <w:vAlign w:val="bottom"/>
          </w:tcPr>
          <w:p w14:paraId="0AC48953" w14:textId="39861AD9"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nil"/>
              <w:right w:val="single" w:sz="8" w:space="0" w:color="auto"/>
            </w:tcBorders>
            <w:vAlign w:val="center"/>
            <w:hideMark/>
          </w:tcPr>
          <w:p w14:paraId="30D4F405"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nil"/>
              <w:right w:val="single" w:sz="8" w:space="0" w:color="auto"/>
            </w:tcBorders>
            <w:vAlign w:val="center"/>
            <w:hideMark/>
          </w:tcPr>
          <w:p w14:paraId="74A22680"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nil"/>
              <w:right w:val="single" w:sz="8" w:space="0" w:color="auto"/>
            </w:tcBorders>
            <w:vAlign w:val="center"/>
            <w:hideMark/>
          </w:tcPr>
          <w:p w14:paraId="0BABEFAB"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nil"/>
              <w:right w:val="single" w:sz="8" w:space="0" w:color="auto"/>
            </w:tcBorders>
            <w:vAlign w:val="center"/>
            <w:hideMark/>
          </w:tcPr>
          <w:p w14:paraId="5E162DA3"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13E1C11A"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71300</w:t>
            </w:r>
          </w:p>
        </w:tc>
        <w:tc>
          <w:tcPr>
            <w:tcW w:w="334" w:type="pct"/>
            <w:tcBorders>
              <w:top w:val="nil"/>
              <w:left w:val="nil"/>
              <w:bottom w:val="single" w:sz="8" w:space="0" w:color="auto"/>
              <w:right w:val="single" w:sz="8" w:space="0" w:color="auto"/>
            </w:tcBorders>
            <w:vAlign w:val="center"/>
            <w:hideMark/>
          </w:tcPr>
          <w:p w14:paraId="56B9B1B9"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Local Consultants</w:t>
            </w:r>
          </w:p>
        </w:tc>
        <w:tc>
          <w:tcPr>
            <w:tcW w:w="363" w:type="pct"/>
            <w:tcBorders>
              <w:top w:val="nil"/>
              <w:left w:val="nil"/>
              <w:bottom w:val="single" w:sz="8" w:space="0" w:color="auto"/>
              <w:right w:val="single" w:sz="8" w:space="0" w:color="auto"/>
            </w:tcBorders>
            <w:noWrap/>
            <w:vAlign w:val="center"/>
            <w:hideMark/>
          </w:tcPr>
          <w:p w14:paraId="2CE3F7A6"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$63,109 </w:t>
            </w:r>
          </w:p>
        </w:tc>
        <w:tc>
          <w:tcPr>
            <w:tcW w:w="364" w:type="pct"/>
            <w:tcBorders>
              <w:top w:val="nil"/>
              <w:left w:val="nil"/>
              <w:bottom w:val="single" w:sz="8" w:space="0" w:color="auto"/>
              <w:right w:val="single" w:sz="8" w:space="0" w:color="auto"/>
            </w:tcBorders>
            <w:noWrap/>
            <w:vAlign w:val="center"/>
            <w:hideMark/>
          </w:tcPr>
          <w:p w14:paraId="40A0754B"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$85,497 </w:t>
            </w:r>
          </w:p>
        </w:tc>
        <w:tc>
          <w:tcPr>
            <w:tcW w:w="333" w:type="pct"/>
            <w:tcBorders>
              <w:top w:val="nil"/>
              <w:left w:val="nil"/>
              <w:bottom w:val="single" w:sz="8" w:space="0" w:color="auto"/>
              <w:right w:val="single" w:sz="8" w:space="0" w:color="auto"/>
            </w:tcBorders>
            <w:noWrap/>
            <w:vAlign w:val="center"/>
            <w:hideMark/>
          </w:tcPr>
          <w:p w14:paraId="66C09DDA"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$38,681 </w:t>
            </w:r>
          </w:p>
        </w:tc>
        <w:tc>
          <w:tcPr>
            <w:tcW w:w="334" w:type="pct"/>
            <w:tcBorders>
              <w:top w:val="nil"/>
              <w:left w:val="nil"/>
              <w:bottom w:val="single" w:sz="8" w:space="0" w:color="auto"/>
              <w:right w:val="single" w:sz="8" w:space="0" w:color="auto"/>
            </w:tcBorders>
            <w:noWrap/>
            <w:vAlign w:val="center"/>
            <w:hideMark/>
          </w:tcPr>
          <w:p w14:paraId="0674ABB6"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$10,175 </w:t>
            </w:r>
          </w:p>
        </w:tc>
        <w:tc>
          <w:tcPr>
            <w:tcW w:w="276" w:type="pct"/>
            <w:tcBorders>
              <w:top w:val="nil"/>
              <w:left w:val="nil"/>
              <w:bottom w:val="single" w:sz="8" w:space="0" w:color="auto"/>
              <w:right w:val="single" w:sz="8" w:space="0" w:color="auto"/>
            </w:tcBorders>
            <w:noWrap/>
            <w:vAlign w:val="center"/>
            <w:hideMark/>
          </w:tcPr>
          <w:p w14:paraId="44EC0DBA"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$6,107 </w:t>
            </w:r>
          </w:p>
        </w:tc>
        <w:tc>
          <w:tcPr>
            <w:tcW w:w="391" w:type="pct"/>
            <w:gridSpan w:val="2"/>
            <w:tcBorders>
              <w:top w:val="nil"/>
              <w:left w:val="nil"/>
              <w:bottom w:val="single" w:sz="8" w:space="0" w:color="auto"/>
              <w:right w:val="single" w:sz="8" w:space="0" w:color="auto"/>
            </w:tcBorders>
            <w:noWrap/>
            <w:vAlign w:val="center"/>
            <w:hideMark/>
          </w:tcPr>
          <w:p w14:paraId="2ED783A5"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$203,569 </w:t>
            </w:r>
          </w:p>
        </w:tc>
        <w:tc>
          <w:tcPr>
            <w:tcW w:w="181" w:type="pct"/>
            <w:tcBorders>
              <w:top w:val="nil"/>
              <w:left w:val="nil"/>
              <w:bottom w:val="single" w:sz="8" w:space="0" w:color="auto"/>
              <w:right w:val="single" w:sz="8" w:space="0" w:color="auto"/>
            </w:tcBorders>
            <w:noWrap/>
            <w:vAlign w:val="center"/>
            <w:hideMark/>
          </w:tcPr>
          <w:p w14:paraId="1CE21A13"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3</w:t>
            </w:r>
          </w:p>
        </w:tc>
      </w:tr>
      <w:tr w:rsidR="00170617" w:rsidRPr="002926D7" w14:paraId="7E18EC4D" w14:textId="77777777" w:rsidTr="002926D7">
        <w:trPr>
          <w:trHeight w:val="288"/>
          <w:jc w:val="center"/>
        </w:trPr>
        <w:tc>
          <w:tcPr>
            <w:tcW w:w="423" w:type="pct"/>
            <w:vMerge/>
            <w:tcBorders>
              <w:left w:val="single" w:sz="8" w:space="0" w:color="auto"/>
              <w:right w:val="single" w:sz="8" w:space="0" w:color="auto"/>
            </w:tcBorders>
            <w:vAlign w:val="center"/>
          </w:tcPr>
          <w:p w14:paraId="40DF8E4A" w14:textId="70DE9870"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nil"/>
            </w:tcBorders>
            <w:noWrap/>
            <w:vAlign w:val="bottom"/>
          </w:tcPr>
          <w:p w14:paraId="5B62744A" w14:textId="714DD217"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nil"/>
              <w:right w:val="single" w:sz="8" w:space="0" w:color="auto"/>
            </w:tcBorders>
            <w:vAlign w:val="center"/>
            <w:hideMark/>
          </w:tcPr>
          <w:p w14:paraId="6B1418B1"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nil"/>
              <w:right w:val="single" w:sz="8" w:space="0" w:color="auto"/>
            </w:tcBorders>
            <w:vAlign w:val="center"/>
            <w:hideMark/>
          </w:tcPr>
          <w:p w14:paraId="7D042805"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nil"/>
              <w:right w:val="single" w:sz="8" w:space="0" w:color="auto"/>
            </w:tcBorders>
            <w:vAlign w:val="center"/>
            <w:hideMark/>
          </w:tcPr>
          <w:p w14:paraId="23805369"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nil"/>
              <w:right w:val="single" w:sz="8" w:space="0" w:color="auto"/>
            </w:tcBorders>
            <w:vAlign w:val="center"/>
            <w:hideMark/>
          </w:tcPr>
          <w:p w14:paraId="0D0CA5E9"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3945890D"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71400</w:t>
            </w:r>
          </w:p>
        </w:tc>
        <w:tc>
          <w:tcPr>
            <w:tcW w:w="334" w:type="pct"/>
            <w:tcBorders>
              <w:top w:val="nil"/>
              <w:left w:val="nil"/>
              <w:bottom w:val="single" w:sz="8" w:space="0" w:color="auto"/>
              <w:right w:val="single" w:sz="8" w:space="0" w:color="auto"/>
            </w:tcBorders>
            <w:vAlign w:val="center"/>
            <w:hideMark/>
          </w:tcPr>
          <w:p w14:paraId="3BA79469"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Contractual Services - Individ</w:t>
            </w:r>
          </w:p>
        </w:tc>
        <w:tc>
          <w:tcPr>
            <w:tcW w:w="363" w:type="pct"/>
            <w:tcBorders>
              <w:top w:val="nil"/>
              <w:left w:val="nil"/>
              <w:bottom w:val="single" w:sz="8" w:space="0" w:color="auto"/>
              <w:right w:val="single" w:sz="8" w:space="0" w:color="auto"/>
            </w:tcBorders>
            <w:noWrap/>
            <w:vAlign w:val="center"/>
            <w:hideMark/>
          </w:tcPr>
          <w:p w14:paraId="26F54E12"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$950,378 </w:t>
            </w:r>
          </w:p>
        </w:tc>
        <w:tc>
          <w:tcPr>
            <w:tcW w:w="364" w:type="pct"/>
            <w:tcBorders>
              <w:top w:val="nil"/>
              <w:left w:val="nil"/>
              <w:bottom w:val="single" w:sz="8" w:space="0" w:color="auto"/>
              <w:right w:val="single" w:sz="8" w:space="0" w:color="auto"/>
            </w:tcBorders>
            <w:noWrap/>
            <w:vAlign w:val="center"/>
            <w:hideMark/>
          </w:tcPr>
          <w:p w14:paraId="2BC0DEC8"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$1,287,539 </w:t>
            </w:r>
          </w:p>
        </w:tc>
        <w:tc>
          <w:tcPr>
            <w:tcW w:w="333" w:type="pct"/>
            <w:tcBorders>
              <w:top w:val="nil"/>
              <w:left w:val="nil"/>
              <w:bottom w:val="single" w:sz="8" w:space="0" w:color="auto"/>
              <w:right w:val="single" w:sz="8" w:space="0" w:color="auto"/>
            </w:tcBorders>
            <w:noWrap/>
            <w:vAlign w:val="center"/>
            <w:hideMark/>
          </w:tcPr>
          <w:p w14:paraId="212F7B1F"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$582,510 </w:t>
            </w:r>
          </w:p>
        </w:tc>
        <w:tc>
          <w:tcPr>
            <w:tcW w:w="334" w:type="pct"/>
            <w:tcBorders>
              <w:top w:val="nil"/>
              <w:left w:val="nil"/>
              <w:bottom w:val="single" w:sz="8" w:space="0" w:color="auto"/>
              <w:right w:val="single" w:sz="8" w:space="0" w:color="auto"/>
            </w:tcBorders>
            <w:noWrap/>
            <w:vAlign w:val="center"/>
            <w:hideMark/>
          </w:tcPr>
          <w:p w14:paraId="35930D48"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$153,227 </w:t>
            </w:r>
          </w:p>
        </w:tc>
        <w:tc>
          <w:tcPr>
            <w:tcW w:w="276" w:type="pct"/>
            <w:tcBorders>
              <w:top w:val="nil"/>
              <w:left w:val="nil"/>
              <w:bottom w:val="single" w:sz="8" w:space="0" w:color="auto"/>
              <w:right w:val="single" w:sz="8" w:space="0" w:color="auto"/>
            </w:tcBorders>
            <w:noWrap/>
            <w:vAlign w:val="center"/>
            <w:hideMark/>
          </w:tcPr>
          <w:p w14:paraId="657165C3"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$91,967 </w:t>
            </w:r>
          </w:p>
        </w:tc>
        <w:tc>
          <w:tcPr>
            <w:tcW w:w="391" w:type="pct"/>
            <w:gridSpan w:val="2"/>
            <w:tcBorders>
              <w:top w:val="nil"/>
              <w:left w:val="nil"/>
              <w:bottom w:val="single" w:sz="8" w:space="0" w:color="auto"/>
              <w:right w:val="single" w:sz="8" w:space="0" w:color="auto"/>
            </w:tcBorders>
            <w:noWrap/>
            <w:vAlign w:val="center"/>
            <w:hideMark/>
          </w:tcPr>
          <w:p w14:paraId="4A59C52D"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$3,065,621 </w:t>
            </w:r>
          </w:p>
        </w:tc>
        <w:tc>
          <w:tcPr>
            <w:tcW w:w="181" w:type="pct"/>
            <w:tcBorders>
              <w:top w:val="nil"/>
              <w:left w:val="nil"/>
              <w:bottom w:val="single" w:sz="8" w:space="0" w:color="auto"/>
              <w:right w:val="single" w:sz="8" w:space="0" w:color="auto"/>
            </w:tcBorders>
            <w:noWrap/>
            <w:vAlign w:val="center"/>
            <w:hideMark/>
          </w:tcPr>
          <w:p w14:paraId="70EE394B"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5</w:t>
            </w:r>
          </w:p>
        </w:tc>
      </w:tr>
      <w:tr w:rsidR="00170617" w:rsidRPr="002926D7" w14:paraId="53B17F91" w14:textId="77777777" w:rsidTr="002926D7">
        <w:trPr>
          <w:trHeight w:val="288"/>
          <w:jc w:val="center"/>
        </w:trPr>
        <w:tc>
          <w:tcPr>
            <w:tcW w:w="423" w:type="pct"/>
            <w:vMerge/>
            <w:tcBorders>
              <w:left w:val="single" w:sz="8" w:space="0" w:color="auto"/>
              <w:right w:val="single" w:sz="8" w:space="0" w:color="auto"/>
            </w:tcBorders>
            <w:vAlign w:val="center"/>
          </w:tcPr>
          <w:p w14:paraId="1D2E4222" w14:textId="2B1C84E1"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nil"/>
            </w:tcBorders>
            <w:noWrap/>
            <w:vAlign w:val="bottom"/>
          </w:tcPr>
          <w:p w14:paraId="12ABC515" w14:textId="57363F87"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nil"/>
              <w:right w:val="single" w:sz="8" w:space="0" w:color="auto"/>
            </w:tcBorders>
            <w:vAlign w:val="center"/>
            <w:hideMark/>
          </w:tcPr>
          <w:p w14:paraId="62B468FB"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nil"/>
              <w:right w:val="single" w:sz="8" w:space="0" w:color="auto"/>
            </w:tcBorders>
            <w:vAlign w:val="center"/>
            <w:hideMark/>
          </w:tcPr>
          <w:p w14:paraId="3E2C416C"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nil"/>
              <w:right w:val="single" w:sz="8" w:space="0" w:color="auto"/>
            </w:tcBorders>
            <w:vAlign w:val="center"/>
            <w:hideMark/>
          </w:tcPr>
          <w:p w14:paraId="42D696B7"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nil"/>
              <w:right w:val="single" w:sz="8" w:space="0" w:color="auto"/>
            </w:tcBorders>
            <w:vAlign w:val="center"/>
            <w:hideMark/>
          </w:tcPr>
          <w:p w14:paraId="3D60B316"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41C32D35"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71600</w:t>
            </w:r>
          </w:p>
        </w:tc>
        <w:tc>
          <w:tcPr>
            <w:tcW w:w="334" w:type="pct"/>
            <w:tcBorders>
              <w:top w:val="nil"/>
              <w:left w:val="nil"/>
              <w:bottom w:val="single" w:sz="8" w:space="0" w:color="auto"/>
              <w:right w:val="single" w:sz="8" w:space="0" w:color="auto"/>
            </w:tcBorders>
            <w:vAlign w:val="center"/>
            <w:hideMark/>
          </w:tcPr>
          <w:p w14:paraId="77AA1867"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Travel</w:t>
            </w:r>
          </w:p>
        </w:tc>
        <w:tc>
          <w:tcPr>
            <w:tcW w:w="363" w:type="pct"/>
            <w:tcBorders>
              <w:top w:val="nil"/>
              <w:left w:val="nil"/>
              <w:bottom w:val="single" w:sz="8" w:space="0" w:color="auto"/>
              <w:right w:val="single" w:sz="8" w:space="0" w:color="auto"/>
            </w:tcBorders>
            <w:noWrap/>
            <w:vAlign w:val="center"/>
            <w:hideMark/>
          </w:tcPr>
          <w:p w14:paraId="53771291"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$103,119 </w:t>
            </w:r>
          </w:p>
        </w:tc>
        <w:tc>
          <w:tcPr>
            <w:tcW w:w="364" w:type="pct"/>
            <w:tcBorders>
              <w:top w:val="nil"/>
              <w:left w:val="nil"/>
              <w:bottom w:val="single" w:sz="8" w:space="0" w:color="auto"/>
              <w:right w:val="single" w:sz="8" w:space="0" w:color="auto"/>
            </w:tcBorders>
            <w:noWrap/>
            <w:vAlign w:val="center"/>
            <w:hideMark/>
          </w:tcPr>
          <w:p w14:paraId="1A1014ED"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$139,702 </w:t>
            </w:r>
          </w:p>
        </w:tc>
        <w:tc>
          <w:tcPr>
            <w:tcW w:w="333" w:type="pct"/>
            <w:tcBorders>
              <w:top w:val="nil"/>
              <w:left w:val="nil"/>
              <w:bottom w:val="single" w:sz="8" w:space="0" w:color="auto"/>
              <w:right w:val="single" w:sz="8" w:space="0" w:color="auto"/>
            </w:tcBorders>
            <w:noWrap/>
            <w:vAlign w:val="center"/>
            <w:hideMark/>
          </w:tcPr>
          <w:p w14:paraId="75FF902D"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$63,204 </w:t>
            </w:r>
          </w:p>
        </w:tc>
        <w:tc>
          <w:tcPr>
            <w:tcW w:w="334" w:type="pct"/>
            <w:tcBorders>
              <w:top w:val="nil"/>
              <w:left w:val="nil"/>
              <w:bottom w:val="single" w:sz="8" w:space="0" w:color="auto"/>
              <w:right w:val="single" w:sz="8" w:space="0" w:color="auto"/>
            </w:tcBorders>
            <w:noWrap/>
            <w:vAlign w:val="center"/>
            <w:hideMark/>
          </w:tcPr>
          <w:p w14:paraId="684B0482"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$16,626 </w:t>
            </w:r>
          </w:p>
        </w:tc>
        <w:tc>
          <w:tcPr>
            <w:tcW w:w="276" w:type="pct"/>
            <w:tcBorders>
              <w:top w:val="nil"/>
              <w:left w:val="nil"/>
              <w:bottom w:val="single" w:sz="8" w:space="0" w:color="auto"/>
              <w:right w:val="single" w:sz="8" w:space="0" w:color="auto"/>
            </w:tcBorders>
            <w:noWrap/>
            <w:vAlign w:val="center"/>
            <w:hideMark/>
          </w:tcPr>
          <w:p w14:paraId="20F8DA4D"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$9,979 </w:t>
            </w:r>
          </w:p>
        </w:tc>
        <w:tc>
          <w:tcPr>
            <w:tcW w:w="391" w:type="pct"/>
            <w:gridSpan w:val="2"/>
            <w:tcBorders>
              <w:top w:val="nil"/>
              <w:left w:val="nil"/>
              <w:bottom w:val="single" w:sz="8" w:space="0" w:color="auto"/>
              <w:right w:val="single" w:sz="8" w:space="0" w:color="auto"/>
            </w:tcBorders>
            <w:noWrap/>
            <w:vAlign w:val="center"/>
            <w:hideMark/>
          </w:tcPr>
          <w:p w14:paraId="05DB851B"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$332,630 </w:t>
            </w:r>
          </w:p>
        </w:tc>
        <w:tc>
          <w:tcPr>
            <w:tcW w:w="181" w:type="pct"/>
            <w:tcBorders>
              <w:top w:val="nil"/>
              <w:left w:val="nil"/>
              <w:bottom w:val="single" w:sz="8" w:space="0" w:color="auto"/>
              <w:right w:val="single" w:sz="8" w:space="0" w:color="auto"/>
            </w:tcBorders>
            <w:noWrap/>
            <w:vAlign w:val="center"/>
            <w:hideMark/>
          </w:tcPr>
          <w:p w14:paraId="518E1B13"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7</w:t>
            </w:r>
          </w:p>
        </w:tc>
      </w:tr>
      <w:tr w:rsidR="00170617" w:rsidRPr="002926D7" w14:paraId="5546E8EC" w14:textId="77777777" w:rsidTr="002926D7">
        <w:trPr>
          <w:trHeight w:val="288"/>
          <w:jc w:val="center"/>
        </w:trPr>
        <w:tc>
          <w:tcPr>
            <w:tcW w:w="423" w:type="pct"/>
            <w:vMerge/>
            <w:tcBorders>
              <w:left w:val="single" w:sz="8" w:space="0" w:color="auto"/>
              <w:right w:val="single" w:sz="8" w:space="0" w:color="auto"/>
            </w:tcBorders>
            <w:vAlign w:val="center"/>
          </w:tcPr>
          <w:p w14:paraId="5B77CB72" w14:textId="36C52918"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nil"/>
            </w:tcBorders>
            <w:noWrap/>
            <w:vAlign w:val="bottom"/>
          </w:tcPr>
          <w:p w14:paraId="1DC4B23A" w14:textId="28CA4B56"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nil"/>
              <w:right w:val="single" w:sz="8" w:space="0" w:color="auto"/>
            </w:tcBorders>
            <w:vAlign w:val="center"/>
            <w:hideMark/>
          </w:tcPr>
          <w:p w14:paraId="1DF61E6F"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nil"/>
              <w:right w:val="single" w:sz="8" w:space="0" w:color="auto"/>
            </w:tcBorders>
            <w:vAlign w:val="center"/>
            <w:hideMark/>
          </w:tcPr>
          <w:p w14:paraId="05FA471E"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nil"/>
              <w:right w:val="single" w:sz="8" w:space="0" w:color="auto"/>
            </w:tcBorders>
            <w:vAlign w:val="center"/>
            <w:hideMark/>
          </w:tcPr>
          <w:p w14:paraId="6D87059D"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nil"/>
              <w:right w:val="single" w:sz="8" w:space="0" w:color="auto"/>
            </w:tcBorders>
            <w:vAlign w:val="center"/>
            <w:hideMark/>
          </w:tcPr>
          <w:p w14:paraId="6FEF4F52"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4AC2DD39"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72500</w:t>
            </w:r>
          </w:p>
        </w:tc>
        <w:tc>
          <w:tcPr>
            <w:tcW w:w="334" w:type="pct"/>
            <w:tcBorders>
              <w:top w:val="nil"/>
              <w:left w:val="nil"/>
              <w:bottom w:val="single" w:sz="8" w:space="0" w:color="auto"/>
              <w:right w:val="single" w:sz="8" w:space="0" w:color="auto"/>
            </w:tcBorders>
            <w:vAlign w:val="center"/>
            <w:hideMark/>
          </w:tcPr>
          <w:p w14:paraId="30ADA4DB"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Supplies</w:t>
            </w:r>
          </w:p>
        </w:tc>
        <w:tc>
          <w:tcPr>
            <w:tcW w:w="363" w:type="pct"/>
            <w:tcBorders>
              <w:top w:val="nil"/>
              <w:left w:val="nil"/>
              <w:bottom w:val="single" w:sz="8" w:space="0" w:color="auto"/>
              <w:right w:val="single" w:sz="8" w:space="0" w:color="auto"/>
            </w:tcBorders>
            <w:noWrap/>
            <w:vAlign w:val="center"/>
            <w:hideMark/>
          </w:tcPr>
          <w:p w14:paraId="109A3489"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$3,984 </w:t>
            </w:r>
          </w:p>
        </w:tc>
        <w:tc>
          <w:tcPr>
            <w:tcW w:w="364" w:type="pct"/>
            <w:tcBorders>
              <w:top w:val="nil"/>
              <w:left w:val="nil"/>
              <w:bottom w:val="single" w:sz="8" w:space="0" w:color="auto"/>
              <w:right w:val="single" w:sz="8" w:space="0" w:color="auto"/>
            </w:tcBorders>
            <w:noWrap/>
            <w:vAlign w:val="center"/>
            <w:hideMark/>
          </w:tcPr>
          <w:p w14:paraId="06DE307C"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$5,398 </w:t>
            </w:r>
          </w:p>
        </w:tc>
        <w:tc>
          <w:tcPr>
            <w:tcW w:w="333" w:type="pct"/>
            <w:tcBorders>
              <w:top w:val="nil"/>
              <w:left w:val="nil"/>
              <w:bottom w:val="single" w:sz="8" w:space="0" w:color="auto"/>
              <w:right w:val="single" w:sz="8" w:space="0" w:color="auto"/>
            </w:tcBorders>
            <w:noWrap/>
            <w:vAlign w:val="center"/>
            <w:hideMark/>
          </w:tcPr>
          <w:p w14:paraId="14F6A7D1"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$2,442 </w:t>
            </w:r>
          </w:p>
        </w:tc>
        <w:tc>
          <w:tcPr>
            <w:tcW w:w="334" w:type="pct"/>
            <w:tcBorders>
              <w:top w:val="nil"/>
              <w:left w:val="nil"/>
              <w:bottom w:val="single" w:sz="8" w:space="0" w:color="auto"/>
              <w:right w:val="single" w:sz="8" w:space="0" w:color="auto"/>
            </w:tcBorders>
            <w:noWrap/>
            <w:vAlign w:val="center"/>
            <w:hideMark/>
          </w:tcPr>
          <w:p w14:paraId="5590BB31"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$642 </w:t>
            </w:r>
          </w:p>
        </w:tc>
        <w:tc>
          <w:tcPr>
            <w:tcW w:w="276" w:type="pct"/>
            <w:tcBorders>
              <w:top w:val="nil"/>
              <w:left w:val="nil"/>
              <w:bottom w:val="single" w:sz="8" w:space="0" w:color="auto"/>
              <w:right w:val="single" w:sz="8" w:space="0" w:color="auto"/>
            </w:tcBorders>
            <w:noWrap/>
            <w:vAlign w:val="center"/>
            <w:hideMark/>
          </w:tcPr>
          <w:p w14:paraId="2C6A1E78"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$386 </w:t>
            </w:r>
          </w:p>
        </w:tc>
        <w:tc>
          <w:tcPr>
            <w:tcW w:w="391" w:type="pct"/>
            <w:gridSpan w:val="2"/>
            <w:tcBorders>
              <w:top w:val="nil"/>
              <w:left w:val="nil"/>
              <w:bottom w:val="single" w:sz="8" w:space="0" w:color="auto"/>
              <w:right w:val="single" w:sz="8" w:space="0" w:color="auto"/>
            </w:tcBorders>
            <w:noWrap/>
            <w:vAlign w:val="center"/>
            <w:hideMark/>
          </w:tcPr>
          <w:p w14:paraId="7E1FA8FF"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$12,853 </w:t>
            </w:r>
          </w:p>
        </w:tc>
        <w:tc>
          <w:tcPr>
            <w:tcW w:w="181" w:type="pct"/>
            <w:tcBorders>
              <w:top w:val="nil"/>
              <w:left w:val="nil"/>
              <w:bottom w:val="single" w:sz="8" w:space="0" w:color="auto"/>
              <w:right w:val="single" w:sz="8" w:space="0" w:color="auto"/>
            </w:tcBorders>
            <w:noWrap/>
            <w:vAlign w:val="center"/>
            <w:hideMark/>
          </w:tcPr>
          <w:p w14:paraId="1FA342D0"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10</w:t>
            </w:r>
          </w:p>
        </w:tc>
      </w:tr>
      <w:tr w:rsidR="00170617" w:rsidRPr="002926D7" w14:paraId="3E909A11" w14:textId="77777777" w:rsidTr="002926D7">
        <w:trPr>
          <w:trHeight w:val="288"/>
          <w:jc w:val="center"/>
        </w:trPr>
        <w:tc>
          <w:tcPr>
            <w:tcW w:w="423" w:type="pct"/>
            <w:vMerge/>
            <w:tcBorders>
              <w:left w:val="single" w:sz="8" w:space="0" w:color="auto"/>
              <w:right w:val="single" w:sz="8" w:space="0" w:color="auto"/>
            </w:tcBorders>
            <w:vAlign w:val="center"/>
          </w:tcPr>
          <w:p w14:paraId="1C628AE4" w14:textId="19CF26B7"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nil"/>
            </w:tcBorders>
            <w:noWrap/>
            <w:vAlign w:val="bottom"/>
          </w:tcPr>
          <w:p w14:paraId="0B77088D" w14:textId="7D78A9C1"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nil"/>
              <w:right w:val="single" w:sz="8" w:space="0" w:color="auto"/>
            </w:tcBorders>
            <w:vAlign w:val="center"/>
            <w:hideMark/>
          </w:tcPr>
          <w:p w14:paraId="708FB3C7"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nil"/>
              <w:right w:val="single" w:sz="8" w:space="0" w:color="auto"/>
            </w:tcBorders>
            <w:vAlign w:val="center"/>
            <w:hideMark/>
          </w:tcPr>
          <w:p w14:paraId="53F0E017"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nil"/>
              <w:right w:val="single" w:sz="8" w:space="0" w:color="auto"/>
            </w:tcBorders>
            <w:vAlign w:val="center"/>
            <w:hideMark/>
          </w:tcPr>
          <w:p w14:paraId="5AD1A380"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nil"/>
              <w:right w:val="single" w:sz="8" w:space="0" w:color="auto"/>
            </w:tcBorders>
            <w:vAlign w:val="center"/>
            <w:hideMark/>
          </w:tcPr>
          <w:p w14:paraId="377A5AD7"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6BFBAED0"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75700</w:t>
            </w:r>
          </w:p>
        </w:tc>
        <w:tc>
          <w:tcPr>
            <w:tcW w:w="334" w:type="pct"/>
            <w:tcBorders>
              <w:top w:val="nil"/>
              <w:left w:val="nil"/>
              <w:bottom w:val="single" w:sz="8" w:space="0" w:color="auto"/>
              <w:right w:val="single" w:sz="8" w:space="0" w:color="auto"/>
            </w:tcBorders>
            <w:vAlign w:val="center"/>
            <w:hideMark/>
          </w:tcPr>
          <w:p w14:paraId="316E510F"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Training, Workshops and Confer</w:t>
            </w:r>
          </w:p>
        </w:tc>
        <w:tc>
          <w:tcPr>
            <w:tcW w:w="363" w:type="pct"/>
            <w:tcBorders>
              <w:top w:val="nil"/>
              <w:left w:val="nil"/>
              <w:bottom w:val="single" w:sz="8" w:space="0" w:color="auto"/>
              <w:right w:val="single" w:sz="8" w:space="0" w:color="auto"/>
            </w:tcBorders>
            <w:noWrap/>
            <w:vAlign w:val="center"/>
            <w:hideMark/>
          </w:tcPr>
          <w:p w14:paraId="70286AB6"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$20,171 </w:t>
            </w:r>
          </w:p>
        </w:tc>
        <w:tc>
          <w:tcPr>
            <w:tcW w:w="364" w:type="pct"/>
            <w:tcBorders>
              <w:top w:val="nil"/>
              <w:left w:val="nil"/>
              <w:bottom w:val="single" w:sz="8" w:space="0" w:color="auto"/>
              <w:right w:val="single" w:sz="8" w:space="0" w:color="auto"/>
            </w:tcBorders>
            <w:noWrap/>
            <w:vAlign w:val="center"/>
            <w:hideMark/>
          </w:tcPr>
          <w:p w14:paraId="5992C625"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$27,327 </w:t>
            </w:r>
          </w:p>
        </w:tc>
        <w:tc>
          <w:tcPr>
            <w:tcW w:w="333" w:type="pct"/>
            <w:tcBorders>
              <w:top w:val="nil"/>
              <w:left w:val="nil"/>
              <w:bottom w:val="single" w:sz="8" w:space="0" w:color="auto"/>
              <w:right w:val="single" w:sz="8" w:space="0" w:color="auto"/>
            </w:tcBorders>
            <w:noWrap/>
            <w:vAlign w:val="center"/>
            <w:hideMark/>
          </w:tcPr>
          <w:p w14:paraId="6EC8675C"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$12,364 </w:t>
            </w:r>
          </w:p>
        </w:tc>
        <w:tc>
          <w:tcPr>
            <w:tcW w:w="334" w:type="pct"/>
            <w:tcBorders>
              <w:top w:val="nil"/>
              <w:left w:val="nil"/>
              <w:bottom w:val="single" w:sz="8" w:space="0" w:color="auto"/>
              <w:right w:val="single" w:sz="8" w:space="0" w:color="auto"/>
            </w:tcBorders>
            <w:noWrap/>
            <w:vAlign w:val="center"/>
            <w:hideMark/>
          </w:tcPr>
          <w:p w14:paraId="1932202C"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$3,252 </w:t>
            </w:r>
          </w:p>
        </w:tc>
        <w:tc>
          <w:tcPr>
            <w:tcW w:w="276" w:type="pct"/>
            <w:tcBorders>
              <w:top w:val="nil"/>
              <w:left w:val="nil"/>
              <w:bottom w:val="single" w:sz="8" w:space="0" w:color="auto"/>
              <w:right w:val="single" w:sz="8" w:space="0" w:color="auto"/>
            </w:tcBorders>
            <w:noWrap/>
            <w:vAlign w:val="center"/>
            <w:hideMark/>
          </w:tcPr>
          <w:p w14:paraId="3308F341"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$1,952 </w:t>
            </w:r>
          </w:p>
        </w:tc>
        <w:tc>
          <w:tcPr>
            <w:tcW w:w="391" w:type="pct"/>
            <w:gridSpan w:val="2"/>
            <w:tcBorders>
              <w:top w:val="nil"/>
              <w:left w:val="nil"/>
              <w:bottom w:val="single" w:sz="8" w:space="0" w:color="auto"/>
              <w:right w:val="single" w:sz="8" w:space="0" w:color="auto"/>
            </w:tcBorders>
            <w:noWrap/>
            <w:vAlign w:val="center"/>
            <w:hideMark/>
          </w:tcPr>
          <w:p w14:paraId="7968D216"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$65,067 </w:t>
            </w:r>
          </w:p>
        </w:tc>
        <w:tc>
          <w:tcPr>
            <w:tcW w:w="181" w:type="pct"/>
            <w:tcBorders>
              <w:top w:val="nil"/>
              <w:left w:val="nil"/>
              <w:bottom w:val="single" w:sz="8" w:space="0" w:color="auto"/>
              <w:right w:val="single" w:sz="8" w:space="0" w:color="auto"/>
            </w:tcBorders>
            <w:noWrap/>
            <w:vAlign w:val="center"/>
            <w:hideMark/>
          </w:tcPr>
          <w:p w14:paraId="45508F27"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6</w:t>
            </w:r>
          </w:p>
        </w:tc>
      </w:tr>
      <w:tr w:rsidR="00170617" w:rsidRPr="002926D7" w14:paraId="3CF00D09" w14:textId="77777777" w:rsidTr="002926D7">
        <w:trPr>
          <w:trHeight w:val="288"/>
          <w:jc w:val="center"/>
        </w:trPr>
        <w:tc>
          <w:tcPr>
            <w:tcW w:w="423" w:type="pct"/>
            <w:vMerge/>
            <w:tcBorders>
              <w:left w:val="single" w:sz="8" w:space="0" w:color="auto"/>
              <w:right w:val="single" w:sz="8" w:space="0" w:color="auto"/>
            </w:tcBorders>
            <w:vAlign w:val="center"/>
          </w:tcPr>
          <w:p w14:paraId="4C736248" w14:textId="758482C0"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nil"/>
            </w:tcBorders>
            <w:noWrap/>
            <w:vAlign w:val="bottom"/>
          </w:tcPr>
          <w:p w14:paraId="018E3169" w14:textId="2892155D"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nil"/>
              <w:right w:val="single" w:sz="8" w:space="0" w:color="auto"/>
            </w:tcBorders>
            <w:vAlign w:val="center"/>
            <w:hideMark/>
          </w:tcPr>
          <w:p w14:paraId="470A4709"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nil"/>
              <w:right w:val="single" w:sz="8" w:space="0" w:color="auto"/>
            </w:tcBorders>
            <w:vAlign w:val="center"/>
            <w:hideMark/>
          </w:tcPr>
          <w:p w14:paraId="7053FF75"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nil"/>
              <w:right w:val="single" w:sz="8" w:space="0" w:color="auto"/>
            </w:tcBorders>
            <w:vAlign w:val="center"/>
            <w:hideMark/>
          </w:tcPr>
          <w:p w14:paraId="617C12FA"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nil"/>
              <w:right w:val="single" w:sz="8" w:space="0" w:color="auto"/>
            </w:tcBorders>
            <w:vAlign w:val="center"/>
            <w:hideMark/>
          </w:tcPr>
          <w:p w14:paraId="6FF0FB2D"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0AE0DEF1"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61200</w:t>
            </w:r>
          </w:p>
        </w:tc>
        <w:tc>
          <w:tcPr>
            <w:tcW w:w="334" w:type="pct"/>
            <w:tcBorders>
              <w:top w:val="nil"/>
              <w:left w:val="nil"/>
              <w:bottom w:val="single" w:sz="8" w:space="0" w:color="auto"/>
              <w:right w:val="single" w:sz="8" w:space="0" w:color="auto"/>
            </w:tcBorders>
            <w:vAlign w:val="center"/>
            <w:hideMark/>
          </w:tcPr>
          <w:p w14:paraId="6FD5851C"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Salaries Costs - GS Staff</w:t>
            </w:r>
          </w:p>
        </w:tc>
        <w:tc>
          <w:tcPr>
            <w:tcW w:w="363" w:type="pct"/>
            <w:tcBorders>
              <w:top w:val="nil"/>
              <w:left w:val="nil"/>
              <w:bottom w:val="single" w:sz="8" w:space="0" w:color="auto"/>
              <w:right w:val="single" w:sz="8" w:space="0" w:color="auto"/>
            </w:tcBorders>
            <w:noWrap/>
            <w:vAlign w:val="center"/>
            <w:hideMark/>
          </w:tcPr>
          <w:p w14:paraId="6D6080E6"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$128,520 </w:t>
            </w:r>
          </w:p>
        </w:tc>
        <w:tc>
          <w:tcPr>
            <w:tcW w:w="364" w:type="pct"/>
            <w:tcBorders>
              <w:top w:val="nil"/>
              <w:left w:val="nil"/>
              <w:bottom w:val="single" w:sz="8" w:space="0" w:color="auto"/>
              <w:right w:val="single" w:sz="8" w:space="0" w:color="auto"/>
            </w:tcBorders>
            <w:noWrap/>
            <w:vAlign w:val="center"/>
            <w:hideMark/>
          </w:tcPr>
          <w:p w14:paraId="2A3DEFF7"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$174,114 </w:t>
            </w:r>
          </w:p>
        </w:tc>
        <w:tc>
          <w:tcPr>
            <w:tcW w:w="333" w:type="pct"/>
            <w:tcBorders>
              <w:top w:val="nil"/>
              <w:left w:val="nil"/>
              <w:bottom w:val="single" w:sz="8" w:space="0" w:color="auto"/>
              <w:right w:val="single" w:sz="8" w:space="0" w:color="auto"/>
            </w:tcBorders>
            <w:noWrap/>
            <w:vAlign w:val="center"/>
            <w:hideMark/>
          </w:tcPr>
          <w:p w14:paraId="252BACAD"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$78,773 </w:t>
            </w:r>
          </w:p>
        </w:tc>
        <w:tc>
          <w:tcPr>
            <w:tcW w:w="334" w:type="pct"/>
            <w:tcBorders>
              <w:top w:val="nil"/>
              <w:left w:val="nil"/>
              <w:bottom w:val="single" w:sz="8" w:space="0" w:color="auto"/>
              <w:right w:val="single" w:sz="8" w:space="0" w:color="auto"/>
            </w:tcBorders>
            <w:noWrap/>
            <w:vAlign w:val="center"/>
            <w:hideMark/>
          </w:tcPr>
          <w:p w14:paraId="178C2970"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$20,721 </w:t>
            </w:r>
          </w:p>
        </w:tc>
        <w:tc>
          <w:tcPr>
            <w:tcW w:w="276" w:type="pct"/>
            <w:tcBorders>
              <w:top w:val="nil"/>
              <w:left w:val="nil"/>
              <w:bottom w:val="single" w:sz="8" w:space="0" w:color="auto"/>
              <w:right w:val="single" w:sz="8" w:space="0" w:color="auto"/>
            </w:tcBorders>
            <w:noWrap/>
            <w:vAlign w:val="center"/>
            <w:hideMark/>
          </w:tcPr>
          <w:p w14:paraId="771E7730"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$12,437 </w:t>
            </w:r>
          </w:p>
        </w:tc>
        <w:tc>
          <w:tcPr>
            <w:tcW w:w="391" w:type="pct"/>
            <w:gridSpan w:val="2"/>
            <w:tcBorders>
              <w:top w:val="nil"/>
              <w:left w:val="nil"/>
              <w:bottom w:val="single" w:sz="8" w:space="0" w:color="auto"/>
              <w:right w:val="single" w:sz="8" w:space="0" w:color="auto"/>
            </w:tcBorders>
            <w:noWrap/>
            <w:vAlign w:val="center"/>
            <w:hideMark/>
          </w:tcPr>
          <w:p w14:paraId="66CF73E8"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$414,564 </w:t>
            </w:r>
          </w:p>
        </w:tc>
        <w:tc>
          <w:tcPr>
            <w:tcW w:w="181" w:type="pct"/>
            <w:tcBorders>
              <w:top w:val="nil"/>
              <w:left w:val="nil"/>
              <w:bottom w:val="single" w:sz="8" w:space="0" w:color="auto"/>
              <w:right w:val="single" w:sz="8" w:space="0" w:color="auto"/>
            </w:tcBorders>
            <w:noWrap/>
            <w:vAlign w:val="center"/>
            <w:hideMark/>
          </w:tcPr>
          <w:p w14:paraId="3F9E74B5"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4</w:t>
            </w:r>
          </w:p>
        </w:tc>
      </w:tr>
      <w:tr w:rsidR="00170617" w:rsidRPr="002926D7" w14:paraId="2F0CF58B" w14:textId="77777777" w:rsidTr="002926D7">
        <w:trPr>
          <w:trHeight w:val="288"/>
          <w:jc w:val="center"/>
        </w:trPr>
        <w:tc>
          <w:tcPr>
            <w:tcW w:w="423" w:type="pct"/>
            <w:vMerge/>
            <w:tcBorders>
              <w:left w:val="single" w:sz="8" w:space="0" w:color="auto"/>
              <w:right w:val="single" w:sz="8" w:space="0" w:color="auto"/>
            </w:tcBorders>
            <w:vAlign w:val="center"/>
          </w:tcPr>
          <w:p w14:paraId="6030DE78" w14:textId="5DA703CE"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nil"/>
            </w:tcBorders>
            <w:noWrap/>
            <w:vAlign w:val="bottom"/>
          </w:tcPr>
          <w:p w14:paraId="4DD39761" w14:textId="7C04DB58"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nil"/>
              <w:right w:val="single" w:sz="8" w:space="0" w:color="auto"/>
            </w:tcBorders>
            <w:vAlign w:val="center"/>
            <w:hideMark/>
          </w:tcPr>
          <w:p w14:paraId="496352C2"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nil"/>
              <w:right w:val="single" w:sz="8" w:space="0" w:color="auto"/>
            </w:tcBorders>
            <w:vAlign w:val="center"/>
            <w:hideMark/>
          </w:tcPr>
          <w:p w14:paraId="026AB33F"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nil"/>
              <w:right w:val="single" w:sz="8" w:space="0" w:color="auto"/>
            </w:tcBorders>
            <w:vAlign w:val="center"/>
            <w:hideMark/>
          </w:tcPr>
          <w:p w14:paraId="526B3866"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nil"/>
              <w:right w:val="single" w:sz="8" w:space="0" w:color="auto"/>
            </w:tcBorders>
            <w:vAlign w:val="center"/>
            <w:hideMark/>
          </w:tcPr>
          <w:p w14:paraId="765F89F4"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4A3C51DF"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61300</w:t>
            </w:r>
          </w:p>
        </w:tc>
        <w:tc>
          <w:tcPr>
            <w:tcW w:w="334" w:type="pct"/>
            <w:tcBorders>
              <w:top w:val="nil"/>
              <w:left w:val="nil"/>
              <w:bottom w:val="single" w:sz="8" w:space="0" w:color="auto"/>
              <w:right w:val="single" w:sz="8" w:space="0" w:color="auto"/>
            </w:tcBorders>
            <w:vAlign w:val="center"/>
            <w:hideMark/>
          </w:tcPr>
          <w:p w14:paraId="071DB826"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 xml:space="preserve"> Salary &amp; Post Adj Cst-IP Staff</w:t>
            </w:r>
          </w:p>
        </w:tc>
        <w:tc>
          <w:tcPr>
            <w:tcW w:w="363" w:type="pct"/>
            <w:tcBorders>
              <w:top w:val="nil"/>
              <w:left w:val="nil"/>
              <w:bottom w:val="single" w:sz="8" w:space="0" w:color="auto"/>
              <w:right w:val="single" w:sz="8" w:space="0" w:color="auto"/>
            </w:tcBorders>
            <w:noWrap/>
            <w:vAlign w:val="center"/>
            <w:hideMark/>
          </w:tcPr>
          <w:p w14:paraId="1A2E3F02"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$234,984 </w:t>
            </w:r>
          </w:p>
        </w:tc>
        <w:tc>
          <w:tcPr>
            <w:tcW w:w="364" w:type="pct"/>
            <w:tcBorders>
              <w:top w:val="nil"/>
              <w:left w:val="nil"/>
              <w:bottom w:val="single" w:sz="8" w:space="0" w:color="auto"/>
              <w:right w:val="single" w:sz="8" w:space="0" w:color="auto"/>
            </w:tcBorders>
            <w:noWrap/>
            <w:vAlign w:val="center"/>
            <w:hideMark/>
          </w:tcPr>
          <w:p w14:paraId="7B33E1DA"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$318,348 </w:t>
            </w:r>
          </w:p>
        </w:tc>
        <w:tc>
          <w:tcPr>
            <w:tcW w:w="333" w:type="pct"/>
            <w:tcBorders>
              <w:top w:val="nil"/>
              <w:left w:val="nil"/>
              <w:bottom w:val="single" w:sz="8" w:space="0" w:color="auto"/>
              <w:right w:val="single" w:sz="8" w:space="0" w:color="auto"/>
            </w:tcBorders>
            <w:noWrap/>
            <w:vAlign w:val="center"/>
            <w:hideMark/>
          </w:tcPr>
          <w:p w14:paraId="106C55E5"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$144,027 </w:t>
            </w:r>
          </w:p>
        </w:tc>
        <w:tc>
          <w:tcPr>
            <w:tcW w:w="334" w:type="pct"/>
            <w:tcBorders>
              <w:top w:val="nil"/>
              <w:left w:val="nil"/>
              <w:bottom w:val="single" w:sz="8" w:space="0" w:color="auto"/>
              <w:right w:val="single" w:sz="8" w:space="0" w:color="auto"/>
            </w:tcBorders>
            <w:noWrap/>
            <w:vAlign w:val="center"/>
            <w:hideMark/>
          </w:tcPr>
          <w:p w14:paraId="2727E2AC"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$37,886 </w:t>
            </w:r>
          </w:p>
        </w:tc>
        <w:tc>
          <w:tcPr>
            <w:tcW w:w="276" w:type="pct"/>
            <w:tcBorders>
              <w:top w:val="nil"/>
              <w:left w:val="nil"/>
              <w:bottom w:val="single" w:sz="8" w:space="0" w:color="auto"/>
              <w:right w:val="single" w:sz="8" w:space="0" w:color="auto"/>
            </w:tcBorders>
            <w:noWrap/>
            <w:vAlign w:val="center"/>
            <w:hideMark/>
          </w:tcPr>
          <w:p w14:paraId="402FA7F7"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$22,739 </w:t>
            </w:r>
          </w:p>
        </w:tc>
        <w:tc>
          <w:tcPr>
            <w:tcW w:w="391" w:type="pct"/>
            <w:gridSpan w:val="2"/>
            <w:tcBorders>
              <w:top w:val="nil"/>
              <w:left w:val="nil"/>
              <w:bottom w:val="single" w:sz="8" w:space="0" w:color="auto"/>
              <w:right w:val="single" w:sz="8" w:space="0" w:color="auto"/>
            </w:tcBorders>
            <w:noWrap/>
            <w:vAlign w:val="center"/>
            <w:hideMark/>
          </w:tcPr>
          <w:p w14:paraId="7F4B9381"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$757,984 </w:t>
            </w:r>
          </w:p>
        </w:tc>
        <w:tc>
          <w:tcPr>
            <w:tcW w:w="181" w:type="pct"/>
            <w:tcBorders>
              <w:top w:val="nil"/>
              <w:left w:val="nil"/>
              <w:bottom w:val="single" w:sz="8" w:space="0" w:color="auto"/>
              <w:right w:val="single" w:sz="8" w:space="0" w:color="auto"/>
            </w:tcBorders>
            <w:noWrap/>
            <w:vAlign w:val="center"/>
            <w:hideMark/>
          </w:tcPr>
          <w:p w14:paraId="1166C7D5"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4</w:t>
            </w:r>
          </w:p>
        </w:tc>
      </w:tr>
      <w:tr w:rsidR="00170617" w:rsidRPr="002926D7" w14:paraId="10352A2D" w14:textId="77777777" w:rsidTr="002926D7">
        <w:trPr>
          <w:trHeight w:val="288"/>
          <w:jc w:val="center"/>
        </w:trPr>
        <w:tc>
          <w:tcPr>
            <w:tcW w:w="423" w:type="pct"/>
            <w:vMerge/>
            <w:tcBorders>
              <w:left w:val="single" w:sz="8" w:space="0" w:color="auto"/>
              <w:right w:val="single" w:sz="8" w:space="0" w:color="auto"/>
            </w:tcBorders>
            <w:vAlign w:val="center"/>
          </w:tcPr>
          <w:p w14:paraId="1F34B40F" w14:textId="257B7354"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nil"/>
            </w:tcBorders>
            <w:noWrap/>
            <w:vAlign w:val="bottom"/>
          </w:tcPr>
          <w:p w14:paraId="43EC5FC4" w14:textId="24D738B4"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nil"/>
              <w:right w:val="single" w:sz="8" w:space="0" w:color="auto"/>
            </w:tcBorders>
            <w:vAlign w:val="center"/>
            <w:hideMark/>
          </w:tcPr>
          <w:p w14:paraId="5E22C482" w14:textId="77777777" w:rsidR="00A25129" w:rsidRPr="002926D7" w:rsidRDefault="00A25129" w:rsidP="002926D7">
            <w:pPr>
              <w:contextualSpacing/>
              <w:jc w:val="left"/>
              <w:rPr>
                <w:rFonts w:eastAsia="Times New Roman" w:cs="Calibri"/>
                <w:i/>
                <w:iCs/>
                <w:color w:val="000000"/>
                <w:sz w:val="14"/>
                <w:szCs w:val="14"/>
              </w:rPr>
            </w:pPr>
          </w:p>
        </w:tc>
        <w:tc>
          <w:tcPr>
            <w:tcW w:w="1428" w:type="pct"/>
            <w:gridSpan w:val="5"/>
            <w:tcBorders>
              <w:top w:val="single" w:sz="8" w:space="0" w:color="auto"/>
              <w:left w:val="nil"/>
              <w:bottom w:val="single" w:sz="8" w:space="0" w:color="auto"/>
              <w:right w:val="nil"/>
            </w:tcBorders>
            <w:vAlign w:val="center"/>
            <w:hideMark/>
          </w:tcPr>
          <w:p w14:paraId="76D9950D" w14:textId="77777777" w:rsidR="00A25129" w:rsidRPr="002926D7" w:rsidRDefault="00A25129" w:rsidP="002926D7">
            <w:pPr>
              <w:ind w:right="-8"/>
              <w:contextualSpacing/>
              <w:rPr>
                <w:rFonts w:eastAsia="Times New Roman" w:cs="Calibri"/>
                <w:b/>
                <w:bCs/>
                <w:i/>
                <w:iCs/>
                <w:color w:val="000000"/>
                <w:sz w:val="14"/>
                <w:szCs w:val="14"/>
              </w:rPr>
            </w:pPr>
            <w:r w:rsidRPr="002926D7">
              <w:rPr>
                <w:rFonts w:eastAsia="Times New Roman" w:cs="Calibri"/>
                <w:b/>
                <w:bCs/>
                <w:i/>
                <w:iCs/>
                <w:color w:val="000000"/>
                <w:sz w:val="14"/>
                <w:szCs w:val="14"/>
              </w:rPr>
              <w:t>Total UNDP</w:t>
            </w:r>
          </w:p>
        </w:tc>
        <w:tc>
          <w:tcPr>
            <w:tcW w:w="363" w:type="pct"/>
            <w:tcBorders>
              <w:top w:val="nil"/>
              <w:left w:val="nil"/>
              <w:bottom w:val="single" w:sz="8" w:space="0" w:color="auto"/>
              <w:right w:val="single" w:sz="8" w:space="0" w:color="auto"/>
            </w:tcBorders>
            <w:noWrap/>
            <w:vAlign w:val="center"/>
            <w:hideMark/>
          </w:tcPr>
          <w:p w14:paraId="14380E29"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$1,520,025 </w:t>
            </w:r>
          </w:p>
        </w:tc>
        <w:tc>
          <w:tcPr>
            <w:tcW w:w="364" w:type="pct"/>
            <w:tcBorders>
              <w:top w:val="nil"/>
              <w:left w:val="nil"/>
              <w:bottom w:val="single" w:sz="8" w:space="0" w:color="auto"/>
              <w:right w:val="single" w:sz="8" w:space="0" w:color="auto"/>
            </w:tcBorders>
            <w:noWrap/>
            <w:vAlign w:val="center"/>
            <w:hideMark/>
          </w:tcPr>
          <w:p w14:paraId="4583E6E1"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$2,059,277 </w:t>
            </w:r>
          </w:p>
        </w:tc>
        <w:tc>
          <w:tcPr>
            <w:tcW w:w="333" w:type="pct"/>
            <w:tcBorders>
              <w:top w:val="nil"/>
              <w:left w:val="nil"/>
              <w:bottom w:val="single" w:sz="8" w:space="0" w:color="auto"/>
              <w:right w:val="single" w:sz="8" w:space="0" w:color="auto"/>
            </w:tcBorders>
            <w:noWrap/>
            <w:vAlign w:val="center"/>
            <w:hideMark/>
          </w:tcPr>
          <w:p w14:paraId="703D111D"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$931,660 </w:t>
            </w:r>
          </w:p>
        </w:tc>
        <w:tc>
          <w:tcPr>
            <w:tcW w:w="334" w:type="pct"/>
            <w:tcBorders>
              <w:top w:val="nil"/>
              <w:left w:val="nil"/>
              <w:bottom w:val="single" w:sz="8" w:space="0" w:color="auto"/>
              <w:right w:val="single" w:sz="8" w:space="0" w:color="auto"/>
            </w:tcBorders>
            <w:noWrap/>
            <w:vAlign w:val="center"/>
            <w:hideMark/>
          </w:tcPr>
          <w:p w14:paraId="71C67B65"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$245,069 </w:t>
            </w:r>
          </w:p>
        </w:tc>
        <w:tc>
          <w:tcPr>
            <w:tcW w:w="276" w:type="pct"/>
            <w:tcBorders>
              <w:top w:val="nil"/>
              <w:left w:val="nil"/>
              <w:bottom w:val="single" w:sz="8" w:space="0" w:color="auto"/>
              <w:right w:val="single" w:sz="8" w:space="0" w:color="auto"/>
            </w:tcBorders>
            <w:noWrap/>
            <w:vAlign w:val="center"/>
            <w:hideMark/>
          </w:tcPr>
          <w:p w14:paraId="6678C740"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$147,091 </w:t>
            </w:r>
          </w:p>
        </w:tc>
        <w:tc>
          <w:tcPr>
            <w:tcW w:w="391" w:type="pct"/>
            <w:gridSpan w:val="2"/>
            <w:tcBorders>
              <w:top w:val="nil"/>
              <w:left w:val="nil"/>
              <w:bottom w:val="single" w:sz="8" w:space="0" w:color="auto"/>
              <w:right w:val="single" w:sz="8" w:space="0" w:color="auto"/>
            </w:tcBorders>
            <w:noWrap/>
            <w:vAlign w:val="center"/>
            <w:hideMark/>
          </w:tcPr>
          <w:p w14:paraId="4280E24D"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$4,903,123 </w:t>
            </w:r>
          </w:p>
        </w:tc>
        <w:tc>
          <w:tcPr>
            <w:tcW w:w="181" w:type="pct"/>
            <w:tcBorders>
              <w:top w:val="nil"/>
              <w:left w:val="nil"/>
              <w:bottom w:val="single" w:sz="8" w:space="0" w:color="auto"/>
              <w:right w:val="single" w:sz="8" w:space="0" w:color="auto"/>
            </w:tcBorders>
            <w:noWrap/>
            <w:vAlign w:val="center"/>
            <w:hideMark/>
          </w:tcPr>
          <w:p w14:paraId="65768E12"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30E73DA6" w14:textId="77777777" w:rsidTr="002926D7">
        <w:trPr>
          <w:trHeight w:val="288"/>
          <w:jc w:val="center"/>
        </w:trPr>
        <w:tc>
          <w:tcPr>
            <w:tcW w:w="423" w:type="pct"/>
            <w:vMerge/>
            <w:tcBorders>
              <w:left w:val="single" w:sz="8" w:space="0" w:color="auto"/>
              <w:right w:val="single" w:sz="8" w:space="0" w:color="auto"/>
            </w:tcBorders>
            <w:vAlign w:val="center"/>
          </w:tcPr>
          <w:p w14:paraId="629FA775" w14:textId="44D96CAE"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nil"/>
            </w:tcBorders>
            <w:noWrap/>
            <w:vAlign w:val="bottom"/>
          </w:tcPr>
          <w:p w14:paraId="21E82CAA" w14:textId="7926D6BF" w:rsidR="00A25129" w:rsidRPr="002926D7" w:rsidRDefault="00A25129" w:rsidP="002926D7">
            <w:pPr>
              <w:contextualSpacing/>
              <w:jc w:val="left"/>
              <w:rPr>
                <w:rFonts w:eastAsia="Times New Roman" w:cs="Calibri"/>
                <w:i/>
                <w:iCs/>
                <w:color w:val="000000"/>
                <w:sz w:val="14"/>
                <w:szCs w:val="14"/>
              </w:rPr>
            </w:pPr>
          </w:p>
        </w:tc>
        <w:tc>
          <w:tcPr>
            <w:tcW w:w="1881" w:type="pct"/>
            <w:gridSpan w:val="6"/>
            <w:tcBorders>
              <w:top w:val="single" w:sz="8" w:space="0" w:color="auto"/>
              <w:left w:val="single" w:sz="8" w:space="0" w:color="auto"/>
              <w:bottom w:val="single" w:sz="8" w:space="0" w:color="auto"/>
              <w:right w:val="nil"/>
            </w:tcBorders>
            <w:vAlign w:val="center"/>
            <w:hideMark/>
          </w:tcPr>
          <w:p w14:paraId="63064495" w14:textId="77777777" w:rsidR="00A25129" w:rsidRPr="002926D7" w:rsidRDefault="00A25129" w:rsidP="002926D7">
            <w:pPr>
              <w:ind w:right="-8"/>
              <w:contextualSpacing/>
              <w:rPr>
                <w:rFonts w:eastAsia="Times New Roman" w:cs="Calibri"/>
                <w:b/>
                <w:bCs/>
                <w:i/>
                <w:iCs/>
                <w:color w:val="000000"/>
                <w:sz w:val="14"/>
                <w:szCs w:val="14"/>
              </w:rPr>
            </w:pPr>
            <w:r w:rsidRPr="002926D7">
              <w:rPr>
                <w:rFonts w:eastAsia="Times New Roman" w:cs="Calibri"/>
                <w:b/>
                <w:bCs/>
                <w:i/>
                <w:iCs/>
                <w:color w:val="000000"/>
                <w:sz w:val="14"/>
                <w:szCs w:val="14"/>
              </w:rPr>
              <w:t>Total Output 1.1.1</w:t>
            </w:r>
          </w:p>
        </w:tc>
        <w:tc>
          <w:tcPr>
            <w:tcW w:w="363" w:type="pct"/>
            <w:tcBorders>
              <w:top w:val="nil"/>
              <w:left w:val="nil"/>
              <w:bottom w:val="single" w:sz="8" w:space="0" w:color="auto"/>
              <w:right w:val="single" w:sz="8" w:space="0" w:color="auto"/>
            </w:tcBorders>
            <w:noWrap/>
            <w:vAlign w:val="center"/>
            <w:hideMark/>
          </w:tcPr>
          <w:p w14:paraId="0281E545"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$1,520,025 </w:t>
            </w:r>
          </w:p>
        </w:tc>
        <w:tc>
          <w:tcPr>
            <w:tcW w:w="364" w:type="pct"/>
            <w:tcBorders>
              <w:top w:val="nil"/>
              <w:left w:val="nil"/>
              <w:bottom w:val="single" w:sz="8" w:space="0" w:color="auto"/>
              <w:right w:val="single" w:sz="8" w:space="0" w:color="auto"/>
            </w:tcBorders>
            <w:noWrap/>
            <w:vAlign w:val="center"/>
            <w:hideMark/>
          </w:tcPr>
          <w:p w14:paraId="4C453313"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$2,059,277 </w:t>
            </w:r>
          </w:p>
        </w:tc>
        <w:tc>
          <w:tcPr>
            <w:tcW w:w="333" w:type="pct"/>
            <w:tcBorders>
              <w:top w:val="nil"/>
              <w:left w:val="nil"/>
              <w:bottom w:val="single" w:sz="8" w:space="0" w:color="auto"/>
              <w:right w:val="single" w:sz="8" w:space="0" w:color="auto"/>
            </w:tcBorders>
            <w:noWrap/>
            <w:vAlign w:val="center"/>
            <w:hideMark/>
          </w:tcPr>
          <w:p w14:paraId="15C543C9"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$931,660 </w:t>
            </w:r>
          </w:p>
        </w:tc>
        <w:tc>
          <w:tcPr>
            <w:tcW w:w="334" w:type="pct"/>
            <w:tcBorders>
              <w:top w:val="nil"/>
              <w:left w:val="nil"/>
              <w:bottom w:val="single" w:sz="8" w:space="0" w:color="auto"/>
              <w:right w:val="single" w:sz="8" w:space="0" w:color="auto"/>
            </w:tcBorders>
            <w:noWrap/>
            <w:vAlign w:val="center"/>
            <w:hideMark/>
          </w:tcPr>
          <w:p w14:paraId="4BC6455E"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$245,069 </w:t>
            </w:r>
          </w:p>
        </w:tc>
        <w:tc>
          <w:tcPr>
            <w:tcW w:w="276" w:type="pct"/>
            <w:tcBorders>
              <w:top w:val="nil"/>
              <w:left w:val="nil"/>
              <w:bottom w:val="single" w:sz="8" w:space="0" w:color="auto"/>
              <w:right w:val="single" w:sz="8" w:space="0" w:color="auto"/>
            </w:tcBorders>
            <w:noWrap/>
            <w:vAlign w:val="center"/>
            <w:hideMark/>
          </w:tcPr>
          <w:p w14:paraId="10600EB4"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$147,091 </w:t>
            </w:r>
          </w:p>
        </w:tc>
        <w:tc>
          <w:tcPr>
            <w:tcW w:w="391" w:type="pct"/>
            <w:gridSpan w:val="2"/>
            <w:tcBorders>
              <w:top w:val="nil"/>
              <w:left w:val="nil"/>
              <w:bottom w:val="single" w:sz="8" w:space="0" w:color="auto"/>
              <w:right w:val="single" w:sz="8" w:space="0" w:color="auto"/>
            </w:tcBorders>
            <w:noWrap/>
            <w:vAlign w:val="center"/>
            <w:hideMark/>
          </w:tcPr>
          <w:p w14:paraId="5020C3EA"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$4,903,123 </w:t>
            </w:r>
          </w:p>
        </w:tc>
        <w:tc>
          <w:tcPr>
            <w:tcW w:w="181" w:type="pct"/>
            <w:tcBorders>
              <w:top w:val="nil"/>
              <w:left w:val="nil"/>
              <w:bottom w:val="single" w:sz="8" w:space="0" w:color="auto"/>
              <w:right w:val="single" w:sz="8" w:space="0" w:color="auto"/>
            </w:tcBorders>
            <w:noWrap/>
            <w:vAlign w:val="center"/>
            <w:hideMark/>
          </w:tcPr>
          <w:p w14:paraId="1408CE83"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54C18F5D" w14:textId="77777777" w:rsidTr="002926D7">
        <w:trPr>
          <w:trHeight w:val="288"/>
          <w:jc w:val="center"/>
        </w:trPr>
        <w:tc>
          <w:tcPr>
            <w:tcW w:w="423" w:type="pct"/>
            <w:vMerge/>
            <w:tcBorders>
              <w:left w:val="single" w:sz="8" w:space="0" w:color="auto"/>
              <w:right w:val="single" w:sz="8" w:space="0" w:color="auto"/>
            </w:tcBorders>
            <w:vAlign w:val="center"/>
          </w:tcPr>
          <w:p w14:paraId="3234DCC7" w14:textId="671BF4D6"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nil"/>
            </w:tcBorders>
            <w:noWrap/>
            <w:vAlign w:val="bottom"/>
          </w:tcPr>
          <w:p w14:paraId="31067F1B" w14:textId="5DBB8284" w:rsidR="00A25129" w:rsidRPr="002926D7" w:rsidRDefault="00A25129" w:rsidP="002926D7">
            <w:pPr>
              <w:contextualSpacing/>
              <w:jc w:val="left"/>
              <w:rPr>
                <w:rFonts w:eastAsia="Times New Roman" w:cs="Calibri"/>
                <w:i/>
                <w:iCs/>
                <w:color w:val="000000"/>
                <w:sz w:val="14"/>
                <w:szCs w:val="14"/>
              </w:rPr>
            </w:pPr>
          </w:p>
        </w:tc>
        <w:tc>
          <w:tcPr>
            <w:tcW w:w="454" w:type="pct"/>
            <w:vMerge w:val="restart"/>
            <w:tcBorders>
              <w:top w:val="single" w:sz="8" w:space="0" w:color="auto"/>
              <w:left w:val="single" w:sz="8" w:space="0" w:color="auto"/>
              <w:bottom w:val="nil"/>
              <w:right w:val="single" w:sz="8" w:space="0" w:color="auto"/>
            </w:tcBorders>
            <w:vAlign w:val="center"/>
            <w:hideMark/>
          </w:tcPr>
          <w:p w14:paraId="61470D37" w14:textId="77777777" w:rsidR="00A25129" w:rsidRPr="002926D7" w:rsidRDefault="00A25129"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 xml:space="preserve">Output 1.1.2. Landscape-seascape strategies developed and implemented, and multi-stakeholder governance platforms established in </w:t>
            </w:r>
            <w:r w:rsidRPr="002926D7">
              <w:rPr>
                <w:rFonts w:eastAsia="Times New Roman" w:cs="Calibri"/>
                <w:i/>
                <w:iCs/>
                <w:color w:val="000000"/>
                <w:sz w:val="14"/>
                <w:szCs w:val="14"/>
              </w:rPr>
              <w:lastRenderedPageBreak/>
              <w:t>relevant countries through community and/or strategic grants.</w:t>
            </w:r>
          </w:p>
        </w:tc>
        <w:tc>
          <w:tcPr>
            <w:tcW w:w="273" w:type="pct"/>
            <w:vMerge w:val="restart"/>
            <w:tcBorders>
              <w:top w:val="single" w:sz="8" w:space="0" w:color="auto"/>
              <w:left w:val="single" w:sz="8" w:space="0" w:color="auto"/>
              <w:bottom w:val="nil"/>
              <w:right w:val="single" w:sz="8" w:space="0" w:color="auto"/>
            </w:tcBorders>
            <w:vAlign w:val="center"/>
            <w:hideMark/>
          </w:tcPr>
          <w:p w14:paraId="7DD2F216" w14:textId="77777777" w:rsidR="00A25129" w:rsidRPr="002926D7" w:rsidRDefault="00A25129"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lastRenderedPageBreak/>
              <w:t>UNDP</w:t>
            </w:r>
          </w:p>
        </w:tc>
        <w:tc>
          <w:tcPr>
            <w:tcW w:w="273" w:type="pct"/>
            <w:vMerge w:val="restart"/>
            <w:tcBorders>
              <w:top w:val="single" w:sz="8" w:space="0" w:color="auto"/>
              <w:left w:val="single" w:sz="8" w:space="0" w:color="auto"/>
              <w:bottom w:val="nil"/>
              <w:right w:val="single" w:sz="8" w:space="0" w:color="auto"/>
            </w:tcBorders>
            <w:vAlign w:val="center"/>
            <w:hideMark/>
          </w:tcPr>
          <w:p w14:paraId="209E208B"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62000</w:t>
            </w:r>
          </w:p>
        </w:tc>
        <w:tc>
          <w:tcPr>
            <w:tcW w:w="273" w:type="pct"/>
            <w:vMerge w:val="restart"/>
            <w:tcBorders>
              <w:top w:val="single" w:sz="8" w:space="0" w:color="auto"/>
              <w:left w:val="single" w:sz="8" w:space="0" w:color="auto"/>
              <w:bottom w:val="nil"/>
              <w:right w:val="single" w:sz="8" w:space="0" w:color="auto"/>
            </w:tcBorders>
            <w:vAlign w:val="center"/>
            <w:hideMark/>
          </w:tcPr>
          <w:p w14:paraId="6D53335C" w14:textId="77777777" w:rsidR="00A25129" w:rsidRPr="002926D7" w:rsidRDefault="00A25129" w:rsidP="002926D7">
            <w:pPr>
              <w:ind w:right="-8"/>
              <w:contextualSpacing/>
              <w:jc w:val="left"/>
              <w:rPr>
                <w:rFonts w:eastAsia="Times New Roman" w:cs="Calibri"/>
                <w:i/>
                <w:iCs/>
                <w:color w:val="000000"/>
                <w:sz w:val="14"/>
                <w:szCs w:val="14"/>
              </w:rPr>
            </w:pPr>
            <w:r w:rsidRPr="002926D7">
              <w:rPr>
                <w:rFonts w:eastAsia="Times New Roman" w:cs="Calibri"/>
                <w:i/>
                <w:iCs/>
                <w:color w:val="000000"/>
                <w:sz w:val="14"/>
                <w:szCs w:val="14"/>
              </w:rPr>
              <w:t>10003</w:t>
            </w:r>
          </w:p>
        </w:tc>
        <w:tc>
          <w:tcPr>
            <w:tcW w:w="275" w:type="pct"/>
            <w:tcBorders>
              <w:top w:val="nil"/>
              <w:left w:val="nil"/>
              <w:bottom w:val="single" w:sz="8" w:space="0" w:color="auto"/>
              <w:right w:val="single" w:sz="8" w:space="0" w:color="auto"/>
            </w:tcBorders>
            <w:vAlign w:val="center"/>
            <w:hideMark/>
          </w:tcPr>
          <w:p w14:paraId="2BE63979"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71200</w:t>
            </w:r>
          </w:p>
        </w:tc>
        <w:tc>
          <w:tcPr>
            <w:tcW w:w="334" w:type="pct"/>
            <w:tcBorders>
              <w:top w:val="nil"/>
              <w:left w:val="nil"/>
              <w:bottom w:val="single" w:sz="8" w:space="0" w:color="auto"/>
              <w:right w:val="single" w:sz="8" w:space="0" w:color="auto"/>
            </w:tcBorders>
            <w:vAlign w:val="center"/>
            <w:hideMark/>
          </w:tcPr>
          <w:p w14:paraId="3A37A3E9"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International Consultants</w:t>
            </w:r>
          </w:p>
        </w:tc>
        <w:tc>
          <w:tcPr>
            <w:tcW w:w="363" w:type="pct"/>
            <w:tcBorders>
              <w:top w:val="nil"/>
              <w:left w:val="nil"/>
              <w:bottom w:val="single" w:sz="8" w:space="0" w:color="auto"/>
              <w:right w:val="single" w:sz="8" w:space="0" w:color="auto"/>
            </w:tcBorders>
            <w:noWrap/>
            <w:vAlign w:val="center"/>
            <w:hideMark/>
          </w:tcPr>
          <w:p w14:paraId="0397EA07"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$7,831 </w:t>
            </w:r>
          </w:p>
        </w:tc>
        <w:tc>
          <w:tcPr>
            <w:tcW w:w="364" w:type="pct"/>
            <w:tcBorders>
              <w:top w:val="nil"/>
              <w:left w:val="nil"/>
              <w:bottom w:val="single" w:sz="8" w:space="0" w:color="auto"/>
              <w:right w:val="single" w:sz="8" w:space="0" w:color="auto"/>
            </w:tcBorders>
            <w:noWrap/>
            <w:vAlign w:val="center"/>
            <w:hideMark/>
          </w:tcPr>
          <w:p w14:paraId="75F9D3D9"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$10,609 </w:t>
            </w:r>
          </w:p>
        </w:tc>
        <w:tc>
          <w:tcPr>
            <w:tcW w:w="333" w:type="pct"/>
            <w:tcBorders>
              <w:top w:val="nil"/>
              <w:left w:val="nil"/>
              <w:bottom w:val="single" w:sz="8" w:space="0" w:color="auto"/>
              <w:right w:val="single" w:sz="8" w:space="0" w:color="auto"/>
            </w:tcBorders>
            <w:noWrap/>
            <w:vAlign w:val="center"/>
            <w:hideMark/>
          </w:tcPr>
          <w:p w14:paraId="0C412CB6"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$4,800 </w:t>
            </w:r>
          </w:p>
        </w:tc>
        <w:tc>
          <w:tcPr>
            <w:tcW w:w="334" w:type="pct"/>
            <w:tcBorders>
              <w:top w:val="nil"/>
              <w:left w:val="nil"/>
              <w:bottom w:val="single" w:sz="8" w:space="0" w:color="auto"/>
              <w:right w:val="single" w:sz="8" w:space="0" w:color="auto"/>
            </w:tcBorders>
            <w:noWrap/>
            <w:vAlign w:val="center"/>
            <w:hideMark/>
          </w:tcPr>
          <w:p w14:paraId="3B5D05C7"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$1,263 </w:t>
            </w:r>
          </w:p>
        </w:tc>
        <w:tc>
          <w:tcPr>
            <w:tcW w:w="276" w:type="pct"/>
            <w:tcBorders>
              <w:top w:val="nil"/>
              <w:left w:val="nil"/>
              <w:bottom w:val="single" w:sz="8" w:space="0" w:color="auto"/>
              <w:right w:val="single" w:sz="8" w:space="0" w:color="auto"/>
            </w:tcBorders>
            <w:noWrap/>
            <w:vAlign w:val="center"/>
            <w:hideMark/>
          </w:tcPr>
          <w:p w14:paraId="7AB37DF4"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$758 </w:t>
            </w:r>
          </w:p>
        </w:tc>
        <w:tc>
          <w:tcPr>
            <w:tcW w:w="391" w:type="pct"/>
            <w:gridSpan w:val="2"/>
            <w:tcBorders>
              <w:top w:val="nil"/>
              <w:left w:val="nil"/>
              <w:bottom w:val="single" w:sz="8" w:space="0" w:color="auto"/>
              <w:right w:val="single" w:sz="8" w:space="0" w:color="auto"/>
            </w:tcBorders>
            <w:noWrap/>
            <w:vAlign w:val="center"/>
            <w:hideMark/>
          </w:tcPr>
          <w:p w14:paraId="52F3F19A"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$25,261 </w:t>
            </w:r>
          </w:p>
        </w:tc>
        <w:tc>
          <w:tcPr>
            <w:tcW w:w="181" w:type="pct"/>
            <w:tcBorders>
              <w:top w:val="nil"/>
              <w:left w:val="nil"/>
              <w:bottom w:val="single" w:sz="8" w:space="0" w:color="auto"/>
              <w:right w:val="single" w:sz="8" w:space="0" w:color="auto"/>
            </w:tcBorders>
            <w:noWrap/>
            <w:vAlign w:val="center"/>
            <w:hideMark/>
          </w:tcPr>
          <w:p w14:paraId="73887370"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2</w:t>
            </w:r>
          </w:p>
        </w:tc>
      </w:tr>
      <w:tr w:rsidR="00170617" w:rsidRPr="002926D7" w14:paraId="76923F94" w14:textId="77777777" w:rsidTr="002926D7">
        <w:trPr>
          <w:trHeight w:val="288"/>
          <w:jc w:val="center"/>
        </w:trPr>
        <w:tc>
          <w:tcPr>
            <w:tcW w:w="423" w:type="pct"/>
            <w:vMerge/>
            <w:tcBorders>
              <w:left w:val="single" w:sz="8" w:space="0" w:color="auto"/>
              <w:right w:val="single" w:sz="8" w:space="0" w:color="auto"/>
            </w:tcBorders>
            <w:vAlign w:val="center"/>
          </w:tcPr>
          <w:p w14:paraId="20A5D068" w14:textId="14D1EF21"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nil"/>
            </w:tcBorders>
            <w:noWrap/>
            <w:vAlign w:val="bottom"/>
          </w:tcPr>
          <w:p w14:paraId="1438F5A8" w14:textId="7AE191E8"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single" w:sz="8" w:space="0" w:color="auto"/>
              <w:left w:val="single" w:sz="8" w:space="0" w:color="auto"/>
              <w:bottom w:val="nil"/>
              <w:right w:val="single" w:sz="8" w:space="0" w:color="auto"/>
            </w:tcBorders>
            <w:vAlign w:val="center"/>
            <w:hideMark/>
          </w:tcPr>
          <w:p w14:paraId="6834F9A2"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5359A041"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3065C6BD"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4B86146E"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71CA9CA5"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71300</w:t>
            </w:r>
          </w:p>
        </w:tc>
        <w:tc>
          <w:tcPr>
            <w:tcW w:w="334" w:type="pct"/>
            <w:tcBorders>
              <w:top w:val="nil"/>
              <w:left w:val="nil"/>
              <w:bottom w:val="single" w:sz="8" w:space="0" w:color="auto"/>
              <w:right w:val="single" w:sz="8" w:space="0" w:color="auto"/>
            </w:tcBorders>
            <w:vAlign w:val="center"/>
            <w:hideMark/>
          </w:tcPr>
          <w:p w14:paraId="04E85A3C"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Local Consultants</w:t>
            </w:r>
          </w:p>
        </w:tc>
        <w:tc>
          <w:tcPr>
            <w:tcW w:w="363" w:type="pct"/>
            <w:tcBorders>
              <w:top w:val="nil"/>
              <w:left w:val="nil"/>
              <w:bottom w:val="single" w:sz="8" w:space="0" w:color="auto"/>
              <w:right w:val="single" w:sz="8" w:space="0" w:color="auto"/>
            </w:tcBorders>
            <w:noWrap/>
            <w:vAlign w:val="center"/>
            <w:hideMark/>
          </w:tcPr>
          <w:p w14:paraId="60DA5FAD"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$31,358 </w:t>
            </w:r>
          </w:p>
        </w:tc>
        <w:tc>
          <w:tcPr>
            <w:tcW w:w="364" w:type="pct"/>
            <w:tcBorders>
              <w:top w:val="nil"/>
              <w:left w:val="nil"/>
              <w:bottom w:val="single" w:sz="8" w:space="0" w:color="auto"/>
              <w:right w:val="single" w:sz="8" w:space="0" w:color="auto"/>
            </w:tcBorders>
            <w:noWrap/>
            <w:vAlign w:val="center"/>
            <w:hideMark/>
          </w:tcPr>
          <w:p w14:paraId="34954C4F"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$42,484 </w:t>
            </w:r>
          </w:p>
        </w:tc>
        <w:tc>
          <w:tcPr>
            <w:tcW w:w="333" w:type="pct"/>
            <w:tcBorders>
              <w:top w:val="nil"/>
              <w:left w:val="nil"/>
              <w:bottom w:val="single" w:sz="8" w:space="0" w:color="auto"/>
              <w:right w:val="single" w:sz="8" w:space="0" w:color="auto"/>
            </w:tcBorders>
            <w:noWrap/>
            <w:vAlign w:val="center"/>
            <w:hideMark/>
          </w:tcPr>
          <w:p w14:paraId="5E9D5215"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$19,219 </w:t>
            </w:r>
          </w:p>
        </w:tc>
        <w:tc>
          <w:tcPr>
            <w:tcW w:w="334" w:type="pct"/>
            <w:tcBorders>
              <w:top w:val="nil"/>
              <w:left w:val="nil"/>
              <w:bottom w:val="single" w:sz="8" w:space="0" w:color="auto"/>
              <w:right w:val="single" w:sz="8" w:space="0" w:color="auto"/>
            </w:tcBorders>
            <w:noWrap/>
            <w:vAlign w:val="center"/>
            <w:hideMark/>
          </w:tcPr>
          <w:p w14:paraId="5462D23C"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$5,058 </w:t>
            </w:r>
          </w:p>
        </w:tc>
        <w:tc>
          <w:tcPr>
            <w:tcW w:w="276" w:type="pct"/>
            <w:tcBorders>
              <w:top w:val="nil"/>
              <w:left w:val="nil"/>
              <w:bottom w:val="single" w:sz="8" w:space="0" w:color="auto"/>
              <w:right w:val="single" w:sz="8" w:space="0" w:color="auto"/>
            </w:tcBorders>
            <w:noWrap/>
            <w:vAlign w:val="center"/>
            <w:hideMark/>
          </w:tcPr>
          <w:p w14:paraId="6E282322"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$3,035 </w:t>
            </w:r>
          </w:p>
        </w:tc>
        <w:tc>
          <w:tcPr>
            <w:tcW w:w="391" w:type="pct"/>
            <w:gridSpan w:val="2"/>
            <w:tcBorders>
              <w:top w:val="nil"/>
              <w:left w:val="nil"/>
              <w:bottom w:val="single" w:sz="8" w:space="0" w:color="auto"/>
              <w:right w:val="single" w:sz="8" w:space="0" w:color="auto"/>
            </w:tcBorders>
            <w:noWrap/>
            <w:vAlign w:val="center"/>
            <w:hideMark/>
          </w:tcPr>
          <w:p w14:paraId="14D8B94E"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$101,153 </w:t>
            </w:r>
          </w:p>
        </w:tc>
        <w:tc>
          <w:tcPr>
            <w:tcW w:w="181" w:type="pct"/>
            <w:tcBorders>
              <w:top w:val="nil"/>
              <w:left w:val="nil"/>
              <w:bottom w:val="single" w:sz="8" w:space="0" w:color="auto"/>
              <w:right w:val="single" w:sz="8" w:space="0" w:color="auto"/>
            </w:tcBorders>
            <w:noWrap/>
            <w:vAlign w:val="center"/>
            <w:hideMark/>
          </w:tcPr>
          <w:p w14:paraId="594992D1"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3</w:t>
            </w:r>
          </w:p>
        </w:tc>
      </w:tr>
      <w:tr w:rsidR="00170617" w:rsidRPr="002926D7" w14:paraId="68D450A5" w14:textId="77777777" w:rsidTr="002926D7">
        <w:trPr>
          <w:trHeight w:val="288"/>
          <w:jc w:val="center"/>
        </w:trPr>
        <w:tc>
          <w:tcPr>
            <w:tcW w:w="423" w:type="pct"/>
            <w:vMerge/>
            <w:tcBorders>
              <w:left w:val="single" w:sz="8" w:space="0" w:color="auto"/>
              <w:right w:val="single" w:sz="8" w:space="0" w:color="auto"/>
            </w:tcBorders>
            <w:vAlign w:val="center"/>
          </w:tcPr>
          <w:p w14:paraId="639E00EE" w14:textId="27AC201F"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nil"/>
            </w:tcBorders>
            <w:noWrap/>
            <w:vAlign w:val="bottom"/>
          </w:tcPr>
          <w:p w14:paraId="3F96A784" w14:textId="009365AB"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single" w:sz="8" w:space="0" w:color="auto"/>
              <w:left w:val="single" w:sz="8" w:space="0" w:color="auto"/>
              <w:bottom w:val="nil"/>
              <w:right w:val="single" w:sz="8" w:space="0" w:color="auto"/>
            </w:tcBorders>
            <w:vAlign w:val="center"/>
            <w:hideMark/>
          </w:tcPr>
          <w:p w14:paraId="11A552DD"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0E68AEF2"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610C3867"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2CDCB3FE"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29F1D252"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71400</w:t>
            </w:r>
          </w:p>
        </w:tc>
        <w:tc>
          <w:tcPr>
            <w:tcW w:w="334" w:type="pct"/>
            <w:tcBorders>
              <w:top w:val="nil"/>
              <w:left w:val="nil"/>
              <w:bottom w:val="single" w:sz="8" w:space="0" w:color="auto"/>
              <w:right w:val="single" w:sz="8" w:space="0" w:color="auto"/>
            </w:tcBorders>
            <w:vAlign w:val="center"/>
            <w:hideMark/>
          </w:tcPr>
          <w:p w14:paraId="3D1E4C5C"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Contractual Services - Individ</w:t>
            </w:r>
          </w:p>
        </w:tc>
        <w:tc>
          <w:tcPr>
            <w:tcW w:w="363" w:type="pct"/>
            <w:tcBorders>
              <w:top w:val="nil"/>
              <w:left w:val="nil"/>
              <w:bottom w:val="single" w:sz="8" w:space="0" w:color="auto"/>
              <w:right w:val="single" w:sz="8" w:space="0" w:color="auto"/>
            </w:tcBorders>
            <w:noWrap/>
            <w:vAlign w:val="center"/>
            <w:hideMark/>
          </w:tcPr>
          <w:p w14:paraId="4E644495"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$500,669 </w:t>
            </w:r>
          </w:p>
        </w:tc>
        <w:tc>
          <w:tcPr>
            <w:tcW w:w="364" w:type="pct"/>
            <w:tcBorders>
              <w:top w:val="nil"/>
              <w:left w:val="nil"/>
              <w:bottom w:val="single" w:sz="8" w:space="0" w:color="auto"/>
              <w:right w:val="single" w:sz="8" w:space="0" w:color="auto"/>
            </w:tcBorders>
            <w:noWrap/>
            <w:vAlign w:val="center"/>
            <w:hideMark/>
          </w:tcPr>
          <w:p w14:paraId="77A7D5D4"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$678,326 </w:t>
            </w:r>
          </w:p>
        </w:tc>
        <w:tc>
          <w:tcPr>
            <w:tcW w:w="333" w:type="pct"/>
            <w:tcBorders>
              <w:top w:val="nil"/>
              <w:left w:val="nil"/>
              <w:bottom w:val="single" w:sz="8" w:space="0" w:color="auto"/>
              <w:right w:val="single" w:sz="8" w:space="0" w:color="auto"/>
            </w:tcBorders>
            <w:noWrap/>
            <w:vAlign w:val="center"/>
            <w:hideMark/>
          </w:tcPr>
          <w:p w14:paraId="7CC30DB7"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$306,862 </w:t>
            </w:r>
          </w:p>
        </w:tc>
        <w:tc>
          <w:tcPr>
            <w:tcW w:w="334" w:type="pct"/>
            <w:tcBorders>
              <w:top w:val="nil"/>
              <w:left w:val="nil"/>
              <w:bottom w:val="single" w:sz="8" w:space="0" w:color="auto"/>
              <w:right w:val="single" w:sz="8" w:space="0" w:color="auto"/>
            </w:tcBorders>
            <w:noWrap/>
            <w:vAlign w:val="center"/>
            <w:hideMark/>
          </w:tcPr>
          <w:p w14:paraId="61F20E4E"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$80,753 </w:t>
            </w:r>
          </w:p>
        </w:tc>
        <w:tc>
          <w:tcPr>
            <w:tcW w:w="276" w:type="pct"/>
            <w:tcBorders>
              <w:top w:val="nil"/>
              <w:left w:val="nil"/>
              <w:bottom w:val="single" w:sz="8" w:space="0" w:color="auto"/>
              <w:right w:val="single" w:sz="8" w:space="0" w:color="auto"/>
            </w:tcBorders>
            <w:noWrap/>
            <w:vAlign w:val="center"/>
            <w:hideMark/>
          </w:tcPr>
          <w:p w14:paraId="1E1BA4AC"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$48,452 </w:t>
            </w:r>
          </w:p>
        </w:tc>
        <w:tc>
          <w:tcPr>
            <w:tcW w:w="391" w:type="pct"/>
            <w:gridSpan w:val="2"/>
            <w:tcBorders>
              <w:top w:val="nil"/>
              <w:left w:val="nil"/>
              <w:bottom w:val="single" w:sz="8" w:space="0" w:color="auto"/>
              <w:right w:val="single" w:sz="8" w:space="0" w:color="auto"/>
            </w:tcBorders>
            <w:noWrap/>
            <w:vAlign w:val="center"/>
            <w:hideMark/>
          </w:tcPr>
          <w:p w14:paraId="25892843"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$1,615,061 </w:t>
            </w:r>
          </w:p>
        </w:tc>
        <w:tc>
          <w:tcPr>
            <w:tcW w:w="181" w:type="pct"/>
            <w:tcBorders>
              <w:top w:val="nil"/>
              <w:left w:val="nil"/>
              <w:bottom w:val="single" w:sz="8" w:space="0" w:color="auto"/>
              <w:right w:val="single" w:sz="8" w:space="0" w:color="auto"/>
            </w:tcBorders>
            <w:noWrap/>
            <w:vAlign w:val="center"/>
            <w:hideMark/>
          </w:tcPr>
          <w:p w14:paraId="19DA5AA6"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5</w:t>
            </w:r>
          </w:p>
        </w:tc>
      </w:tr>
      <w:tr w:rsidR="00170617" w:rsidRPr="002926D7" w14:paraId="7259D263" w14:textId="77777777" w:rsidTr="002926D7">
        <w:trPr>
          <w:trHeight w:val="288"/>
          <w:jc w:val="center"/>
        </w:trPr>
        <w:tc>
          <w:tcPr>
            <w:tcW w:w="423" w:type="pct"/>
            <w:vMerge/>
            <w:tcBorders>
              <w:left w:val="single" w:sz="8" w:space="0" w:color="auto"/>
              <w:right w:val="single" w:sz="8" w:space="0" w:color="auto"/>
            </w:tcBorders>
            <w:vAlign w:val="center"/>
          </w:tcPr>
          <w:p w14:paraId="3426A894" w14:textId="40AE8067"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nil"/>
            </w:tcBorders>
            <w:noWrap/>
            <w:vAlign w:val="bottom"/>
          </w:tcPr>
          <w:p w14:paraId="4A1DF90D" w14:textId="0347E50F"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single" w:sz="8" w:space="0" w:color="auto"/>
              <w:left w:val="single" w:sz="8" w:space="0" w:color="auto"/>
              <w:bottom w:val="nil"/>
              <w:right w:val="single" w:sz="8" w:space="0" w:color="auto"/>
            </w:tcBorders>
            <w:vAlign w:val="center"/>
            <w:hideMark/>
          </w:tcPr>
          <w:p w14:paraId="7AE845E7"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3BCEBB7C"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04FB5499"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38E92F2D"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64C390A9"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71600</w:t>
            </w:r>
          </w:p>
        </w:tc>
        <w:tc>
          <w:tcPr>
            <w:tcW w:w="334" w:type="pct"/>
            <w:tcBorders>
              <w:top w:val="nil"/>
              <w:left w:val="nil"/>
              <w:bottom w:val="single" w:sz="8" w:space="0" w:color="auto"/>
              <w:right w:val="single" w:sz="8" w:space="0" w:color="auto"/>
            </w:tcBorders>
            <w:vAlign w:val="center"/>
            <w:hideMark/>
          </w:tcPr>
          <w:p w14:paraId="3D918FE4"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Travel</w:t>
            </w:r>
          </w:p>
        </w:tc>
        <w:tc>
          <w:tcPr>
            <w:tcW w:w="363" w:type="pct"/>
            <w:tcBorders>
              <w:top w:val="nil"/>
              <w:left w:val="nil"/>
              <w:bottom w:val="single" w:sz="8" w:space="0" w:color="auto"/>
              <w:right w:val="single" w:sz="8" w:space="0" w:color="auto"/>
            </w:tcBorders>
            <w:noWrap/>
            <w:vAlign w:val="center"/>
            <w:hideMark/>
          </w:tcPr>
          <w:p w14:paraId="1449F845"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$51,238 </w:t>
            </w:r>
          </w:p>
        </w:tc>
        <w:tc>
          <w:tcPr>
            <w:tcW w:w="364" w:type="pct"/>
            <w:tcBorders>
              <w:top w:val="nil"/>
              <w:left w:val="nil"/>
              <w:bottom w:val="single" w:sz="8" w:space="0" w:color="auto"/>
              <w:right w:val="single" w:sz="8" w:space="0" w:color="auto"/>
            </w:tcBorders>
            <w:noWrap/>
            <w:vAlign w:val="center"/>
            <w:hideMark/>
          </w:tcPr>
          <w:p w14:paraId="74C62BC1"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$69,419 </w:t>
            </w:r>
          </w:p>
        </w:tc>
        <w:tc>
          <w:tcPr>
            <w:tcW w:w="333" w:type="pct"/>
            <w:tcBorders>
              <w:top w:val="nil"/>
              <w:left w:val="nil"/>
              <w:bottom w:val="single" w:sz="8" w:space="0" w:color="auto"/>
              <w:right w:val="single" w:sz="8" w:space="0" w:color="auto"/>
            </w:tcBorders>
            <w:noWrap/>
            <w:vAlign w:val="center"/>
            <w:hideMark/>
          </w:tcPr>
          <w:p w14:paraId="71899042"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$31,404 </w:t>
            </w:r>
          </w:p>
        </w:tc>
        <w:tc>
          <w:tcPr>
            <w:tcW w:w="334" w:type="pct"/>
            <w:tcBorders>
              <w:top w:val="nil"/>
              <w:left w:val="nil"/>
              <w:bottom w:val="single" w:sz="8" w:space="0" w:color="auto"/>
              <w:right w:val="single" w:sz="8" w:space="0" w:color="auto"/>
            </w:tcBorders>
            <w:noWrap/>
            <w:vAlign w:val="center"/>
            <w:hideMark/>
          </w:tcPr>
          <w:p w14:paraId="45702BA3"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$8,264 </w:t>
            </w:r>
          </w:p>
        </w:tc>
        <w:tc>
          <w:tcPr>
            <w:tcW w:w="276" w:type="pct"/>
            <w:tcBorders>
              <w:top w:val="nil"/>
              <w:left w:val="nil"/>
              <w:bottom w:val="single" w:sz="8" w:space="0" w:color="auto"/>
              <w:right w:val="single" w:sz="8" w:space="0" w:color="auto"/>
            </w:tcBorders>
            <w:noWrap/>
            <w:vAlign w:val="center"/>
            <w:hideMark/>
          </w:tcPr>
          <w:p w14:paraId="7B46E933"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$4,959 </w:t>
            </w:r>
          </w:p>
        </w:tc>
        <w:tc>
          <w:tcPr>
            <w:tcW w:w="391" w:type="pct"/>
            <w:gridSpan w:val="2"/>
            <w:tcBorders>
              <w:top w:val="nil"/>
              <w:left w:val="nil"/>
              <w:bottom w:val="single" w:sz="8" w:space="0" w:color="auto"/>
              <w:right w:val="single" w:sz="8" w:space="0" w:color="auto"/>
            </w:tcBorders>
            <w:noWrap/>
            <w:vAlign w:val="center"/>
            <w:hideMark/>
          </w:tcPr>
          <w:p w14:paraId="6A6D3353"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$165,284 </w:t>
            </w:r>
          </w:p>
        </w:tc>
        <w:tc>
          <w:tcPr>
            <w:tcW w:w="181" w:type="pct"/>
            <w:tcBorders>
              <w:top w:val="nil"/>
              <w:left w:val="nil"/>
              <w:bottom w:val="single" w:sz="8" w:space="0" w:color="auto"/>
              <w:right w:val="single" w:sz="8" w:space="0" w:color="auto"/>
            </w:tcBorders>
            <w:noWrap/>
            <w:vAlign w:val="center"/>
            <w:hideMark/>
          </w:tcPr>
          <w:p w14:paraId="7A56E345"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7</w:t>
            </w:r>
          </w:p>
        </w:tc>
      </w:tr>
      <w:tr w:rsidR="00170617" w:rsidRPr="002926D7" w14:paraId="4CC516C8" w14:textId="77777777" w:rsidTr="002926D7">
        <w:trPr>
          <w:trHeight w:val="288"/>
          <w:jc w:val="center"/>
        </w:trPr>
        <w:tc>
          <w:tcPr>
            <w:tcW w:w="423" w:type="pct"/>
            <w:vMerge/>
            <w:tcBorders>
              <w:left w:val="single" w:sz="8" w:space="0" w:color="auto"/>
              <w:right w:val="single" w:sz="8" w:space="0" w:color="auto"/>
            </w:tcBorders>
            <w:vAlign w:val="center"/>
          </w:tcPr>
          <w:p w14:paraId="7AE917C6" w14:textId="063901E8"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nil"/>
            </w:tcBorders>
            <w:noWrap/>
            <w:vAlign w:val="bottom"/>
          </w:tcPr>
          <w:p w14:paraId="5B41F1DA" w14:textId="19A5682F"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single" w:sz="8" w:space="0" w:color="auto"/>
              <w:left w:val="single" w:sz="8" w:space="0" w:color="auto"/>
              <w:bottom w:val="nil"/>
              <w:right w:val="single" w:sz="8" w:space="0" w:color="auto"/>
            </w:tcBorders>
            <w:vAlign w:val="center"/>
            <w:hideMark/>
          </w:tcPr>
          <w:p w14:paraId="0BE819D5"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6233A77D"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72AD5F91"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003832DE"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0704256D"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72500</w:t>
            </w:r>
          </w:p>
        </w:tc>
        <w:tc>
          <w:tcPr>
            <w:tcW w:w="334" w:type="pct"/>
            <w:tcBorders>
              <w:top w:val="nil"/>
              <w:left w:val="nil"/>
              <w:bottom w:val="single" w:sz="8" w:space="0" w:color="auto"/>
              <w:right w:val="single" w:sz="8" w:space="0" w:color="auto"/>
            </w:tcBorders>
            <w:vAlign w:val="center"/>
            <w:hideMark/>
          </w:tcPr>
          <w:p w14:paraId="451C719C"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Supplies</w:t>
            </w:r>
          </w:p>
        </w:tc>
        <w:tc>
          <w:tcPr>
            <w:tcW w:w="363" w:type="pct"/>
            <w:tcBorders>
              <w:top w:val="nil"/>
              <w:left w:val="nil"/>
              <w:bottom w:val="single" w:sz="8" w:space="0" w:color="auto"/>
              <w:right w:val="single" w:sz="8" w:space="0" w:color="auto"/>
            </w:tcBorders>
            <w:noWrap/>
            <w:vAlign w:val="center"/>
            <w:hideMark/>
          </w:tcPr>
          <w:p w14:paraId="6F3F3990"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$1,980 </w:t>
            </w:r>
          </w:p>
        </w:tc>
        <w:tc>
          <w:tcPr>
            <w:tcW w:w="364" w:type="pct"/>
            <w:tcBorders>
              <w:top w:val="nil"/>
              <w:left w:val="nil"/>
              <w:bottom w:val="single" w:sz="8" w:space="0" w:color="auto"/>
              <w:right w:val="single" w:sz="8" w:space="0" w:color="auto"/>
            </w:tcBorders>
            <w:noWrap/>
            <w:vAlign w:val="center"/>
            <w:hideMark/>
          </w:tcPr>
          <w:p w14:paraId="67903A4D"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$2,682 </w:t>
            </w:r>
          </w:p>
        </w:tc>
        <w:tc>
          <w:tcPr>
            <w:tcW w:w="333" w:type="pct"/>
            <w:tcBorders>
              <w:top w:val="nil"/>
              <w:left w:val="nil"/>
              <w:bottom w:val="single" w:sz="8" w:space="0" w:color="auto"/>
              <w:right w:val="single" w:sz="8" w:space="0" w:color="auto"/>
            </w:tcBorders>
            <w:noWrap/>
            <w:vAlign w:val="center"/>
            <w:hideMark/>
          </w:tcPr>
          <w:p w14:paraId="231998E1"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$1,213 </w:t>
            </w:r>
          </w:p>
        </w:tc>
        <w:tc>
          <w:tcPr>
            <w:tcW w:w="334" w:type="pct"/>
            <w:tcBorders>
              <w:top w:val="nil"/>
              <w:left w:val="nil"/>
              <w:bottom w:val="single" w:sz="8" w:space="0" w:color="auto"/>
              <w:right w:val="single" w:sz="8" w:space="0" w:color="auto"/>
            </w:tcBorders>
            <w:noWrap/>
            <w:vAlign w:val="center"/>
            <w:hideMark/>
          </w:tcPr>
          <w:p w14:paraId="280AC1B6"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$319 </w:t>
            </w:r>
          </w:p>
        </w:tc>
        <w:tc>
          <w:tcPr>
            <w:tcW w:w="276" w:type="pct"/>
            <w:tcBorders>
              <w:top w:val="nil"/>
              <w:left w:val="nil"/>
              <w:bottom w:val="single" w:sz="8" w:space="0" w:color="auto"/>
              <w:right w:val="single" w:sz="8" w:space="0" w:color="auto"/>
            </w:tcBorders>
            <w:noWrap/>
            <w:vAlign w:val="center"/>
            <w:hideMark/>
          </w:tcPr>
          <w:p w14:paraId="3FB63204"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$192 </w:t>
            </w:r>
          </w:p>
        </w:tc>
        <w:tc>
          <w:tcPr>
            <w:tcW w:w="391" w:type="pct"/>
            <w:gridSpan w:val="2"/>
            <w:tcBorders>
              <w:top w:val="nil"/>
              <w:left w:val="nil"/>
              <w:bottom w:val="single" w:sz="8" w:space="0" w:color="auto"/>
              <w:right w:val="single" w:sz="8" w:space="0" w:color="auto"/>
            </w:tcBorders>
            <w:noWrap/>
            <w:vAlign w:val="center"/>
            <w:hideMark/>
          </w:tcPr>
          <w:p w14:paraId="4BA9A78F"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$6,386 </w:t>
            </w:r>
          </w:p>
        </w:tc>
        <w:tc>
          <w:tcPr>
            <w:tcW w:w="181" w:type="pct"/>
            <w:tcBorders>
              <w:top w:val="nil"/>
              <w:left w:val="nil"/>
              <w:bottom w:val="single" w:sz="8" w:space="0" w:color="auto"/>
              <w:right w:val="single" w:sz="8" w:space="0" w:color="auto"/>
            </w:tcBorders>
            <w:noWrap/>
            <w:vAlign w:val="center"/>
            <w:hideMark/>
          </w:tcPr>
          <w:p w14:paraId="468DE633"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10</w:t>
            </w:r>
          </w:p>
        </w:tc>
      </w:tr>
      <w:tr w:rsidR="00170617" w:rsidRPr="002926D7" w14:paraId="29DFE569" w14:textId="77777777" w:rsidTr="002926D7">
        <w:trPr>
          <w:trHeight w:val="288"/>
          <w:jc w:val="center"/>
        </w:trPr>
        <w:tc>
          <w:tcPr>
            <w:tcW w:w="423" w:type="pct"/>
            <w:vMerge/>
            <w:tcBorders>
              <w:left w:val="single" w:sz="8" w:space="0" w:color="auto"/>
              <w:right w:val="single" w:sz="8" w:space="0" w:color="auto"/>
            </w:tcBorders>
            <w:vAlign w:val="center"/>
          </w:tcPr>
          <w:p w14:paraId="4007D1D8" w14:textId="2B63E3FF"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nil"/>
            </w:tcBorders>
            <w:noWrap/>
            <w:vAlign w:val="bottom"/>
          </w:tcPr>
          <w:p w14:paraId="070A277C" w14:textId="3F8E880B"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single" w:sz="8" w:space="0" w:color="auto"/>
              <w:left w:val="single" w:sz="8" w:space="0" w:color="auto"/>
              <w:bottom w:val="nil"/>
              <w:right w:val="single" w:sz="8" w:space="0" w:color="auto"/>
            </w:tcBorders>
            <w:vAlign w:val="center"/>
            <w:hideMark/>
          </w:tcPr>
          <w:p w14:paraId="2B99759F"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394229BB"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3A47C406"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6E37F2E4"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736E176D"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75700</w:t>
            </w:r>
          </w:p>
        </w:tc>
        <w:tc>
          <w:tcPr>
            <w:tcW w:w="334" w:type="pct"/>
            <w:tcBorders>
              <w:top w:val="nil"/>
              <w:left w:val="nil"/>
              <w:bottom w:val="single" w:sz="8" w:space="0" w:color="auto"/>
              <w:right w:val="single" w:sz="8" w:space="0" w:color="auto"/>
            </w:tcBorders>
            <w:vAlign w:val="center"/>
            <w:hideMark/>
          </w:tcPr>
          <w:p w14:paraId="6185A183"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Training, Workshops and Confer</w:t>
            </w:r>
          </w:p>
        </w:tc>
        <w:tc>
          <w:tcPr>
            <w:tcW w:w="363" w:type="pct"/>
            <w:tcBorders>
              <w:top w:val="nil"/>
              <w:left w:val="nil"/>
              <w:bottom w:val="single" w:sz="8" w:space="0" w:color="auto"/>
              <w:right w:val="single" w:sz="8" w:space="0" w:color="auto"/>
            </w:tcBorders>
            <w:noWrap/>
            <w:vAlign w:val="center"/>
            <w:hideMark/>
          </w:tcPr>
          <w:p w14:paraId="5E92149A"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$10,023 </w:t>
            </w:r>
          </w:p>
        </w:tc>
        <w:tc>
          <w:tcPr>
            <w:tcW w:w="364" w:type="pct"/>
            <w:tcBorders>
              <w:top w:val="nil"/>
              <w:left w:val="nil"/>
              <w:bottom w:val="single" w:sz="8" w:space="0" w:color="auto"/>
              <w:right w:val="single" w:sz="8" w:space="0" w:color="auto"/>
            </w:tcBorders>
            <w:noWrap/>
            <w:vAlign w:val="center"/>
            <w:hideMark/>
          </w:tcPr>
          <w:p w14:paraId="252D3502"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$13,579 </w:t>
            </w:r>
          </w:p>
        </w:tc>
        <w:tc>
          <w:tcPr>
            <w:tcW w:w="333" w:type="pct"/>
            <w:tcBorders>
              <w:top w:val="nil"/>
              <w:left w:val="nil"/>
              <w:bottom w:val="single" w:sz="8" w:space="0" w:color="auto"/>
              <w:right w:val="single" w:sz="8" w:space="0" w:color="auto"/>
            </w:tcBorders>
            <w:noWrap/>
            <w:vAlign w:val="center"/>
            <w:hideMark/>
          </w:tcPr>
          <w:p w14:paraId="52575821"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$6,143 </w:t>
            </w:r>
          </w:p>
        </w:tc>
        <w:tc>
          <w:tcPr>
            <w:tcW w:w="334" w:type="pct"/>
            <w:tcBorders>
              <w:top w:val="nil"/>
              <w:left w:val="nil"/>
              <w:bottom w:val="single" w:sz="8" w:space="0" w:color="auto"/>
              <w:right w:val="single" w:sz="8" w:space="0" w:color="auto"/>
            </w:tcBorders>
            <w:noWrap/>
            <w:vAlign w:val="center"/>
            <w:hideMark/>
          </w:tcPr>
          <w:p w14:paraId="7BDCD1FC"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$1,617 </w:t>
            </w:r>
          </w:p>
        </w:tc>
        <w:tc>
          <w:tcPr>
            <w:tcW w:w="276" w:type="pct"/>
            <w:tcBorders>
              <w:top w:val="nil"/>
              <w:left w:val="nil"/>
              <w:bottom w:val="single" w:sz="8" w:space="0" w:color="auto"/>
              <w:right w:val="single" w:sz="8" w:space="0" w:color="auto"/>
            </w:tcBorders>
            <w:noWrap/>
            <w:vAlign w:val="center"/>
            <w:hideMark/>
          </w:tcPr>
          <w:p w14:paraId="6170B53E"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$970 </w:t>
            </w:r>
          </w:p>
        </w:tc>
        <w:tc>
          <w:tcPr>
            <w:tcW w:w="391" w:type="pct"/>
            <w:gridSpan w:val="2"/>
            <w:tcBorders>
              <w:top w:val="nil"/>
              <w:left w:val="nil"/>
              <w:bottom w:val="single" w:sz="8" w:space="0" w:color="auto"/>
              <w:right w:val="single" w:sz="8" w:space="0" w:color="auto"/>
            </w:tcBorders>
            <w:noWrap/>
            <w:vAlign w:val="center"/>
            <w:hideMark/>
          </w:tcPr>
          <w:p w14:paraId="3BE5FFBD"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$32,332 </w:t>
            </w:r>
          </w:p>
        </w:tc>
        <w:tc>
          <w:tcPr>
            <w:tcW w:w="181" w:type="pct"/>
            <w:tcBorders>
              <w:top w:val="nil"/>
              <w:left w:val="nil"/>
              <w:bottom w:val="single" w:sz="8" w:space="0" w:color="auto"/>
              <w:right w:val="single" w:sz="8" w:space="0" w:color="auto"/>
            </w:tcBorders>
            <w:noWrap/>
            <w:vAlign w:val="center"/>
            <w:hideMark/>
          </w:tcPr>
          <w:p w14:paraId="0190C4F0"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6</w:t>
            </w:r>
          </w:p>
        </w:tc>
      </w:tr>
      <w:tr w:rsidR="00170617" w:rsidRPr="002926D7" w14:paraId="7A4979F4" w14:textId="77777777" w:rsidTr="002926D7">
        <w:trPr>
          <w:trHeight w:val="288"/>
          <w:jc w:val="center"/>
        </w:trPr>
        <w:tc>
          <w:tcPr>
            <w:tcW w:w="423" w:type="pct"/>
            <w:vMerge/>
            <w:tcBorders>
              <w:left w:val="single" w:sz="8" w:space="0" w:color="auto"/>
              <w:right w:val="single" w:sz="8" w:space="0" w:color="auto"/>
            </w:tcBorders>
            <w:vAlign w:val="center"/>
          </w:tcPr>
          <w:p w14:paraId="0D70A5CB" w14:textId="046DB09E"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nil"/>
            </w:tcBorders>
            <w:noWrap/>
            <w:vAlign w:val="bottom"/>
          </w:tcPr>
          <w:p w14:paraId="35952803" w14:textId="561D255A"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single" w:sz="8" w:space="0" w:color="auto"/>
              <w:left w:val="single" w:sz="8" w:space="0" w:color="auto"/>
              <w:bottom w:val="nil"/>
              <w:right w:val="single" w:sz="8" w:space="0" w:color="auto"/>
            </w:tcBorders>
            <w:vAlign w:val="center"/>
            <w:hideMark/>
          </w:tcPr>
          <w:p w14:paraId="362CD352"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70B3B2E0"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38E21D28"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55856305"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79348856"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61200</w:t>
            </w:r>
          </w:p>
        </w:tc>
        <w:tc>
          <w:tcPr>
            <w:tcW w:w="334" w:type="pct"/>
            <w:tcBorders>
              <w:top w:val="nil"/>
              <w:left w:val="nil"/>
              <w:bottom w:val="single" w:sz="8" w:space="0" w:color="auto"/>
              <w:right w:val="single" w:sz="8" w:space="0" w:color="auto"/>
            </w:tcBorders>
            <w:vAlign w:val="center"/>
            <w:hideMark/>
          </w:tcPr>
          <w:p w14:paraId="6F5F3D0E"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Salaries Costs - GS Staff</w:t>
            </w:r>
          </w:p>
        </w:tc>
        <w:tc>
          <w:tcPr>
            <w:tcW w:w="363" w:type="pct"/>
            <w:tcBorders>
              <w:top w:val="nil"/>
              <w:left w:val="nil"/>
              <w:bottom w:val="single" w:sz="8" w:space="0" w:color="auto"/>
              <w:right w:val="single" w:sz="8" w:space="0" w:color="auto"/>
            </w:tcBorders>
            <w:noWrap/>
            <w:vAlign w:val="center"/>
            <w:hideMark/>
          </w:tcPr>
          <w:p w14:paraId="33B63EFE"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$63,859 </w:t>
            </w:r>
          </w:p>
        </w:tc>
        <w:tc>
          <w:tcPr>
            <w:tcW w:w="364" w:type="pct"/>
            <w:tcBorders>
              <w:top w:val="nil"/>
              <w:left w:val="nil"/>
              <w:bottom w:val="single" w:sz="8" w:space="0" w:color="auto"/>
              <w:right w:val="single" w:sz="8" w:space="0" w:color="auto"/>
            </w:tcBorders>
            <w:noWrap/>
            <w:vAlign w:val="center"/>
            <w:hideMark/>
          </w:tcPr>
          <w:p w14:paraId="719B6851"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$86,519 </w:t>
            </w:r>
          </w:p>
        </w:tc>
        <w:tc>
          <w:tcPr>
            <w:tcW w:w="333" w:type="pct"/>
            <w:tcBorders>
              <w:top w:val="nil"/>
              <w:left w:val="nil"/>
              <w:bottom w:val="single" w:sz="8" w:space="0" w:color="auto"/>
              <w:right w:val="single" w:sz="8" w:space="0" w:color="auto"/>
            </w:tcBorders>
            <w:noWrap/>
            <w:vAlign w:val="center"/>
            <w:hideMark/>
          </w:tcPr>
          <w:p w14:paraId="71FDE7A7"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$39,140 </w:t>
            </w:r>
          </w:p>
        </w:tc>
        <w:tc>
          <w:tcPr>
            <w:tcW w:w="334" w:type="pct"/>
            <w:tcBorders>
              <w:top w:val="nil"/>
              <w:left w:val="nil"/>
              <w:bottom w:val="single" w:sz="8" w:space="0" w:color="auto"/>
              <w:right w:val="single" w:sz="8" w:space="0" w:color="auto"/>
            </w:tcBorders>
            <w:noWrap/>
            <w:vAlign w:val="center"/>
            <w:hideMark/>
          </w:tcPr>
          <w:p w14:paraId="34ACF82A"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$10,300 </w:t>
            </w:r>
          </w:p>
        </w:tc>
        <w:tc>
          <w:tcPr>
            <w:tcW w:w="276" w:type="pct"/>
            <w:tcBorders>
              <w:top w:val="nil"/>
              <w:left w:val="nil"/>
              <w:bottom w:val="single" w:sz="8" w:space="0" w:color="auto"/>
              <w:right w:val="single" w:sz="8" w:space="0" w:color="auto"/>
            </w:tcBorders>
            <w:noWrap/>
            <w:vAlign w:val="center"/>
            <w:hideMark/>
          </w:tcPr>
          <w:p w14:paraId="6AB93EE5"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$6,180 </w:t>
            </w:r>
          </w:p>
        </w:tc>
        <w:tc>
          <w:tcPr>
            <w:tcW w:w="391" w:type="pct"/>
            <w:gridSpan w:val="2"/>
            <w:tcBorders>
              <w:top w:val="nil"/>
              <w:left w:val="nil"/>
              <w:bottom w:val="single" w:sz="8" w:space="0" w:color="auto"/>
              <w:right w:val="single" w:sz="8" w:space="0" w:color="auto"/>
            </w:tcBorders>
            <w:noWrap/>
            <w:vAlign w:val="center"/>
            <w:hideMark/>
          </w:tcPr>
          <w:p w14:paraId="5FAEB6A6"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$205,998 </w:t>
            </w:r>
          </w:p>
        </w:tc>
        <w:tc>
          <w:tcPr>
            <w:tcW w:w="181" w:type="pct"/>
            <w:tcBorders>
              <w:top w:val="nil"/>
              <w:left w:val="nil"/>
              <w:bottom w:val="single" w:sz="8" w:space="0" w:color="auto"/>
              <w:right w:val="single" w:sz="8" w:space="0" w:color="auto"/>
            </w:tcBorders>
            <w:noWrap/>
            <w:vAlign w:val="center"/>
            <w:hideMark/>
          </w:tcPr>
          <w:p w14:paraId="4CA1E7E1"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4</w:t>
            </w:r>
          </w:p>
        </w:tc>
      </w:tr>
      <w:tr w:rsidR="00170617" w:rsidRPr="002926D7" w14:paraId="1ADF76B4" w14:textId="77777777" w:rsidTr="002926D7">
        <w:trPr>
          <w:trHeight w:val="288"/>
          <w:jc w:val="center"/>
        </w:trPr>
        <w:tc>
          <w:tcPr>
            <w:tcW w:w="423" w:type="pct"/>
            <w:vMerge/>
            <w:tcBorders>
              <w:left w:val="single" w:sz="8" w:space="0" w:color="auto"/>
              <w:right w:val="single" w:sz="8" w:space="0" w:color="auto"/>
            </w:tcBorders>
            <w:vAlign w:val="center"/>
          </w:tcPr>
          <w:p w14:paraId="6FD86FF6" w14:textId="7BFAADE3"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nil"/>
            </w:tcBorders>
            <w:noWrap/>
            <w:vAlign w:val="bottom"/>
          </w:tcPr>
          <w:p w14:paraId="5D4C26FA" w14:textId="648392D2"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single" w:sz="8" w:space="0" w:color="auto"/>
              <w:left w:val="single" w:sz="8" w:space="0" w:color="auto"/>
              <w:bottom w:val="nil"/>
              <w:right w:val="single" w:sz="8" w:space="0" w:color="auto"/>
            </w:tcBorders>
            <w:vAlign w:val="center"/>
            <w:hideMark/>
          </w:tcPr>
          <w:p w14:paraId="4D803357"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4A3E675F"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57108E63"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313354DE"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194B8784"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61300</w:t>
            </w:r>
          </w:p>
        </w:tc>
        <w:tc>
          <w:tcPr>
            <w:tcW w:w="334" w:type="pct"/>
            <w:tcBorders>
              <w:top w:val="nil"/>
              <w:left w:val="nil"/>
              <w:bottom w:val="single" w:sz="8" w:space="0" w:color="auto"/>
              <w:right w:val="single" w:sz="8" w:space="0" w:color="auto"/>
            </w:tcBorders>
            <w:vAlign w:val="center"/>
            <w:hideMark/>
          </w:tcPr>
          <w:p w14:paraId="019A95A5"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 xml:space="preserve"> Salary &amp; Post Adj Cst-IP Staff</w:t>
            </w:r>
          </w:p>
        </w:tc>
        <w:tc>
          <w:tcPr>
            <w:tcW w:w="363" w:type="pct"/>
            <w:tcBorders>
              <w:top w:val="nil"/>
              <w:left w:val="nil"/>
              <w:bottom w:val="single" w:sz="8" w:space="0" w:color="auto"/>
              <w:right w:val="single" w:sz="8" w:space="0" w:color="auto"/>
            </w:tcBorders>
            <w:noWrap/>
            <w:vAlign w:val="center"/>
            <w:hideMark/>
          </w:tcPr>
          <w:p w14:paraId="226B8162"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$116,760 </w:t>
            </w:r>
          </w:p>
        </w:tc>
        <w:tc>
          <w:tcPr>
            <w:tcW w:w="364" w:type="pct"/>
            <w:tcBorders>
              <w:top w:val="nil"/>
              <w:left w:val="nil"/>
              <w:bottom w:val="single" w:sz="8" w:space="0" w:color="auto"/>
              <w:right w:val="single" w:sz="8" w:space="0" w:color="auto"/>
            </w:tcBorders>
            <w:noWrap/>
            <w:vAlign w:val="center"/>
            <w:hideMark/>
          </w:tcPr>
          <w:p w14:paraId="114F470D"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$158,190 </w:t>
            </w:r>
          </w:p>
        </w:tc>
        <w:tc>
          <w:tcPr>
            <w:tcW w:w="333" w:type="pct"/>
            <w:tcBorders>
              <w:top w:val="nil"/>
              <w:left w:val="nil"/>
              <w:bottom w:val="single" w:sz="8" w:space="0" w:color="auto"/>
              <w:right w:val="single" w:sz="8" w:space="0" w:color="auto"/>
            </w:tcBorders>
            <w:noWrap/>
            <w:vAlign w:val="center"/>
            <w:hideMark/>
          </w:tcPr>
          <w:p w14:paraId="2965706A"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$71,562 </w:t>
            </w:r>
          </w:p>
        </w:tc>
        <w:tc>
          <w:tcPr>
            <w:tcW w:w="334" w:type="pct"/>
            <w:tcBorders>
              <w:top w:val="nil"/>
              <w:left w:val="nil"/>
              <w:bottom w:val="single" w:sz="8" w:space="0" w:color="auto"/>
              <w:right w:val="single" w:sz="8" w:space="0" w:color="auto"/>
            </w:tcBorders>
            <w:noWrap/>
            <w:vAlign w:val="center"/>
            <w:hideMark/>
          </w:tcPr>
          <w:p w14:paraId="3396548F"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$18,832 </w:t>
            </w:r>
          </w:p>
        </w:tc>
        <w:tc>
          <w:tcPr>
            <w:tcW w:w="276" w:type="pct"/>
            <w:tcBorders>
              <w:top w:val="nil"/>
              <w:left w:val="nil"/>
              <w:bottom w:val="single" w:sz="8" w:space="0" w:color="auto"/>
              <w:right w:val="single" w:sz="8" w:space="0" w:color="auto"/>
            </w:tcBorders>
            <w:noWrap/>
            <w:vAlign w:val="center"/>
            <w:hideMark/>
          </w:tcPr>
          <w:p w14:paraId="2936BD11"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$11,299 </w:t>
            </w:r>
          </w:p>
        </w:tc>
        <w:tc>
          <w:tcPr>
            <w:tcW w:w="391" w:type="pct"/>
            <w:gridSpan w:val="2"/>
            <w:tcBorders>
              <w:top w:val="nil"/>
              <w:left w:val="nil"/>
              <w:bottom w:val="single" w:sz="8" w:space="0" w:color="auto"/>
              <w:right w:val="single" w:sz="8" w:space="0" w:color="auto"/>
            </w:tcBorders>
            <w:noWrap/>
            <w:vAlign w:val="center"/>
            <w:hideMark/>
          </w:tcPr>
          <w:p w14:paraId="33FFFF78"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$376,644 </w:t>
            </w:r>
          </w:p>
        </w:tc>
        <w:tc>
          <w:tcPr>
            <w:tcW w:w="181" w:type="pct"/>
            <w:tcBorders>
              <w:top w:val="nil"/>
              <w:left w:val="nil"/>
              <w:bottom w:val="single" w:sz="8" w:space="0" w:color="auto"/>
              <w:right w:val="single" w:sz="8" w:space="0" w:color="auto"/>
            </w:tcBorders>
            <w:noWrap/>
            <w:vAlign w:val="center"/>
            <w:hideMark/>
          </w:tcPr>
          <w:p w14:paraId="7EF868F5"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4</w:t>
            </w:r>
          </w:p>
        </w:tc>
      </w:tr>
      <w:tr w:rsidR="00170617" w:rsidRPr="002926D7" w14:paraId="5D00AA60" w14:textId="77777777" w:rsidTr="002926D7">
        <w:trPr>
          <w:trHeight w:val="288"/>
          <w:jc w:val="center"/>
        </w:trPr>
        <w:tc>
          <w:tcPr>
            <w:tcW w:w="423" w:type="pct"/>
            <w:vMerge/>
            <w:tcBorders>
              <w:left w:val="single" w:sz="8" w:space="0" w:color="auto"/>
              <w:right w:val="single" w:sz="8" w:space="0" w:color="auto"/>
            </w:tcBorders>
            <w:vAlign w:val="center"/>
          </w:tcPr>
          <w:p w14:paraId="09D9A4A5" w14:textId="38083467"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nil"/>
            </w:tcBorders>
            <w:noWrap/>
            <w:vAlign w:val="bottom"/>
          </w:tcPr>
          <w:p w14:paraId="7D8E0BD4" w14:textId="65B13B4A"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single" w:sz="8" w:space="0" w:color="auto"/>
              <w:left w:val="single" w:sz="8" w:space="0" w:color="auto"/>
              <w:bottom w:val="nil"/>
              <w:right w:val="single" w:sz="8" w:space="0" w:color="auto"/>
            </w:tcBorders>
            <w:vAlign w:val="center"/>
            <w:hideMark/>
          </w:tcPr>
          <w:p w14:paraId="4D68C591" w14:textId="77777777" w:rsidR="00A25129" w:rsidRPr="002926D7" w:rsidRDefault="00A25129" w:rsidP="002926D7">
            <w:pPr>
              <w:contextualSpacing/>
              <w:jc w:val="left"/>
              <w:rPr>
                <w:rFonts w:eastAsia="Times New Roman" w:cs="Calibri"/>
                <w:i/>
                <w:iCs/>
                <w:color w:val="000000"/>
                <w:sz w:val="14"/>
                <w:szCs w:val="14"/>
              </w:rPr>
            </w:pPr>
          </w:p>
        </w:tc>
        <w:tc>
          <w:tcPr>
            <w:tcW w:w="1428" w:type="pct"/>
            <w:gridSpan w:val="5"/>
            <w:tcBorders>
              <w:top w:val="single" w:sz="8" w:space="0" w:color="auto"/>
              <w:left w:val="nil"/>
              <w:bottom w:val="single" w:sz="8" w:space="0" w:color="auto"/>
              <w:right w:val="nil"/>
            </w:tcBorders>
            <w:vAlign w:val="center"/>
            <w:hideMark/>
          </w:tcPr>
          <w:p w14:paraId="477027C3" w14:textId="77777777" w:rsidR="00A25129" w:rsidRPr="002926D7" w:rsidRDefault="00A25129" w:rsidP="002926D7">
            <w:pPr>
              <w:ind w:right="-8"/>
              <w:contextualSpacing/>
              <w:rPr>
                <w:rFonts w:eastAsia="Times New Roman" w:cs="Calibri"/>
                <w:b/>
                <w:bCs/>
                <w:i/>
                <w:iCs/>
                <w:color w:val="000000"/>
                <w:sz w:val="14"/>
                <w:szCs w:val="14"/>
              </w:rPr>
            </w:pPr>
            <w:r w:rsidRPr="002926D7">
              <w:rPr>
                <w:rFonts w:eastAsia="Times New Roman" w:cs="Calibri"/>
                <w:b/>
                <w:bCs/>
                <w:i/>
                <w:iCs/>
                <w:color w:val="000000"/>
                <w:sz w:val="14"/>
                <w:szCs w:val="14"/>
              </w:rPr>
              <w:t>Total UNDP</w:t>
            </w:r>
          </w:p>
        </w:tc>
        <w:tc>
          <w:tcPr>
            <w:tcW w:w="363" w:type="pct"/>
            <w:tcBorders>
              <w:top w:val="nil"/>
              <w:left w:val="nil"/>
              <w:bottom w:val="single" w:sz="8" w:space="0" w:color="auto"/>
              <w:right w:val="single" w:sz="8" w:space="0" w:color="auto"/>
            </w:tcBorders>
            <w:noWrap/>
            <w:vAlign w:val="center"/>
            <w:hideMark/>
          </w:tcPr>
          <w:p w14:paraId="34B246BF"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$783,717 </w:t>
            </w:r>
          </w:p>
        </w:tc>
        <w:tc>
          <w:tcPr>
            <w:tcW w:w="364" w:type="pct"/>
            <w:tcBorders>
              <w:top w:val="nil"/>
              <w:left w:val="nil"/>
              <w:bottom w:val="single" w:sz="8" w:space="0" w:color="auto"/>
              <w:right w:val="single" w:sz="8" w:space="0" w:color="auto"/>
            </w:tcBorders>
            <w:noWrap/>
            <w:vAlign w:val="center"/>
            <w:hideMark/>
          </w:tcPr>
          <w:p w14:paraId="3650DE3C"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$1,061,810 </w:t>
            </w:r>
          </w:p>
        </w:tc>
        <w:tc>
          <w:tcPr>
            <w:tcW w:w="333" w:type="pct"/>
            <w:tcBorders>
              <w:top w:val="nil"/>
              <w:left w:val="nil"/>
              <w:bottom w:val="single" w:sz="8" w:space="0" w:color="auto"/>
              <w:right w:val="single" w:sz="8" w:space="0" w:color="auto"/>
            </w:tcBorders>
            <w:noWrap/>
            <w:vAlign w:val="center"/>
            <w:hideMark/>
          </w:tcPr>
          <w:p w14:paraId="576A7D43"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$480,343 </w:t>
            </w:r>
          </w:p>
        </w:tc>
        <w:tc>
          <w:tcPr>
            <w:tcW w:w="334" w:type="pct"/>
            <w:tcBorders>
              <w:top w:val="nil"/>
              <w:left w:val="nil"/>
              <w:bottom w:val="single" w:sz="8" w:space="0" w:color="auto"/>
              <w:right w:val="single" w:sz="8" w:space="0" w:color="auto"/>
            </w:tcBorders>
            <w:noWrap/>
            <w:vAlign w:val="center"/>
            <w:hideMark/>
          </w:tcPr>
          <w:p w14:paraId="2B544889"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$126,406 </w:t>
            </w:r>
          </w:p>
        </w:tc>
        <w:tc>
          <w:tcPr>
            <w:tcW w:w="276" w:type="pct"/>
            <w:tcBorders>
              <w:top w:val="nil"/>
              <w:left w:val="nil"/>
              <w:bottom w:val="single" w:sz="8" w:space="0" w:color="auto"/>
              <w:right w:val="single" w:sz="8" w:space="0" w:color="auto"/>
            </w:tcBorders>
            <w:noWrap/>
            <w:vAlign w:val="center"/>
            <w:hideMark/>
          </w:tcPr>
          <w:p w14:paraId="5B6F7766"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$75,844 </w:t>
            </w:r>
          </w:p>
        </w:tc>
        <w:tc>
          <w:tcPr>
            <w:tcW w:w="391" w:type="pct"/>
            <w:gridSpan w:val="2"/>
            <w:tcBorders>
              <w:top w:val="nil"/>
              <w:left w:val="nil"/>
              <w:bottom w:val="single" w:sz="8" w:space="0" w:color="auto"/>
              <w:right w:val="single" w:sz="8" w:space="0" w:color="auto"/>
            </w:tcBorders>
            <w:noWrap/>
            <w:vAlign w:val="center"/>
            <w:hideMark/>
          </w:tcPr>
          <w:p w14:paraId="5E4476C5"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$2,528,120 </w:t>
            </w:r>
          </w:p>
        </w:tc>
        <w:tc>
          <w:tcPr>
            <w:tcW w:w="181" w:type="pct"/>
            <w:tcBorders>
              <w:top w:val="nil"/>
              <w:left w:val="nil"/>
              <w:bottom w:val="single" w:sz="8" w:space="0" w:color="auto"/>
              <w:right w:val="single" w:sz="8" w:space="0" w:color="auto"/>
            </w:tcBorders>
            <w:noWrap/>
            <w:vAlign w:val="center"/>
            <w:hideMark/>
          </w:tcPr>
          <w:p w14:paraId="038D40EE"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33577760" w14:textId="77777777" w:rsidTr="002926D7">
        <w:trPr>
          <w:trHeight w:val="288"/>
          <w:jc w:val="center"/>
        </w:trPr>
        <w:tc>
          <w:tcPr>
            <w:tcW w:w="423" w:type="pct"/>
            <w:vMerge/>
            <w:tcBorders>
              <w:left w:val="single" w:sz="8" w:space="0" w:color="auto"/>
              <w:right w:val="single" w:sz="8" w:space="0" w:color="auto"/>
            </w:tcBorders>
            <w:vAlign w:val="center"/>
          </w:tcPr>
          <w:p w14:paraId="7D94FC63" w14:textId="43169E4A"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bottom w:val="nil"/>
              <w:right w:val="nil"/>
            </w:tcBorders>
            <w:noWrap/>
            <w:vAlign w:val="bottom"/>
            <w:hideMark/>
          </w:tcPr>
          <w:p w14:paraId="57A36829" w14:textId="3ADB26D5" w:rsidR="00A25129" w:rsidRPr="002926D7" w:rsidRDefault="00A25129" w:rsidP="002926D7">
            <w:pPr>
              <w:contextualSpacing/>
              <w:jc w:val="left"/>
              <w:rPr>
                <w:rFonts w:eastAsia="Times New Roman" w:cs="Calibri"/>
                <w:i/>
                <w:iCs/>
                <w:color w:val="000000"/>
                <w:sz w:val="14"/>
                <w:szCs w:val="14"/>
              </w:rPr>
            </w:pPr>
          </w:p>
        </w:tc>
        <w:tc>
          <w:tcPr>
            <w:tcW w:w="1881" w:type="pct"/>
            <w:gridSpan w:val="6"/>
            <w:tcBorders>
              <w:top w:val="single" w:sz="8" w:space="0" w:color="auto"/>
              <w:left w:val="single" w:sz="8" w:space="0" w:color="auto"/>
              <w:bottom w:val="single" w:sz="8" w:space="0" w:color="auto"/>
              <w:right w:val="nil"/>
            </w:tcBorders>
            <w:vAlign w:val="center"/>
            <w:hideMark/>
          </w:tcPr>
          <w:p w14:paraId="32DFD306" w14:textId="77777777" w:rsidR="00A25129" w:rsidRPr="002926D7" w:rsidRDefault="00A25129" w:rsidP="002926D7">
            <w:pPr>
              <w:ind w:right="-8"/>
              <w:contextualSpacing/>
              <w:rPr>
                <w:rFonts w:eastAsia="Times New Roman" w:cs="Calibri"/>
                <w:b/>
                <w:bCs/>
                <w:i/>
                <w:iCs/>
                <w:color w:val="000000"/>
                <w:sz w:val="14"/>
                <w:szCs w:val="14"/>
              </w:rPr>
            </w:pPr>
            <w:r w:rsidRPr="002926D7">
              <w:rPr>
                <w:rFonts w:eastAsia="Times New Roman" w:cs="Calibri"/>
                <w:b/>
                <w:bCs/>
                <w:i/>
                <w:iCs/>
                <w:color w:val="000000"/>
                <w:sz w:val="14"/>
                <w:szCs w:val="14"/>
              </w:rPr>
              <w:t>Total Output 1.1.2</w:t>
            </w:r>
          </w:p>
        </w:tc>
        <w:tc>
          <w:tcPr>
            <w:tcW w:w="363" w:type="pct"/>
            <w:tcBorders>
              <w:top w:val="nil"/>
              <w:left w:val="nil"/>
              <w:bottom w:val="single" w:sz="8" w:space="0" w:color="auto"/>
              <w:right w:val="single" w:sz="8" w:space="0" w:color="auto"/>
            </w:tcBorders>
            <w:noWrap/>
            <w:vAlign w:val="center"/>
            <w:hideMark/>
          </w:tcPr>
          <w:p w14:paraId="4FAF56C2"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$783,717 </w:t>
            </w:r>
          </w:p>
        </w:tc>
        <w:tc>
          <w:tcPr>
            <w:tcW w:w="364" w:type="pct"/>
            <w:tcBorders>
              <w:top w:val="nil"/>
              <w:left w:val="nil"/>
              <w:bottom w:val="single" w:sz="8" w:space="0" w:color="auto"/>
              <w:right w:val="single" w:sz="8" w:space="0" w:color="auto"/>
            </w:tcBorders>
            <w:noWrap/>
            <w:vAlign w:val="center"/>
            <w:hideMark/>
          </w:tcPr>
          <w:p w14:paraId="14A0388E"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$1,061,810 </w:t>
            </w:r>
          </w:p>
        </w:tc>
        <w:tc>
          <w:tcPr>
            <w:tcW w:w="333" w:type="pct"/>
            <w:tcBorders>
              <w:top w:val="nil"/>
              <w:left w:val="nil"/>
              <w:bottom w:val="single" w:sz="8" w:space="0" w:color="auto"/>
              <w:right w:val="single" w:sz="8" w:space="0" w:color="auto"/>
            </w:tcBorders>
            <w:noWrap/>
            <w:vAlign w:val="center"/>
            <w:hideMark/>
          </w:tcPr>
          <w:p w14:paraId="61A65E86"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$480,343 </w:t>
            </w:r>
          </w:p>
        </w:tc>
        <w:tc>
          <w:tcPr>
            <w:tcW w:w="334" w:type="pct"/>
            <w:tcBorders>
              <w:top w:val="nil"/>
              <w:left w:val="nil"/>
              <w:bottom w:val="single" w:sz="8" w:space="0" w:color="auto"/>
              <w:right w:val="single" w:sz="8" w:space="0" w:color="auto"/>
            </w:tcBorders>
            <w:noWrap/>
            <w:vAlign w:val="center"/>
            <w:hideMark/>
          </w:tcPr>
          <w:p w14:paraId="46852AB3"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$126,406 </w:t>
            </w:r>
          </w:p>
        </w:tc>
        <w:tc>
          <w:tcPr>
            <w:tcW w:w="276" w:type="pct"/>
            <w:tcBorders>
              <w:top w:val="nil"/>
              <w:left w:val="nil"/>
              <w:bottom w:val="single" w:sz="8" w:space="0" w:color="auto"/>
              <w:right w:val="single" w:sz="8" w:space="0" w:color="auto"/>
            </w:tcBorders>
            <w:noWrap/>
            <w:vAlign w:val="center"/>
            <w:hideMark/>
          </w:tcPr>
          <w:p w14:paraId="7DC3DDB4"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$75,844 </w:t>
            </w:r>
          </w:p>
        </w:tc>
        <w:tc>
          <w:tcPr>
            <w:tcW w:w="391" w:type="pct"/>
            <w:gridSpan w:val="2"/>
            <w:tcBorders>
              <w:top w:val="nil"/>
              <w:left w:val="nil"/>
              <w:bottom w:val="single" w:sz="8" w:space="0" w:color="auto"/>
              <w:right w:val="single" w:sz="8" w:space="0" w:color="auto"/>
            </w:tcBorders>
            <w:noWrap/>
            <w:vAlign w:val="center"/>
            <w:hideMark/>
          </w:tcPr>
          <w:p w14:paraId="5E1D49EF"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$2,528,120 </w:t>
            </w:r>
          </w:p>
        </w:tc>
        <w:tc>
          <w:tcPr>
            <w:tcW w:w="181" w:type="pct"/>
            <w:tcBorders>
              <w:top w:val="nil"/>
              <w:left w:val="nil"/>
              <w:bottom w:val="single" w:sz="8" w:space="0" w:color="auto"/>
              <w:right w:val="single" w:sz="8" w:space="0" w:color="auto"/>
            </w:tcBorders>
            <w:noWrap/>
            <w:vAlign w:val="center"/>
            <w:hideMark/>
          </w:tcPr>
          <w:p w14:paraId="24AA464B"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2D1A0CE8" w14:textId="77777777" w:rsidTr="002926D7">
        <w:trPr>
          <w:trHeight w:val="288"/>
          <w:jc w:val="center"/>
        </w:trPr>
        <w:tc>
          <w:tcPr>
            <w:tcW w:w="423" w:type="pct"/>
            <w:vMerge/>
            <w:tcBorders>
              <w:left w:val="single" w:sz="8" w:space="0" w:color="auto"/>
              <w:bottom w:val="nil"/>
              <w:right w:val="single" w:sz="8" w:space="0" w:color="auto"/>
            </w:tcBorders>
            <w:vAlign w:val="center"/>
            <w:hideMark/>
          </w:tcPr>
          <w:p w14:paraId="3D8B6655" w14:textId="5F00AF1A" w:rsidR="00A25129" w:rsidRPr="002926D7" w:rsidRDefault="00A25129" w:rsidP="002926D7">
            <w:pPr>
              <w:contextualSpacing/>
              <w:jc w:val="left"/>
              <w:rPr>
                <w:rFonts w:eastAsia="Times New Roman" w:cs="Calibri"/>
                <w:i/>
                <w:iCs/>
                <w:color w:val="000000"/>
                <w:sz w:val="14"/>
                <w:szCs w:val="14"/>
              </w:rPr>
            </w:pPr>
          </w:p>
        </w:tc>
        <w:tc>
          <w:tcPr>
            <w:tcW w:w="2335" w:type="pct"/>
            <w:gridSpan w:val="7"/>
            <w:tcBorders>
              <w:top w:val="single" w:sz="8" w:space="0" w:color="auto"/>
              <w:left w:val="nil"/>
              <w:bottom w:val="single" w:sz="8" w:space="0" w:color="auto"/>
              <w:right w:val="nil"/>
            </w:tcBorders>
            <w:vAlign w:val="center"/>
            <w:hideMark/>
          </w:tcPr>
          <w:p w14:paraId="27E19728" w14:textId="77777777" w:rsidR="00A25129" w:rsidRPr="002926D7" w:rsidRDefault="00A25129" w:rsidP="002926D7">
            <w:pPr>
              <w:ind w:right="-8"/>
              <w:contextualSpacing/>
              <w:jc w:val="left"/>
              <w:rPr>
                <w:rFonts w:eastAsia="Times New Roman" w:cs="Calibri"/>
                <w:b/>
                <w:bCs/>
                <w:i/>
                <w:iCs/>
                <w:color w:val="000000"/>
                <w:sz w:val="14"/>
                <w:szCs w:val="14"/>
              </w:rPr>
            </w:pPr>
            <w:r w:rsidRPr="002926D7">
              <w:rPr>
                <w:rFonts w:eastAsia="Times New Roman" w:cs="Calibri"/>
                <w:b/>
                <w:bCs/>
                <w:i/>
                <w:iCs/>
                <w:color w:val="000000"/>
                <w:sz w:val="14"/>
                <w:szCs w:val="14"/>
              </w:rPr>
              <w:t>Total Outcome 1.1.</w:t>
            </w:r>
          </w:p>
        </w:tc>
        <w:tc>
          <w:tcPr>
            <w:tcW w:w="363" w:type="pct"/>
            <w:tcBorders>
              <w:top w:val="nil"/>
              <w:left w:val="nil"/>
              <w:bottom w:val="single" w:sz="8" w:space="0" w:color="auto"/>
              <w:right w:val="single" w:sz="8" w:space="0" w:color="auto"/>
            </w:tcBorders>
            <w:noWrap/>
            <w:vAlign w:val="center"/>
            <w:hideMark/>
          </w:tcPr>
          <w:p w14:paraId="1470AFED"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$2,303,742 </w:t>
            </w:r>
          </w:p>
        </w:tc>
        <w:tc>
          <w:tcPr>
            <w:tcW w:w="364" w:type="pct"/>
            <w:tcBorders>
              <w:top w:val="nil"/>
              <w:left w:val="nil"/>
              <w:bottom w:val="single" w:sz="8" w:space="0" w:color="auto"/>
              <w:right w:val="single" w:sz="8" w:space="0" w:color="auto"/>
            </w:tcBorders>
            <w:noWrap/>
            <w:vAlign w:val="center"/>
            <w:hideMark/>
          </w:tcPr>
          <w:p w14:paraId="4219DB22"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$3,121,087 </w:t>
            </w:r>
          </w:p>
        </w:tc>
        <w:tc>
          <w:tcPr>
            <w:tcW w:w="333" w:type="pct"/>
            <w:tcBorders>
              <w:top w:val="nil"/>
              <w:left w:val="nil"/>
              <w:bottom w:val="single" w:sz="8" w:space="0" w:color="auto"/>
              <w:right w:val="single" w:sz="8" w:space="0" w:color="auto"/>
            </w:tcBorders>
            <w:noWrap/>
            <w:vAlign w:val="center"/>
            <w:hideMark/>
          </w:tcPr>
          <w:p w14:paraId="74F87E7E"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$1,412,003 </w:t>
            </w:r>
          </w:p>
        </w:tc>
        <w:tc>
          <w:tcPr>
            <w:tcW w:w="334" w:type="pct"/>
            <w:tcBorders>
              <w:top w:val="nil"/>
              <w:left w:val="nil"/>
              <w:bottom w:val="single" w:sz="8" w:space="0" w:color="auto"/>
              <w:right w:val="single" w:sz="8" w:space="0" w:color="auto"/>
            </w:tcBorders>
            <w:noWrap/>
            <w:vAlign w:val="center"/>
            <w:hideMark/>
          </w:tcPr>
          <w:p w14:paraId="7C198B20"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$371,476 </w:t>
            </w:r>
          </w:p>
        </w:tc>
        <w:tc>
          <w:tcPr>
            <w:tcW w:w="279" w:type="pct"/>
            <w:gridSpan w:val="2"/>
            <w:tcBorders>
              <w:top w:val="nil"/>
              <w:left w:val="nil"/>
              <w:bottom w:val="single" w:sz="8" w:space="0" w:color="auto"/>
              <w:right w:val="single" w:sz="8" w:space="0" w:color="auto"/>
            </w:tcBorders>
            <w:noWrap/>
            <w:vAlign w:val="center"/>
            <w:hideMark/>
          </w:tcPr>
          <w:p w14:paraId="7AFB456E"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$222,935 </w:t>
            </w:r>
          </w:p>
        </w:tc>
        <w:tc>
          <w:tcPr>
            <w:tcW w:w="388" w:type="pct"/>
            <w:tcBorders>
              <w:top w:val="nil"/>
              <w:left w:val="nil"/>
              <w:bottom w:val="single" w:sz="8" w:space="0" w:color="auto"/>
              <w:right w:val="single" w:sz="8" w:space="0" w:color="auto"/>
            </w:tcBorders>
            <w:noWrap/>
            <w:vAlign w:val="center"/>
            <w:hideMark/>
          </w:tcPr>
          <w:p w14:paraId="14A38214"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$7,431,244 </w:t>
            </w:r>
          </w:p>
        </w:tc>
        <w:tc>
          <w:tcPr>
            <w:tcW w:w="181" w:type="pct"/>
            <w:tcBorders>
              <w:top w:val="nil"/>
              <w:left w:val="nil"/>
              <w:bottom w:val="single" w:sz="8" w:space="0" w:color="auto"/>
              <w:right w:val="single" w:sz="8" w:space="0" w:color="auto"/>
            </w:tcBorders>
            <w:noWrap/>
            <w:vAlign w:val="center"/>
            <w:hideMark/>
          </w:tcPr>
          <w:p w14:paraId="5FC1E925"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11DE7C38" w14:textId="77777777" w:rsidTr="002926D7">
        <w:trPr>
          <w:trHeight w:val="288"/>
          <w:jc w:val="center"/>
        </w:trPr>
        <w:tc>
          <w:tcPr>
            <w:tcW w:w="423" w:type="pct"/>
            <w:vMerge w:val="restart"/>
            <w:tcBorders>
              <w:top w:val="single" w:sz="8" w:space="0" w:color="auto"/>
              <w:left w:val="single" w:sz="8" w:space="0" w:color="auto"/>
              <w:right w:val="single" w:sz="8" w:space="0" w:color="auto"/>
            </w:tcBorders>
            <w:vAlign w:val="center"/>
          </w:tcPr>
          <w:p w14:paraId="5B6DD94D" w14:textId="32BDCEC0" w:rsidR="00170617" w:rsidRPr="002926D7" w:rsidRDefault="00170617"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 xml:space="preserve">Component 2: Demand-driven grants to CSOs/CBOs (Grants) </w:t>
            </w:r>
          </w:p>
        </w:tc>
        <w:tc>
          <w:tcPr>
            <w:tcW w:w="454" w:type="pct"/>
            <w:vMerge w:val="restart"/>
            <w:tcBorders>
              <w:top w:val="single" w:sz="8" w:space="0" w:color="auto"/>
              <w:left w:val="nil"/>
              <w:right w:val="single" w:sz="8" w:space="0" w:color="auto"/>
            </w:tcBorders>
            <w:vAlign w:val="center"/>
          </w:tcPr>
          <w:p w14:paraId="20364195" w14:textId="2488677A" w:rsidR="00170617" w:rsidRPr="002926D7" w:rsidRDefault="00170617"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Outcome 2.1. Landscape-seascape strategic objectives advanced through community-led grants.</w:t>
            </w:r>
          </w:p>
        </w:tc>
        <w:tc>
          <w:tcPr>
            <w:tcW w:w="454" w:type="pct"/>
            <w:vMerge w:val="restart"/>
            <w:tcBorders>
              <w:top w:val="single" w:sz="8" w:space="0" w:color="auto"/>
              <w:left w:val="single" w:sz="8" w:space="0" w:color="auto"/>
              <w:bottom w:val="nil"/>
              <w:right w:val="single" w:sz="8" w:space="0" w:color="auto"/>
            </w:tcBorders>
            <w:vAlign w:val="center"/>
            <w:hideMark/>
          </w:tcPr>
          <w:p w14:paraId="5C7EA61A" w14:textId="77777777" w:rsidR="00170617" w:rsidRPr="002926D7" w:rsidRDefault="00170617"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Output 2.1.1. Capacities of CSOs/CBOs strengthened for implementation of landscape-seascape strategies.</w:t>
            </w:r>
          </w:p>
        </w:tc>
        <w:tc>
          <w:tcPr>
            <w:tcW w:w="273" w:type="pct"/>
            <w:vMerge w:val="restart"/>
            <w:tcBorders>
              <w:top w:val="single" w:sz="8" w:space="0" w:color="auto"/>
              <w:left w:val="single" w:sz="8" w:space="0" w:color="auto"/>
              <w:bottom w:val="nil"/>
              <w:right w:val="single" w:sz="8" w:space="0" w:color="auto"/>
            </w:tcBorders>
            <w:vAlign w:val="center"/>
            <w:hideMark/>
          </w:tcPr>
          <w:p w14:paraId="01B71D66" w14:textId="77777777" w:rsidR="00170617" w:rsidRPr="002926D7" w:rsidRDefault="00170617"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UNDP</w:t>
            </w:r>
          </w:p>
        </w:tc>
        <w:tc>
          <w:tcPr>
            <w:tcW w:w="273" w:type="pct"/>
            <w:vMerge w:val="restart"/>
            <w:tcBorders>
              <w:top w:val="single" w:sz="8" w:space="0" w:color="auto"/>
              <w:left w:val="single" w:sz="8" w:space="0" w:color="auto"/>
              <w:bottom w:val="nil"/>
              <w:right w:val="single" w:sz="8" w:space="0" w:color="auto"/>
            </w:tcBorders>
            <w:vAlign w:val="center"/>
            <w:hideMark/>
          </w:tcPr>
          <w:p w14:paraId="68EF7F62"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62000</w:t>
            </w:r>
          </w:p>
        </w:tc>
        <w:tc>
          <w:tcPr>
            <w:tcW w:w="273" w:type="pct"/>
            <w:tcBorders>
              <w:top w:val="nil"/>
              <w:left w:val="nil"/>
              <w:bottom w:val="nil"/>
              <w:right w:val="single" w:sz="8" w:space="0" w:color="auto"/>
            </w:tcBorders>
            <w:vAlign w:val="center"/>
            <w:hideMark/>
          </w:tcPr>
          <w:p w14:paraId="46F6CEAF" w14:textId="77777777" w:rsidR="00170617" w:rsidRPr="002926D7" w:rsidRDefault="00170617" w:rsidP="002926D7">
            <w:pPr>
              <w:ind w:right="-8"/>
              <w:contextualSpacing/>
              <w:jc w:val="right"/>
              <w:rPr>
                <w:rFonts w:eastAsia="Times New Roman" w:cs="Calibri"/>
                <w:i/>
                <w:iCs/>
                <w:color w:val="000000"/>
                <w:sz w:val="14"/>
                <w:szCs w:val="14"/>
              </w:rPr>
            </w:pPr>
            <w:r w:rsidRPr="002926D7">
              <w:rPr>
                <w:rFonts w:eastAsia="Times New Roman" w:cs="Calibri"/>
                <w:i/>
                <w:iCs/>
                <w:color w:val="000000"/>
                <w:sz w:val="14"/>
                <w:szCs w:val="14"/>
              </w:rPr>
              <w:t> </w:t>
            </w:r>
          </w:p>
        </w:tc>
        <w:tc>
          <w:tcPr>
            <w:tcW w:w="275" w:type="pct"/>
            <w:tcBorders>
              <w:top w:val="nil"/>
              <w:left w:val="nil"/>
              <w:bottom w:val="single" w:sz="8" w:space="0" w:color="auto"/>
              <w:right w:val="single" w:sz="8" w:space="0" w:color="auto"/>
            </w:tcBorders>
            <w:vAlign w:val="center"/>
            <w:hideMark/>
          </w:tcPr>
          <w:p w14:paraId="0563F8A1"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71200</w:t>
            </w:r>
          </w:p>
        </w:tc>
        <w:tc>
          <w:tcPr>
            <w:tcW w:w="334" w:type="pct"/>
            <w:tcBorders>
              <w:top w:val="nil"/>
              <w:left w:val="nil"/>
              <w:bottom w:val="single" w:sz="8" w:space="0" w:color="auto"/>
              <w:right w:val="single" w:sz="8" w:space="0" w:color="auto"/>
            </w:tcBorders>
            <w:vAlign w:val="center"/>
            <w:hideMark/>
          </w:tcPr>
          <w:p w14:paraId="6745DEED"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International Consultants</w:t>
            </w:r>
          </w:p>
        </w:tc>
        <w:tc>
          <w:tcPr>
            <w:tcW w:w="363" w:type="pct"/>
            <w:tcBorders>
              <w:top w:val="nil"/>
              <w:left w:val="nil"/>
              <w:bottom w:val="single" w:sz="8" w:space="0" w:color="auto"/>
              <w:right w:val="single" w:sz="8" w:space="0" w:color="auto"/>
            </w:tcBorders>
            <w:noWrap/>
            <w:vAlign w:val="center"/>
            <w:hideMark/>
          </w:tcPr>
          <w:p w14:paraId="7E860AE7"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$22,701 </w:t>
            </w:r>
          </w:p>
        </w:tc>
        <w:tc>
          <w:tcPr>
            <w:tcW w:w="364" w:type="pct"/>
            <w:tcBorders>
              <w:top w:val="nil"/>
              <w:left w:val="nil"/>
              <w:bottom w:val="single" w:sz="8" w:space="0" w:color="auto"/>
              <w:right w:val="single" w:sz="8" w:space="0" w:color="auto"/>
            </w:tcBorders>
            <w:noWrap/>
            <w:vAlign w:val="center"/>
            <w:hideMark/>
          </w:tcPr>
          <w:p w14:paraId="775D33D4"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$30,755 </w:t>
            </w:r>
          </w:p>
        </w:tc>
        <w:tc>
          <w:tcPr>
            <w:tcW w:w="333" w:type="pct"/>
            <w:tcBorders>
              <w:top w:val="nil"/>
              <w:left w:val="nil"/>
              <w:bottom w:val="single" w:sz="8" w:space="0" w:color="auto"/>
              <w:right w:val="single" w:sz="8" w:space="0" w:color="auto"/>
            </w:tcBorders>
            <w:noWrap/>
            <w:vAlign w:val="center"/>
            <w:hideMark/>
          </w:tcPr>
          <w:p w14:paraId="4D9A4C38"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$13,914 </w:t>
            </w:r>
          </w:p>
        </w:tc>
        <w:tc>
          <w:tcPr>
            <w:tcW w:w="334" w:type="pct"/>
            <w:tcBorders>
              <w:top w:val="nil"/>
              <w:left w:val="nil"/>
              <w:bottom w:val="single" w:sz="8" w:space="0" w:color="auto"/>
              <w:right w:val="single" w:sz="8" w:space="0" w:color="auto"/>
            </w:tcBorders>
            <w:noWrap/>
            <w:vAlign w:val="center"/>
            <w:hideMark/>
          </w:tcPr>
          <w:p w14:paraId="336AD217"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$3,660 </w:t>
            </w:r>
          </w:p>
        </w:tc>
        <w:tc>
          <w:tcPr>
            <w:tcW w:w="276" w:type="pct"/>
            <w:tcBorders>
              <w:top w:val="nil"/>
              <w:left w:val="nil"/>
              <w:bottom w:val="single" w:sz="8" w:space="0" w:color="auto"/>
              <w:right w:val="single" w:sz="8" w:space="0" w:color="auto"/>
            </w:tcBorders>
            <w:noWrap/>
            <w:vAlign w:val="center"/>
            <w:hideMark/>
          </w:tcPr>
          <w:p w14:paraId="240A9CB7"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$2,197 </w:t>
            </w:r>
          </w:p>
        </w:tc>
        <w:tc>
          <w:tcPr>
            <w:tcW w:w="391" w:type="pct"/>
            <w:gridSpan w:val="2"/>
            <w:tcBorders>
              <w:top w:val="nil"/>
              <w:left w:val="nil"/>
              <w:bottom w:val="single" w:sz="8" w:space="0" w:color="auto"/>
              <w:right w:val="single" w:sz="8" w:space="0" w:color="auto"/>
            </w:tcBorders>
            <w:noWrap/>
            <w:vAlign w:val="center"/>
            <w:hideMark/>
          </w:tcPr>
          <w:p w14:paraId="462AE296"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$73,228 </w:t>
            </w:r>
          </w:p>
        </w:tc>
        <w:tc>
          <w:tcPr>
            <w:tcW w:w="181" w:type="pct"/>
            <w:tcBorders>
              <w:top w:val="nil"/>
              <w:left w:val="nil"/>
              <w:bottom w:val="single" w:sz="8" w:space="0" w:color="auto"/>
              <w:right w:val="single" w:sz="8" w:space="0" w:color="auto"/>
            </w:tcBorders>
            <w:noWrap/>
            <w:vAlign w:val="center"/>
            <w:hideMark/>
          </w:tcPr>
          <w:p w14:paraId="7643609E" w14:textId="77777777" w:rsidR="00170617" w:rsidRPr="002926D7" w:rsidRDefault="00170617" w:rsidP="002926D7">
            <w:pPr>
              <w:contextualSpacing/>
              <w:jc w:val="center"/>
              <w:rPr>
                <w:rFonts w:eastAsia="Times New Roman" w:cs="Calibri"/>
                <w:color w:val="000000"/>
                <w:sz w:val="14"/>
                <w:szCs w:val="14"/>
              </w:rPr>
            </w:pPr>
            <w:r w:rsidRPr="002926D7">
              <w:rPr>
                <w:rFonts w:eastAsia="Times New Roman" w:cs="Calibri"/>
                <w:color w:val="000000"/>
                <w:sz w:val="14"/>
                <w:szCs w:val="14"/>
              </w:rPr>
              <w:t>2</w:t>
            </w:r>
          </w:p>
        </w:tc>
      </w:tr>
      <w:tr w:rsidR="00170617" w:rsidRPr="002926D7" w14:paraId="7C2295C5" w14:textId="77777777" w:rsidTr="002926D7">
        <w:trPr>
          <w:trHeight w:val="288"/>
          <w:jc w:val="center"/>
        </w:trPr>
        <w:tc>
          <w:tcPr>
            <w:tcW w:w="423" w:type="pct"/>
            <w:vMerge/>
            <w:tcBorders>
              <w:left w:val="single" w:sz="8" w:space="0" w:color="auto"/>
              <w:right w:val="single" w:sz="8" w:space="0" w:color="auto"/>
            </w:tcBorders>
            <w:vAlign w:val="center"/>
          </w:tcPr>
          <w:p w14:paraId="1F503CB3" w14:textId="31B61E86" w:rsidR="00170617" w:rsidRPr="002926D7" w:rsidRDefault="00170617"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64355606" w14:textId="1B8A526A" w:rsidR="00170617" w:rsidRPr="002926D7" w:rsidRDefault="00170617" w:rsidP="002926D7">
            <w:pPr>
              <w:contextualSpacing/>
              <w:jc w:val="left"/>
              <w:rPr>
                <w:rFonts w:eastAsia="Times New Roman" w:cs="Calibri"/>
                <w:i/>
                <w:iCs/>
                <w:color w:val="000000"/>
                <w:sz w:val="14"/>
                <w:szCs w:val="14"/>
              </w:rPr>
            </w:pPr>
          </w:p>
        </w:tc>
        <w:tc>
          <w:tcPr>
            <w:tcW w:w="454" w:type="pct"/>
            <w:vMerge/>
            <w:tcBorders>
              <w:top w:val="single" w:sz="8" w:space="0" w:color="auto"/>
              <w:left w:val="single" w:sz="8" w:space="0" w:color="auto"/>
              <w:bottom w:val="nil"/>
              <w:right w:val="single" w:sz="8" w:space="0" w:color="auto"/>
            </w:tcBorders>
            <w:vAlign w:val="center"/>
            <w:hideMark/>
          </w:tcPr>
          <w:p w14:paraId="6D320A74" w14:textId="77777777" w:rsidR="00170617" w:rsidRPr="002926D7" w:rsidRDefault="00170617"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33C80205" w14:textId="77777777" w:rsidR="00170617" w:rsidRPr="002926D7" w:rsidRDefault="00170617"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1B0259A7" w14:textId="77777777" w:rsidR="00170617" w:rsidRPr="002926D7" w:rsidRDefault="00170617" w:rsidP="002926D7">
            <w:pPr>
              <w:contextualSpacing/>
              <w:jc w:val="left"/>
              <w:rPr>
                <w:rFonts w:eastAsia="Times New Roman" w:cs="Calibri"/>
                <w:i/>
                <w:iCs/>
                <w:color w:val="000000"/>
                <w:sz w:val="14"/>
                <w:szCs w:val="14"/>
              </w:rPr>
            </w:pPr>
          </w:p>
        </w:tc>
        <w:tc>
          <w:tcPr>
            <w:tcW w:w="273" w:type="pct"/>
            <w:tcBorders>
              <w:top w:val="nil"/>
              <w:left w:val="nil"/>
              <w:bottom w:val="nil"/>
              <w:right w:val="single" w:sz="8" w:space="0" w:color="auto"/>
            </w:tcBorders>
            <w:vAlign w:val="center"/>
            <w:hideMark/>
          </w:tcPr>
          <w:p w14:paraId="44361B5B" w14:textId="77777777" w:rsidR="00170617" w:rsidRPr="002926D7" w:rsidRDefault="00170617" w:rsidP="002926D7">
            <w:pPr>
              <w:ind w:right="-8"/>
              <w:contextualSpacing/>
              <w:jc w:val="right"/>
              <w:rPr>
                <w:rFonts w:eastAsia="Times New Roman" w:cs="Calibri"/>
                <w:i/>
                <w:iCs/>
                <w:color w:val="000000"/>
                <w:sz w:val="14"/>
                <w:szCs w:val="14"/>
              </w:rPr>
            </w:pPr>
            <w:r w:rsidRPr="002926D7">
              <w:rPr>
                <w:rFonts w:eastAsia="Times New Roman" w:cs="Calibri"/>
                <w:i/>
                <w:iCs/>
                <w:color w:val="000000"/>
                <w:sz w:val="14"/>
                <w:szCs w:val="14"/>
              </w:rPr>
              <w:t> </w:t>
            </w:r>
          </w:p>
        </w:tc>
        <w:tc>
          <w:tcPr>
            <w:tcW w:w="275" w:type="pct"/>
            <w:tcBorders>
              <w:top w:val="nil"/>
              <w:left w:val="nil"/>
              <w:bottom w:val="single" w:sz="8" w:space="0" w:color="auto"/>
              <w:right w:val="single" w:sz="8" w:space="0" w:color="auto"/>
            </w:tcBorders>
            <w:vAlign w:val="center"/>
            <w:hideMark/>
          </w:tcPr>
          <w:p w14:paraId="6AC45B08"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71300</w:t>
            </w:r>
          </w:p>
        </w:tc>
        <w:tc>
          <w:tcPr>
            <w:tcW w:w="334" w:type="pct"/>
            <w:tcBorders>
              <w:top w:val="nil"/>
              <w:left w:val="nil"/>
              <w:bottom w:val="single" w:sz="8" w:space="0" w:color="auto"/>
              <w:right w:val="single" w:sz="8" w:space="0" w:color="auto"/>
            </w:tcBorders>
            <w:vAlign w:val="center"/>
            <w:hideMark/>
          </w:tcPr>
          <w:p w14:paraId="09E52E1B"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Local Consultants</w:t>
            </w:r>
          </w:p>
        </w:tc>
        <w:tc>
          <w:tcPr>
            <w:tcW w:w="363" w:type="pct"/>
            <w:tcBorders>
              <w:top w:val="nil"/>
              <w:left w:val="nil"/>
              <w:bottom w:val="single" w:sz="8" w:space="0" w:color="auto"/>
              <w:right w:val="single" w:sz="8" w:space="0" w:color="auto"/>
            </w:tcBorders>
            <w:noWrap/>
            <w:vAlign w:val="center"/>
            <w:hideMark/>
          </w:tcPr>
          <w:p w14:paraId="38268060"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$90,907 </w:t>
            </w:r>
          </w:p>
        </w:tc>
        <w:tc>
          <w:tcPr>
            <w:tcW w:w="364" w:type="pct"/>
            <w:tcBorders>
              <w:top w:val="nil"/>
              <w:left w:val="nil"/>
              <w:bottom w:val="single" w:sz="8" w:space="0" w:color="auto"/>
              <w:right w:val="single" w:sz="8" w:space="0" w:color="auto"/>
            </w:tcBorders>
            <w:noWrap/>
            <w:vAlign w:val="center"/>
            <w:hideMark/>
          </w:tcPr>
          <w:p w14:paraId="3817B00D"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$123,158 </w:t>
            </w:r>
          </w:p>
        </w:tc>
        <w:tc>
          <w:tcPr>
            <w:tcW w:w="333" w:type="pct"/>
            <w:tcBorders>
              <w:top w:val="nil"/>
              <w:left w:val="nil"/>
              <w:bottom w:val="single" w:sz="8" w:space="0" w:color="auto"/>
              <w:right w:val="single" w:sz="8" w:space="0" w:color="auto"/>
            </w:tcBorders>
            <w:noWrap/>
            <w:vAlign w:val="center"/>
            <w:hideMark/>
          </w:tcPr>
          <w:p w14:paraId="7FC9C001"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$55,719 </w:t>
            </w:r>
          </w:p>
        </w:tc>
        <w:tc>
          <w:tcPr>
            <w:tcW w:w="334" w:type="pct"/>
            <w:tcBorders>
              <w:top w:val="nil"/>
              <w:left w:val="nil"/>
              <w:bottom w:val="single" w:sz="8" w:space="0" w:color="auto"/>
              <w:right w:val="single" w:sz="8" w:space="0" w:color="auto"/>
            </w:tcBorders>
            <w:noWrap/>
            <w:vAlign w:val="center"/>
            <w:hideMark/>
          </w:tcPr>
          <w:p w14:paraId="79D7EC08"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$14,657 </w:t>
            </w:r>
          </w:p>
        </w:tc>
        <w:tc>
          <w:tcPr>
            <w:tcW w:w="276" w:type="pct"/>
            <w:tcBorders>
              <w:top w:val="nil"/>
              <w:left w:val="nil"/>
              <w:bottom w:val="single" w:sz="8" w:space="0" w:color="auto"/>
              <w:right w:val="single" w:sz="8" w:space="0" w:color="auto"/>
            </w:tcBorders>
            <w:noWrap/>
            <w:vAlign w:val="center"/>
            <w:hideMark/>
          </w:tcPr>
          <w:p w14:paraId="6B86F0E8"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$8,797 </w:t>
            </w:r>
          </w:p>
        </w:tc>
        <w:tc>
          <w:tcPr>
            <w:tcW w:w="391" w:type="pct"/>
            <w:gridSpan w:val="2"/>
            <w:tcBorders>
              <w:top w:val="nil"/>
              <w:left w:val="nil"/>
              <w:bottom w:val="single" w:sz="8" w:space="0" w:color="auto"/>
              <w:right w:val="single" w:sz="8" w:space="0" w:color="auto"/>
            </w:tcBorders>
            <w:noWrap/>
            <w:vAlign w:val="center"/>
            <w:hideMark/>
          </w:tcPr>
          <w:p w14:paraId="32D4D3D1"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$293,239 </w:t>
            </w:r>
          </w:p>
        </w:tc>
        <w:tc>
          <w:tcPr>
            <w:tcW w:w="181" w:type="pct"/>
            <w:tcBorders>
              <w:top w:val="nil"/>
              <w:left w:val="nil"/>
              <w:bottom w:val="single" w:sz="8" w:space="0" w:color="auto"/>
              <w:right w:val="single" w:sz="8" w:space="0" w:color="auto"/>
            </w:tcBorders>
            <w:noWrap/>
            <w:vAlign w:val="center"/>
            <w:hideMark/>
          </w:tcPr>
          <w:p w14:paraId="29CEC32E" w14:textId="77777777" w:rsidR="00170617" w:rsidRPr="002926D7" w:rsidRDefault="00170617" w:rsidP="002926D7">
            <w:pPr>
              <w:contextualSpacing/>
              <w:jc w:val="center"/>
              <w:rPr>
                <w:rFonts w:eastAsia="Times New Roman" w:cs="Calibri"/>
                <w:color w:val="000000"/>
                <w:sz w:val="14"/>
                <w:szCs w:val="14"/>
              </w:rPr>
            </w:pPr>
            <w:r w:rsidRPr="002926D7">
              <w:rPr>
                <w:rFonts w:eastAsia="Times New Roman" w:cs="Calibri"/>
                <w:color w:val="000000"/>
                <w:sz w:val="14"/>
                <w:szCs w:val="14"/>
              </w:rPr>
              <w:t>3</w:t>
            </w:r>
          </w:p>
        </w:tc>
      </w:tr>
      <w:tr w:rsidR="00170617" w:rsidRPr="002926D7" w14:paraId="32AE6661" w14:textId="77777777" w:rsidTr="002926D7">
        <w:trPr>
          <w:trHeight w:val="288"/>
          <w:jc w:val="center"/>
        </w:trPr>
        <w:tc>
          <w:tcPr>
            <w:tcW w:w="423" w:type="pct"/>
            <w:vMerge/>
            <w:tcBorders>
              <w:left w:val="single" w:sz="8" w:space="0" w:color="auto"/>
              <w:right w:val="single" w:sz="8" w:space="0" w:color="auto"/>
            </w:tcBorders>
            <w:vAlign w:val="center"/>
          </w:tcPr>
          <w:p w14:paraId="55D8B381" w14:textId="513C1CA1" w:rsidR="00170617" w:rsidRPr="002926D7" w:rsidRDefault="00170617"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756B4F53" w14:textId="38B5A488" w:rsidR="00170617" w:rsidRPr="002926D7" w:rsidRDefault="00170617" w:rsidP="002926D7">
            <w:pPr>
              <w:contextualSpacing/>
              <w:jc w:val="left"/>
              <w:rPr>
                <w:rFonts w:eastAsia="Times New Roman" w:cs="Calibri"/>
                <w:i/>
                <w:iCs/>
                <w:color w:val="000000"/>
                <w:sz w:val="14"/>
                <w:szCs w:val="14"/>
              </w:rPr>
            </w:pPr>
          </w:p>
        </w:tc>
        <w:tc>
          <w:tcPr>
            <w:tcW w:w="454" w:type="pct"/>
            <w:vMerge/>
            <w:tcBorders>
              <w:top w:val="single" w:sz="8" w:space="0" w:color="auto"/>
              <w:left w:val="single" w:sz="8" w:space="0" w:color="auto"/>
              <w:bottom w:val="nil"/>
              <w:right w:val="single" w:sz="8" w:space="0" w:color="auto"/>
            </w:tcBorders>
            <w:vAlign w:val="center"/>
            <w:hideMark/>
          </w:tcPr>
          <w:p w14:paraId="30CF1FD6" w14:textId="77777777" w:rsidR="00170617" w:rsidRPr="002926D7" w:rsidRDefault="00170617"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150511D0" w14:textId="77777777" w:rsidR="00170617" w:rsidRPr="002926D7" w:rsidRDefault="00170617"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7E890D75" w14:textId="77777777" w:rsidR="00170617" w:rsidRPr="002926D7" w:rsidRDefault="00170617" w:rsidP="002926D7">
            <w:pPr>
              <w:contextualSpacing/>
              <w:jc w:val="left"/>
              <w:rPr>
                <w:rFonts w:eastAsia="Times New Roman" w:cs="Calibri"/>
                <w:i/>
                <w:iCs/>
                <w:color w:val="000000"/>
                <w:sz w:val="14"/>
                <w:szCs w:val="14"/>
              </w:rPr>
            </w:pPr>
          </w:p>
        </w:tc>
        <w:tc>
          <w:tcPr>
            <w:tcW w:w="273" w:type="pct"/>
            <w:tcBorders>
              <w:top w:val="nil"/>
              <w:left w:val="nil"/>
              <w:bottom w:val="nil"/>
              <w:right w:val="single" w:sz="8" w:space="0" w:color="auto"/>
            </w:tcBorders>
            <w:vAlign w:val="center"/>
            <w:hideMark/>
          </w:tcPr>
          <w:p w14:paraId="6AD64AD8" w14:textId="77777777" w:rsidR="00170617" w:rsidRPr="002926D7" w:rsidRDefault="00170617" w:rsidP="002926D7">
            <w:pPr>
              <w:ind w:right="-8"/>
              <w:contextualSpacing/>
              <w:jc w:val="right"/>
              <w:rPr>
                <w:rFonts w:eastAsia="Times New Roman" w:cs="Calibri"/>
                <w:i/>
                <w:iCs/>
                <w:color w:val="000000"/>
                <w:sz w:val="14"/>
                <w:szCs w:val="14"/>
              </w:rPr>
            </w:pPr>
            <w:r w:rsidRPr="002926D7">
              <w:rPr>
                <w:rFonts w:eastAsia="Times New Roman" w:cs="Calibri"/>
                <w:i/>
                <w:iCs/>
                <w:color w:val="000000"/>
                <w:sz w:val="14"/>
                <w:szCs w:val="14"/>
              </w:rPr>
              <w:t> </w:t>
            </w:r>
          </w:p>
        </w:tc>
        <w:tc>
          <w:tcPr>
            <w:tcW w:w="275" w:type="pct"/>
            <w:tcBorders>
              <w:top w:val="nil"/>
              <w:left w:val="nil"/>
              <w:bottom w:val="single" w:sz="8" w:space="0" w:color="auto"/>
              <w:right w:val="single" w:sz="8" w:space="0" w:color="auto"/>
            </w:tcBorders>
            <w:vAlign w:val="center"/>
            <w:hideMark/>
          </w:tcPr>
          <w:p w14:paraId="3A023EB9"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71400</w:t>
            </w:r>
          </w:p>
        </w:tc>
        <w:tc>
          <w:tcPr>
            <w:tcW w:w="334" w:type="pct"/>
            <w:tcBorders>
              <w:top w:val="nil"/>
              <w:left w:val="nil"/>
              <w:bottom w:val="single" w:sz="8" w:space="0" w:color="auto"/>
              <w:right w:val="single" w:sz="8" w:space="0" w:color="auto"/>
            </w:tcBorders>
            <w:vAlign w:val="center"/>
            <w:hideMark/>
          </w:tcPr>
          <w:p w14:paraId="032D1B99"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Contractual Services - Individ</w:t>
            </w:r>
          </w:p>
        </w:tc>
        <w:tc>
          <w:tcPr>
            <w:tcW w:w="363" w:type="pct"/>
            <w:tcBorders>
              <w:top w:val="nil"/>
              <w:left w:val="nil"/>
              <w:bottom w:val="single" w:sz="8" w:space="0" w:color="auto"/>
              <w:right w:val="single" w:sz="8" w:space="0" w:color="auto"/>
            </w:tcBorders>
            <w:noWrap/>
            <w:vAlign w:val="center"/>
            <w:hideMark/>
          </w:tcPr>
          <w:p w14:paraId="74886EA2"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$1,392,469 </w:t>
            </w:r>
          </w:p>
        </w:tc>
        <w:tc>
          <w:tcPr>
            <w:tcW w:w="364" w:type="pct"/>
            <w:tcBorders>
              <w:top w:val="nil"/>
              <w:left w:val="nil"/>
              <w:bottom w:val="single" w:sz="8" w:space="0" w:color="auto"/>
              <w:right w:val="single" w:sz="8" w:space="0" w:color="auto"/>
            </w:tcBorders>
            <w:noWrap/>
            <w:vAlign w:val="center"/>
            <w:hideMark/>
          </w:tcPr>
          <w:p w14:paraId="31092395"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$1,886,468 </w:t>
            </w:r>
          </w:p>
        </w:tc>
        <w:tc>
          <w:tcPr>
            <w:tcW w:w="333" w:type="pct"/>
            <w:tcBorders>
              <w:top w:val="nil"/>
              <w:left w:val="nil"/>
              <w:bottom w:val="single" w:sz="8" w:space="0" w:color="auto"/>
              <w:right w:val="single" w:sz="8" w:space="0" w:color="auto"/>
            </w:tcBorders>
            <w:noWrap/>
            <w:vAlign w:val="center"/>
            <w:hideMark/>
          </w:tcPr>
          <w:p w14:paraId="46A6D6BB"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$853,478 </w:t>
            </w:r>
          </w:p>
        </w:tc>
        <w:tc>
          <w:tcPr>
            <w:tcW w:w="334" w:type="pct"/>
            <w:tcBorders>
              <w:top w:val="nil"/>
              <w:left w:val="nil"/>
              <w:bottom w:val="single" w:sz="8" w:space="0" w:color="auto"/>
              <w:right w:val="single" w:sz="8" w:space="0" w:color="auto"/>
            </w:tcBorders>
            <w:noWrap/>
            <w:vAlign w:val="center"/>
            <w:hideMark/>
          </w:tcPr>
          <w:p w14:paraId="0988A857"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$224,504 </w:t>
            </w:r>
          </w:p>
        </w:tc>
        <w:tc>
          <w:tcPr>
            <w:tcW w:w="276" w:type="pct"/>
            <w:tcBorders>
              <w:top w:val="nil"/>
              <w:left w:val="nil"/>
              <w:bottom w:val="single" w:sz="8" w:space="0" w:color="auto"/>
              <w:right w:val="single" w:sz="8" w:space="0" w:color="auto"/>
            </w:tcBorders>
            <w:noWrap/>
            <w:vAlign w:val="center"/>
            <w:hideMark/>
          </w:tcPr>
          <w:p w14:paraId="5AAED45E"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$134,748 </w:t>
            </w:r>
          </w:p>
        </w:tc>
        <w:tc>
          <w:tcPr>
            <w:tcW w:w="391" w:type="pct"/>
            <w:gridSpan w:val="2"/>
            <w:tcBorders>
              <w:top w:val="nil"/>
              <w:left w:val="nil"/>
              <w:bottom w:val="single" w:sz="8" w:space="0" w:color="auto"/>
              <w:right w:val="single" w:sz="8" w:space="0" w:color="auto"/>
            </w:tcBorders>
            <w:noWrap/>
            <w:vAlign w:val="center"/>
            <w:hideMark/>
          </w:tcPr>
          <w:p w14:paraId="0015EDEC"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$4,491,666 </w:t>
            </w:r>
          </w:p>
        </w:tc>
        <w:tc>
          <w:tcPr>
            <w:tcW w:w="181" w:type="pct"/>
            <w:tcBorders>
              <w:top w:val="nil"/>
              <w:left w:val="nil"/>
              <w:bottom w:val="single" w:sz="8" w:space="0" w:color="auto"/>
              <w:right w:val="single" w:sz="8" w:space="0" w:color="auto"/>
            </w:tcBorders>
            <w:noWrap/>
            <w:vAlign w:val="center"/>
            <w:hideMark/>
          </w:tcPr>
          <w:p w14:paraId="64552D0E" w14:textId="77777777" w:rsidR="00170617" w:rsidRPr="002926D7" w:rsidRDefault="00170617" w:rsidP="002926D7">
            <w:pPr>
              <w:contextualSpacing/>
              <w:jc w:val="center"/>
              <w:rPr>
                <w:rFonts w:eastAsia="Times New Roman" w:cs="Calibri"/>
                <w:color w:val="000000"/>
                <w:sz w:val="14"/>
                <w:szCs w:val="14"/>
              </w:rPr>
            </w:pPr>
            <w:r w:rsidRPr="002926D7">
              <w:rPr>
                <w:rFonts w:eastAsia="Times New Roman" w:cs="Calibri"/>
                <w:color w:val="000000"/>
                <w:sz w:val="14"/>
                <w:szCs w:val="14"/>
              </w:rPr>
              <w:t>5</w:t>
            </w:r>
          </w:p>
        </w:tc>
      </w:tr>
      <w:tr w:rsidR="00170617" w:rsidRPr="002926D7" w14:paraId="63F84BCA" w14:textId="77777777" w:rsidTr="002926D7">
        <w:trPr>
          <w:trHeight w:val="288"/>
          <w:jc w:val="center"/>
        </w:trPr>
        <w:tc>
          <w:tcPr>
            <w:tcW w:w="423" w:type="pct"/>
            <w:vMerge/>
            <w:tcBorders>
              <w:left w:val="single" w:sz="8" w:space="0" w:color="auto"/>
              <w:right w:val="single" w:sz="8" w:space="0" w:color="auto"/>
            </w:tcBorders>
            <w:vAlign w:val="center"/>
          </w:tcPr>
          <w:p w14:paraId="679A54C1" w14:textId="151F64F4" w:rsidR="00170617" w:rsidRPr="002926D7" w:rsidRDefault="00170617"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26B24ED3" w14:textId="45B51216" w:rsidR="00170617" w:rsidRPr="002926D7" w:rsidRDefault="00170617" w:rsidP="002926D7">
            <w:pPr>
              <w:contextualSpacing/>
              <w:jc w:val="left"/>
              <w:rPr>
                <w:rFonts w:eastAsia="Times New Roman" w:cs="Calibri"/>
                <w:i/>
                <w:iCs/>
                <w:color w:val="000000"/>
                <w:sz w:val="14"/>
                <w:szCs w:val="14"/>
              </w:rPr>
            </w:pPr>
          </w:p>
        </w:tc>
        <w:tc>
          <w:tcPr>
            <w:tcW w:w="454" w:type="pct"/>
            <w:vMerge/>
            <w:tcBorders>
              <w:top w:val="single" w:sz="8" w:space="0" w:color="auto"/>
              <w:left w:val="single" w:sz="8" w:space="0" w:color="auto"/>
              <w:bottom w:val="nil"/>
              <w:right w:val="single" w:sz="8" w:space="0" w:color="auto"/>
            </w:tcBorders>
            <w:vAlign w:val="center"/>
            <w:hideMark/>
          </w:tcPr>
          <w:p w14:paraId="2186BEE9" w14:textId="77777777" w:rsidR="00170617" w:rsidRPr="002926D7" w:rsidRDefault="00170617"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4956A458" w14:textId="77777777" w:rsidR="00170617" w:rsidRPr="002926D7" w:rsidRDefault="00170617"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1BEBAA8C" w14:textId="77777777" w:rsidR="00170617" w:rsidRPr="002926D7" w:rsidRDefault="00170617" w:rsidP="002926D7">
            <w:pPr>
              <w:contextualSpacing/>
              <w:jc w:val="left"/>
              <w:rPr>
                <w:rFonts w:eastAsia="Times New Roman" w:cs="Calibri"/>
                <w:i/>
                <w:iCs/>
                <w:color w:val="000000"/>
                <w:sz w:val="14"/>
                <w:szCs w:val="14"/>
              </w:rPr>
            </w:pPr>
          </w:p>
        </w:tc>
        <w:tc>
          <w:tcPr>
            <w:tcW w:w="273" w:type="pct"/>
            <w:tcBorders>
              <w:top w:val="nil"/>
              <w:left w:val="nil"/>
              <w:bottom w:val="nil"/>
              <w:right w:val="single" w:sz="8" w:space="0" w:color="auto"/>
            </w:tcBorders>
            <w:vAlign w:val="center"/>
            <w:hideMark/>
          </w:tcPr>
          <w:p w14:paraId="3AFA89E3" w14:textId="77777777" w:rsidR="00170617" w:rsidRPr="002926D7" w:rsidRDefault="00170617" w:rsidP="002926D7">
            <w:pPr>
              <w:ind w:right="-8"/>
              <w:contextualSpacing/>
              <w:jc w:val="center"/>
              <w:rPr>
                <w:rFonts w:eastAsia="Times New Roman" w:cs="Calibri"/>
                <w:i/>
                <w:iCs/>
                <w:color w:val="000000"/>
                <w:sz w:val="14"/>
                <w:szCs w:val="14"/>
              </w:rPr>
            </w:pPr>
            <w:r w:rsidRPr="002926D7">
              <w:rPr>
                <w:rFonts w:eastAsia="Times New Roman" w:cs="Calibri"/>
                <w:i/>
                <w:iCs/>
                <w:color w:val="000000"/>
                <w:sz w:val="14"/>
                <w:szCs w:val="14"/>
              </w:rPr>
              <w:t>10003</w:t>
            </w:r>
          </w:p>
        </w:tc>
        <w:tc>
          <w:tcPr>
            <w:tcW w:w="275" w:type="pct"/>
            <w:tcBorders>
              <w:top w:val="nil"/>
              <w:left w:val="nil"/>
              <w:bottom w:val="single" w:sz="8" w:space="0" w:color="auto"/>
              <w:right w:val="single" w:sz="8" w:space="0" w:color="auto"/>
            </w:tcBorders>
            <w:vAlign w:val="center"/>
            <w:hideMark/>
          </w:tcPr>
          <w:p w14:paraId="388898D1"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71600</w:t>
            </w:r>
          </w:p>
        </w:tc>
        <w:tc>
          <w:tcPr>
            <w:tcW w:w="334" w:type="pct"/>
            <w:tcBorders>
              <w:top w:val="nil"/>
              <w:left w:val="nil"/>
              <w:bottom w:val="single" w:sz="8" w:space="0" w:color="auto"/>
              <w:right w:val="single" w:sz="8" w:space="0" w:color="auto"/>
            </w:tcBorders>
            <w:vAlign w:val="center"/>
            <w:hideMark/>
          </w:tcPr>
          <w:p w14:paraId="6B5B4B1C"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Travel</w:t>
            </w:r>
          </w:p>
        </w:tc>
        <w:tc>
          <w:tcPr>
            <w:tcW w:w="363" w:type="pct"/>
            <w:tcBorders>
              <w:top w:val="nil"/>
              <w:left w:val="nil"/>
              <w:bottom w:val="single" w:sz="8" w:space="0" w:color="auto"/>
              <w:right w:val="single" w:sz="8" w:space="0" w:color="auto"/>
            </w:tcBorders>
            <w:noWrap/>
            <w:vAlign w:val="center"/>
            <w:hideMark/>
          </w:tcPr>
          <w:p w14:paraId="285D726D"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$67,508 </w:t>
            </w:r>
          </w:p>
        </w:tc>
        <w:tc>
          <w:tcPr>
            <w:tcW w:w="364" w:type="pct"/>
            <w:tcBorders>
              <w:top w:val="nil"/>
              <w:left w:val="nil"/>
              <w:bottom w:val="single" w:sz="8" w:space="0" w:color="auto"/>
              <w:right w:val="single" w:sz="8" w:space="0" w:color="auto"/>
            </w:tcBorders>
            <w:noWrap/>
            <w:vAlign w:val="center"/>
            <w:hideMark/>
          </w:tcPr>
          <w:p w14:paraId="23FB7FD0"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$91,457 </w:t>
            </w:r>
          </w:p>
        </w:tc>
        <w:tc>
          <w:tcPr>
            <w:tcW w:w="333" w:type="pct"/>
            <w:tcBorders>
              <w:top w:val="nil"/>
              <w:left w:val="nil"/>
              <w:bottom w:val="single" w:sz="8" w:space="0" w:color="auto"/>
              <w:right w:val="single" w:sz="8" w:space="0" w:color="auto"/>
            </w:tcBorders>
            <w:noWrap/>
            <w:vAlign w:val="center"/>
            <w:hideMark/>
          </w:tcPr>
          <w:p w14:paraId="02631B98"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$41,377 </w:t>
            </w:r>
          </w:p>
        </w:tc>
        <w:tc>
          <w:tcPr>
            <w:tcW w:w="334" w:type="pct"/>
            <w:tcBorders>
              <w:top w:val="nil"/>
              <w:left w:val="nil"/>
              <w:bottom w:val="single" w:sz="8" w:space="0" w:color="auto"/>
              <w:right w:val="single" w:sz="8" w:space="0" w:color="auto"/>
            </w:tcBorders>
            <w:noWrap/>
            <w:vAlign w:val="center"/>
            <w:hideMark/>
          </w:tcPr>
          <w:p w14:paraId="2F263F35"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$10,884 </w:t>
            </w:r>
          </w:p>
        </w:tc>
        <w:tc>
          <w:tcPr>
            <w:tcW w:w="276" w:type="pct"/>
            <w:tcBorders>
              <w:top w:val="nil"/>
              <w:left w:val="nil"/>
              <w:bottom w:val="single" w:sz="8" w:space="0" w:color="auto"/>
              <w:right w:val="single" w:sz="8" w:space="0" w:color="auto"/>
            </w:tcBorders>
            <w:noWrap/>
            <w:vAlign w:val="center"/>
            <w:hideMark/>
          </w:tcPr>
          <w:p w14:paraId="69539571"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$6,533 </w:t>
            </w:r>
          </w:p>
        </w:tc>
        <w:tc>
          <w:tcPr>
            <w:tcW w:w="391" w:type="pct"/>
            <w:gridSpan w:val="2"/>
            <w:tcBorders>
              <w:top w:val="nil"/>
              <w:left w:val="nil"/>
              <w:bottom w:val="single" w:sz="8" w:space="0" w:color="auto"/>
              <w:right w:val="single" w:sz="8" w:space="0" w:color="auto"/>
            </w:tcBorders>
            <w:noWrap/>
            <w:vAlign w:val="center"/>
            <w:hideMark/>
          </w:tcPr>
          <w:p w14:paraId="469901F1"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$217,759 </w:t>
            </w:r>
          </w:p>
        </w:tc>
        <w:tc>
          <w:tcPr>
            <w:tcW w:w="181" w:type="pct"/>
            <w:tcBorders>
              <w:top w:val="nil"/>
              <w:left w:val="nil"/>
              <w:bottom w:val="single" w:sz="8" w:space="0" w:color="auto"/>
              <w:right w:val="single" w:sz="8" w:space="0" w:color="auto"/>
            </w:tcBorders>
            <w:noWrap/>
            <w:vAlign w:val="center"/>
            <w:hideMark/>
          </w:tcPr>
          <w:p w14:paraId="76EC57FC" w14:textId="77777777" w:rsidR="00170617" w:rsidRPr="002926D7" w:rsidRDefault="00170617" w:rsidP="002926D7">
            <w:pPr>
              <w:contextualSpacing/>
              <w:jc w:val="center"/>
              <w:rPr>
                <w:rFonts w:eastAsia="Times New Roman" w:cs="Calibri"/>
                <w:color w:val="000000"/>
                <w:sz w:val="14"/>
                <w:szCs w:val="14"/>
              </w:rPr>
            </w:pPr>
            <w:r w:rsidRPr="002926D7">
              <w:rPr>
                <w:rFonts w:eastAsia="Times New Roman" w:cs="Calibri"/>
                <w:color w:val="000000"/>
                <w:sz w:val="14"/>
                <w:szCs w:val="14"/>
              </w:rPr>
              <w:t>7</w:t>
            </w:r>
          </w:p>
        </w:tc>
      </w:tr>
      <w:tr w:rsidR="00170617" w:rsidRPr="002926D7" w14:paraId="3F080C46" w14:textId="77777777" w:rsidTr="002926D7">
        <w:trPr>
          <w:trHeight w:val="288"/>
          <w:jc w:val="center"/>
        </w:trPr>
        <w:tc>
          <w:tcPr>
            <w:tcW w:w="423" w:type="pct"/>
            <w:vMerge/>
            <w:tcBorders>
              <w:left w:val="single" w:sz="8" w:space="0" w:color="auto"/>
              <w:right w:val="single" w:sz="8" w:space="0" w:color="auto"/>
            </w:tcBorders>
            <w:vAlign w:val="center"/>
          </w:tcPr>
          <w:p w14:paraId="47807E4A" w14:textId="55106899" w:rsidR="00170617" w:rsidRPr="002926D7" w:rsidRDefault="00170617"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2779CB07" w14:textId="38EAF1A1" w:rsidR="00170617" w:rsidRPr="002926D7" w:rsidRDefault="00170617" w:rsidP="002926D7">
            <w:pPr>
              <w:contextualSpacing/>
              <w:jc w:val="left"/>
              <w:rPr>
                <w:rFonts w:eastAsia="Times New Roman" w:cs="Calibri"/>
                <w:i/>
                <w:iCs/>
                <w:color w:val="000000"/>
                <w:sz w:val="14"/>
                <w:szCs w:val="14"/>
              </w:rPr>
            </w:pPr>
          </w:p>
        </w:tc>
        <w:tc>
          <w:tcPr>
            <w:tcW w:w="454" w:type="pct"/>
            <w:vMerge/>
            <w:tcBorders>
              <w:top w:val="single" w:sz="8" w:space="0" w:color="auto"/>
              <w:left w:val="single" w:sz="8" w:space="0" w:color="auto"/>
              <w:bottom w:val="nil"/>
              <w:right w:val="single" w:sz="8" w:space="0" w:color="auto"/>
            </w:tcBorders>
            <w:vAlign w:val="center"/>
            <w:hideMark/>
          </w:tcPr>
          <w:p w14:paraId="066EA5D6" w14:textId="77777777" w:rsidR="00170617" w:rsidRPr="002926D7" w:rsidRDefault="00170617"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5DDCB17F" w14:textId="77777777" w:rsidR="00170617" w:rsidRPr="002926D7" w:rsidRDefault="00170617"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76923C29" w14:textId="77777777" w:rsidR="00170617" w:rsidRPr="002926D7" w:rsidRDefault="00170617" w:rsidP="002926D7">
            <w:pPr>
              <w:contextualSpacing/>
              <w:jc w:val="left"/>
              <w:rPr>
                <w:rFonts w:eastAsia="Times New Roman" w:cs="Calibri"/>
                <w:i/>
                <w:iCs/>
                <w:color w:val="000000"/>
                <w:sz w:val="14"/>
                <w:szCs w:val="14"/>
              </w:rPr>
            </w:pPr>
          </w:p>
        </w:tc>
        <w:tc>
          <w:tcPr>
            <w:tcW w:w="273" w:type="pct"/>
            <w:tcBorders>
              <w:top w:val="nil"/>
              <w:left w:val="nil"/>
              <w:bottom w:val="nil"/>
              <w:right w:val="single" w:sz="8" w:space="0" w:color="auto"/>
            </w:tcBorders>
            <w:vAlign w:val="center"/>
            <w:hideMark/>
          </w:tcPr>
          <w:p w14:paraId="631AE7BB" w14:textId="77777777" w:rsidR="00170617" w:rsidRPr="002926D7" w:rsidRDefault="00170617" w:rsidP="002926D7">
            <w:pPr>
              <w:ind w:right="-8"/>
              <w:contextualSpacing/>
              <w:jc w:val="left"/>
              <w:rPr>
                <w:rFonts w:eastAsia="Times New Roman" w:cs="Calibri"/>
                <w:i/>
                <w:iCs/>
                <w:color w:val="000000"/>
                <w:sz w:val="14"/>
                <w:szCs w:val="14"/>
              </w:rPr>
            </w:pPr>
            <w:r w:rsidRPr="002926D7">
              <w:rPr>
                <w:rFonts w:eastAsia="Times New Roman" w:cs="Calibri"/>
                <w:i/>
                <w:iCs/>
                <w:color w:val="000000"/>
                <w:sz w:val="14"/>
                <w:szCs w:val="14"/>
              </w:rPr>
              <w:t> </w:t>
            </w:r>
          </w:p>
        </w:tc>
        <w:tc>
          <w:tcPr>
            <w:tcW w:w="275" w:type="pct"/>
            <w:tcBorders>
              <w:top w:val="nil"/>
              <w:left w:val="nil"/>
              <w:bottom w:val="single" w:sz="8" w:space="0" w:color="auto"/>
              <w:right w:val="single" w:sz="8" w:space="0" w:color="auto"/>
            </w:tcBorders>
            <w:vAlign w:val="center"/>
            <w:hideMark/>
          </w:tcPr>
          <w:p w14:paraId="1A38CE12"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72500</w:t>
            </w:r>
          </w:p>
        </w:tc>
        <w:tc>
          <w:tcPr>
            <w:tcW w:w="334" w:type="pct"/>
            <w:tcBorders>
              <w:top w:val="nil"/>
              <w:left w:val="nil"/>
              <w:bottom w:val="single" w:sz="8" w:space="0" w:color="auto"/>
              <w:right w:val="single" w:sz="8" w:space="0" w:color="auto"/>
            </w:tcBorders>
            <w:vAlign w:val="center"/>
            <w:hideMark/>
          </w:tcPr>
          <w:p w14:paraId="104659EA"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Supplies</w:t>
            </w:r>
          </w:p>
        </w:tc>
        <w:tc>
          <w:tcPr>
            <w:tcW w:w="363" w:type="pct"/>
            <w:tcBorders>
              <w:top w:val="nil"/>
              <w:left w:val="nil"/>
              <w:bottom w:val="single" w:sz="8" w:space="0" w:color="auto"/>
              <w:right w:val="single" w:sz="8" w:space="0" w:color="auto"/>
            </w:tcBorders>
            <w:noWrap/>
            <w:vAlign w:val="center"/>
            <w:hideMark/>
          </w:tcPr>
          <w:p w14:paraId="75F42385"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$5,740 </w:t>
            </w:r>
          </w:p>
        </w:tc>
        <w:tc>
          <w:tcPr>
            <w:tcW w:w="364" w:type="pct"/>
            <w:tcBorders>
              <w:top w:val="nil"/>
              <w:left w:val="nil"/>
              <w:bottom w:val="single" w:sz="8" w:space="0" w:color="auto"/>
              <w:right w:val="single" w:sz="8" w:space="0" w:color="auto"/>
            </w:tcBorders>
            <w:noWrap/>
            <w:vAlign w:val="center"/>
            <w:hideMark/>
          </w:tcPr>
          <w:p w14:paraId="3203AA64"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$7,777 </w:t>
            </w:r>
          </w:p>
        </w:tc>
        <w:tc>
          <w:tcPr>
            <w:tcW w:w="333" w:type="pct"/>
            <w:tcBorders>
              <w:top w:val="nil"/>
              <w:left w:val="nil"/>
              <w:bottom w:val="single" w:sz="8" w:space="0" w:color="auto"/>
              <w:right w:val="single" w:sz="8" w:space="0" w:color="auto"/>
            </w:tcBorders>
            <w:noWrap/>
            <w:vAlign w:val="center"/>
            <w:hideMark/>
          </w:tcPr>
          <w:p w14:paraId="51AC8895"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$3,518 </w:t>
            </w:r>
          </w:p>
        </w:tc>
        <w:tc>
          <w:tcPr>
            <w:tcW w:w="334" w:type="pct"/>
            <w:tcBorders>
              <w:top w:val="nil"/>
              <w:left w:val="nil"/>
              <w:bottom w:val="single" w:sz="8" w:space="0" w:color="auto"/>
              <w:right w:val="single" w:sz="8" w:space="0" w:color="auto"/>
            </w:tcBorders>
            <w:noWrap/>
            <w:vAlign w:val="center"/>
            <w:hideMark/>
          </w:tcPr>
          <w:p w14:paraId="63009631"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$925 </w:t>
            </w:r>
          </w:p>
        </w:tc>
        <w:tc>
          <w:tcPr>
            <w:tcW w:w="276" w:type="pct"/>
            <w:tcBorders>
              <w:top w:val="nil"/>
              <w:left w:val="nil"/>
              <w:bottom w:val="single" w:sz="8" w:space="0" w:color="auto"/>
              <w:right w:val="single" w:sz="8" w:space="0" w:color="auto"/>
            </w:tcBorders>
            <w:noWrap/>
            <w:vAlign w:val="center"/>
            <w:hideMark/>
          </w:tcPr>
          <w:p w14:paraId="288EBC61"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$555 </w:t>
            </w:r>
          </w:p>
        </w:tc>
        <w:tc>
          <w:tcPr>
            <w:tcW w:w="391" w:type="pct"/>
            <w:gridSpan w:val="2"/>
            <w:tcBorders>
              <w:top w:val="nil"/>
              <w:left w:val="nil"/>
              <w:bottom w:val="single" w:sz="8" w:space="0" w:color="auto"/>
              <w:right w:val="single" w:sz="8" w:space="0" w:color="auto"/>
            </w:tcBorders>
            <w:noWrap/>
            <w:vAlign w:val="center"/>
            <w:hideMark/>
          </w:tcPr>
          <w:p w14:paraId="06DDA245"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$18,516 </w:t>
            </w:r>
          </w:p>
        </w:tc>
        <w:tc>
          <w:tcPr>
            <w:tcW w:w="181" w:type="pct"/>
            <w:tcBorders>
              <w:top w:val="nil"/>
              <w:left w:val="nil"/>
              <w:bottom w:val="single" w:sz="8" w:space="0" w:color="auto"/>
              <w:right w:val="single" w:sz="8" w:space="0" w:color="auto"/>
            </w:tcBorders>
            <w:noWrap/>
            <w:vAlign w:val="center"/>
            <w:hideMark/>
          </w:tcPr>
          <w:p w14:paraId="7FA6DA0C" w14:textId="77777777" w:rsidR="00170617" w:rsidRPr="002926D7" w:rsidRDefault="00170617" w:rsidP="002926D7">
            <w:pPr>
              <w:contextualSpacing/>
              <w:jc w:val="center"/>
              <w:rPr>
                <w:rFonts w:eastAsia="Times New Roman" w:cs="Calibri"/>
                <w:color w:val="000000"/>
                <w:sz w:val="14"/>
                <w:szCs w:val="14"/>
              </w:rPr>
            </w:pPr>
            <w:r w:rsidRPr="002926D7">
              <w:rPr>
                <w:rFonts w:eastAsia="Times New Roman" w:cs="Calibri"/>
                <w:color w:val="000000"/>
                <w:sz w:val="14"/>
                <w:szCs w:val="14"/>
              </w:rPr>
              <w:t>10</w:t>
            </w:r>
          </w:p>
        </w:tc>
      </w:tr>
      <w:tr w:rsidR="00170617" w:rsidRPr="002926D7" w14:paraId="2C4E4481" w14:textId="77777777" w:rsidTr="002926D7">
        <w:trPr>
          <w:trHeight w:val="288"/>
          <w:jc w:val="center"/>
        </w:trPr>
        <w:tc>
          <w:tcPr>
            <w:tcW w:w="423" w:type="pct"/>
            <w:vMerge/>
            <w:tcBorders>
              <w:left w:val="single" w:sz="8" w:space="0" w:color="auto"/>
              <w:right w:val="single" w:sz="8" w:space="0" w:color="auto"/>
            </w:tcBorders>
            <w:vAlign w:val="center"/>
          </w:tcPr>
          <w:p w14:paraId="32CBB478" w14:textId="70376219" w:rsidR="00170617" w:rsidRPr="002926D7" w:rsidRDefault="00170617"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4BD72DAB" w14:textId="6A36C258" w:rsidR="00170617" w:rsidRPr="002926D7" w:rsidRDefault="00170617" w:rsidP="002926D7">
            <w:pPr>
              <w:contextualSpacing/>
              <w:jc w:val="left"/>
              <w:rPr>
                <w:rFonts w:eastAsia="Times New Roman" w:cs="Calibri"/>
                <w:i/>
                <w:iCs/>
                <w:color w:val="000000"/>
                <w:sz w:val="14"/>
                <w:szCs w:val="14"/>
              </w:rPr>
            </w:pPr>
          </w:p>
        </w:tc>
        <w:tc>
          <w:tcPr>
            <w:tcW w:w="454" w:type="pct"/>
            <w:vMerge/>
            <w:tcBorders>
              <w:top w:val="single" w:sz="8" w:space="0" w:color="auto"/>
              <w:left w:val="single" w:sz="8" w:space="0" w:color="auto"/>
              <w:bottom w:val="nil"/>
              <w:right w:val="single" w:sz="8" w:space="0" w:color="auto"/>
            </w:tcBorders>
            <w:vAlign w:val="center"/>
            <w:hideMark/>
          </w:tcPr>
          <w:p w14:paraId="18FFDD4E" w14:textId="77777777" w:rsidR="00170617" w:rsidRPr="002926D7" w:rsidRDefault="00170617"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2AD9A732" w14:textId="77777777" w:rsidR="00170617" w:rsidRPr="002926D7" w:rsidRDefault="00170617"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7AEFE2EE" w14:textId="77777777" w:rsidR="00170617" w:rsidRPr="002926D7" w:rsidRDefault="00170617" w:rsidP="002926D7">
            <w:pPr>
              <w:contextualSpacing/>
              <w:jc w:val="left"/>
              <w:rPr>
                <w:rFonts w:eastAsia="Times New Roman" w:cs="Calibri"/>
                <w:i/>
                <w:iCs/>
                <w:color w:val="000000"/>
                <w:sz w:val="14"/>
                <w:szCs w:val="14"/>
              </w:rPr>
            </w:pPr>
          </w:p>
        </w:tc>
        <w:tc>
          <w:tcPr>
            <w:tcW w:w="273" w:type="pct"/>
            <w:tcBorders>
              <w:top w:val="nil"/>
              <w:left w:val="nil"/>
              <w:bottom w:val="nil"/>
              <w:right w:val="single" w:sz="8" w:space="0" w:color="auto"/>
            </w:tcBorders>
            <w:vAlign w:val="center"/>
            <w:hideMark/>
          </w:tcPr>
          <w:p w14:paraId="5FE1C663" w14:textId="77777777" w:rsidR="00170617" w:rsidRPr="002926D7" w:rsidRDefault="00170617" w:rsidP="002926D7">
            <w:pPr>
              <w:ind w:right="-8"/>
              <w:contextualSpacing/>
              <w:jc w:val="left"/>
              <w:rPr>
                <w:rFonts w:ascii="Arial" w:eastAsia="Times New Roman" w:hAnsi="Arial" w:cs="Arial"/>
                <w:color w:val="000000"/>
                <w:sz w:val="14"/>
                <w:szCs w:val="14"/>
              </w:rPr>
            </w:pPr>
            <w:r w:rsidRPr="002926D7">
              <w:rPr>
                <w:rFonts w:ascii="Arial" w:eastAsia="Times New Roman" w:hAnsi="Arial" w:cs="Arial"/>
                <w:color w:val="000000"/>
                <w:sz w:val="14"/>
                <w:szCs w:val="14"/>
              </w:rPr>
              <w:t> </w:t>
            </w:r>
          </w:p>
        </w:tc>
        <w:tc>
          <w:tcPr>
            <w:tcW w:w="275" w:type="pct"/>
            <w:tcBorders>
              <w:top w:val="nil"/>
              <w:left w:val="nil"/>
              <w:bottom w:val="single" w:sz="8" w:space="0" w:color="auto"/>
              <w:right w:val="single" w:sz="8" w:space="0" w:color="auto"/>
            </w:tcBorders>
            <w:vAlign w:val="center"/>
            <w:hideMark/>
          </w:tcPr>
          <w:p w14:paraId="73849C9A"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75700</w:t>
            </w:r>
          </w:p>
        </w:tc>
        <w:tc>
          <w:tcPr>
            <w:tcW w:w="334" w:type="pct"/>
            <w:tcBorders>
              <w:top w:val="nil"/>
              <w:left w:val="nil"/>
              <w:bottom w:val="single" w:sz="8" w:space="0" w:color="auto"/>
              <w:right w:val="single" w:sz="8" w:space="0" w:color="auto"/>
            </w:tcBorders>
            <w:vAlign w:val="center"/>
            <w:hideMark/>
          </w:tcPr>
          <w:p w14:paraId="4178BB94"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Training, Workshops and Confer</w:t>
            </w:r>
          </w:p>
        </w:tc>
        <w:tc>
          <w:tcPr>
            <w:tcW w:w="363" w:type="pct"/>
            <w:tcBorders>
              <w:top w:val="nil"/>
              <w:left w:val="nil"/>
              <w:bottom w:val="single" w:sz="8" w:space="0" w:color="auto"/>
              <w:right w:val="single" w:sz="8" w:space="0" w:color="auto"/>
            </w:tcBorders>
            <w:noWrap/>
            <w:vAlign w:val="center"/>
            <w:hideMark/>
          </w:tcPr>
          <w:p w14:paraId="4FC0EB84"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$29,056 </w:t>
            </w:r>
          </w:p>
        </w:tc>
        <w:tc>
          <w:tcPr>
            <w:tcW w:w="364" w:type="pct"/>
            <w:tcBorders>
              <w:top w:val="nil"/>
              <w:left w:val="nil"/>
              <w:bottom w:val="single" w:sz="8" w:space="0" w:color="auto"/>
              <w:right w:val="single" w:sz="8" w:space="0" w:color="auto"/>
            </w:tcBorders>
            <w:noWrap/>
            <w:vAlign w:val="center"/>
            <w:hideMark/>
          </w:tcPr>
          <w:p w14:paraId="3717FD1F"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$39,365 </w:t>
            </w:r>
          </w:p>
        </w:tc>
        <w:tc>
          <w:tcPr>
            <w:tcW w:w="333" w:type="pct"/>
            <w:tcBorders>
              <w:top w:val="nil"/>
              <w:left w:val="nil"/>
              <w:bottom w:val="single" w:sz="8" w:space="0" w:color="auto"/>
              <w:right w:val="single" w:sz="8" w:space="0" w:color="auto"/>
            </w:tcBorders>
            <w:noWrap/>
            <w:vAlign w:val="center"/>
            <w:hideMark/>
          </w:tcPr>
          <w:p w14:paraId="2E5663C2"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$17,809 </w:t>
            </w:r>
          </w:p>
        </w:tc>
        <w:tc>
          <w:tcPr>
            <w:tcW w:w="334" w:type="pct"/>
            <w:tcBorders>
              <w:top w:val="nil"/>
              <w:left w:val="nil"/>
              <w:bottom w:val="single" w:sz="8" w:space="0" w:color="auto"/>
              <w:right w:val="single" w:sz="8" w:space="0" w:color="auto"/>
            </w:tcBorders>
            <w:noWrap/>
            <w:vAlign w:val="center"/>
            <w:hideMark/>
          </w:tcPr>
          <w:p w14:paraId="433DC69E"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$4,685 </w:t>
            </w:r>
          </w:p>
        </w:tc>
        <w:tc>
          <w:tcPr>
            <w:tcW w:w="276" w:type="pct"/>
            <w:tcBorders>
              <w:top w:val="nil"/>
              <w:left w:val="nil"/>
              <w:bottom w:val="single" w:sz="8" w:space="0" w:color="auto"/>
              <w:right w:val="single" w:sz="8" w:space="0" w:color="auto"/>
            </w:tcBorders>
            <w:noWrap/>
            <w:vAlign w:val="center"/>
            <w:hideMark/>
          </w:tcPr>
          <w:p w14:paraId="33F97DA1"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$2,812 </w:t>
            </w:r>
          </w:p>
        </w:tc>
        <w:tc>
          <w:tcPr>
            <w:tcW w:w="391" w:type="pct"/>
            <w:gridSpan w:val="2"/>
            <w:tcBorders>
              <w:top w:val="nil"/>
              <w:left w:val="nil"/>
              <w:bottom w:val="single" w:sz="8" w:space="0" w:color="auto"/>
              <w:right w:val="single" w:sz="8" w:space="0" w:color="auto"/>
            </w:tcBorders>
            <w:noWrap/>
            <w:vAlign w:val="center"/>
            <w:hideMark/>
          </w:tcPr>
          <w:p w14:paraId="0555685A"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$93,727 </w:t>
            </w:r>
          </w:p>
        </w:tc>
        <w:tc>
          <w:tcPr>
            <w:tcW w:w="181" w:type="pct"/>
            <w:tcBorders>
              <w:top w:val="nil"/>
              <w:left w:val="nil"/>
              <w:bottom w:val="single" w:sz="8" w:space="0" w:color="auto"/>
              <w:right w:val="single" w:sz="8" w:space="0" w:color="auto"/>
            </w:tcBorders>
            <w:noWrap/>
            <w:vAlign w:val="center"/>
            <w:hideMark/>
          </w:tcPr>
          <w:p w14:paraId="3890F686" w14:textId="77777777" w:rsidR="00170617" w:rsidRPr="002926D7" w:rsidRDefault="00170617" w:rsidP="002926D7">
            <w:pPr>
              <w:contextualSpacing/>
              <w:jc w:val="center"/>
              <w:rPr>
                <w:rFonts w:eastAsia="Times New Roman" w:cs="Calibri"/>
                <w:color w:val="000000"/>
                <w:sz w:val="14"/>
                <w:szCs w:val="14"/>
              </w:rPr>
            </w:pPr>
            <w:r w:rsidRPr="002926D7">
              <w:rPr>
                <w:rFonts w:eastAsia="Times New Roman" w:cs="Calibri"/>
                <w:color w:val="000000"/>
                <w:sz w:val="14"/>
                <w:szCs w:val="14"/>
              </w:rPr>
              <w:t>6</w:t>
            </w:r>
          </w:p>
        </w:tc>
      </w:tr>
      <w:tr w:rsidR="00170617" w:rsidRPr="002926D7" w14:paraId="78CC5C9B" w14:textId="77777777" w:rsidTr="002926D7">
        <w:trPr>
          <w:trHeight w:val="288"/>
          <w:jc w:val="center"/>
        </w:trPr>
        <w:tc>
          <w:tcPr>
            <w:tcW w:w="423" w:type="pct"/>
            <w:vMerge/>
            <w:tcBorders>
              <w:left w:val="single" w:sz="8" w:space="0" w:color="auto"/>
              <w:right w:val="single" w:sz="8" w:space="0" w:color="auto"/>
            </w:tcBorders>
            <w:vAlign w:val="center"/>
          </w:tcPr>
          <w:p w14:paraId="51A6C9D3" w14:textId="0A845840" w:rsidR="00170617" w:rsidRPr="002926D7" w:rsidRDefault="00170617"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06999001" w14:textId="1CC2D942" w:rsidR="00170617" w:rsidRPr="002926D7" w:rsidRDefault="00170617" w:rsidP="002926D7">
            <w:pPr>
              <w:contextualSpacing/>
              <w:jc w:val="left"/>
              <w:rPr>
                <w:rFonts w:eastAsia="Times New Roman" w:cs="Calibri"/>
                <w:i/>
                <w:iCs/>
                <w:color w:val="000000"/>
                <w:sz w:val="14"/>
                <w:szCs w:val="14"/>
              </w:rPr>
            </w:pPr>
          </w:p>
        </w:tc>
        <w:tc>
          <w:tcPr>
            <w:tcW w:w="454" w:type="pct"/>
            <w:vMerge/>
            <w:tcBorders>
              <w:top w:val="single" w:sz="8" w:space="0" w:color="auto"/>
              <w:left w:val="single" w:sz="8" w:space="0" w:color="auto"/>
              <w:bottom w:val="nil"/>
              <w:right w:val="single" w:sz="8" w:space="0" w:color="auto"/>
            </w:tcBorders>
            <w:vAlign w:val="center"/>
            <w:hideMark/>
          </w:tcPr>
          <w:p w14:paraId="4C361C80" w14:textId="77777777" w:rsidR="00170617" w:rsidRPr="002926D7" w:rsidRDefault="00170617"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52F045CC" w14:textId="77777777" w:rsidR="00170617" w:rsidRPr="002926D7" w:rsidRDefault="00170617"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66B28124" w14:textId="77777777" w:rsidR="00170617" w:rsidRPr="002926D7" w:rsidRDefault="00170617" w:rsidP="002926D7">
            <w:pPr>
              <w:contextualSpacing/>
              <w:jc w:val="left"/>
              <w:rPr>
                <w:rFonts w:eastAsia="Times New Roman" w:cs="Calibri"/>
                <w:i/>
                <w:iCs/>
                <w:color w:val="000000"/>
                <w:sz w:val="14"/>
                <w:szCs w:val="14"/>
              </w:rPr>
            </w:pPr>
          </w:p>
        </w:tc>
        <w:tc>
          <w:tcPr>
            <w:tcW w:w="273" w:type="pct"/>
            <w:tcBorders>
              <w:top w:val="nil"/>
              <w:left w:val="nil"/>
              <w:bottom w:val="nil"/>
              <w:right w:val="single" w:sz="8" w:space="0" w:color="auto"/>
            </w:tcBorders>
            <w:vAlign w:val="center"/>
            <w:hideMark/>
          </w:tcPr>
          <w:p w14:paraId="691140B4" w14:textId="77777777" w:rsidR="00170617" w:rsidRPr="002926D7" w:rsidRDefault="00170617" w:rsidP="002926D7">
            <w:pPr>
              <w:ind w:right="-8"/>
              <w:contextualSpacing/>
              <w:jc w:val="left"/>
              <w:rPr>
                <w:rFonts w:ascii="Arial" w:eastAsia="Times New Roman" w:hAnsi="Arial" w:cs="Arial"/>
                <w:color w:val="000000"/>
                <w:sz w:val="14"/>
                <w:szCs w:val="14"/>
              </w:rPr>
            </w:pPr>
            <w:r w:rsidRPr="002926D7">
              <w:rPr>
                <w:rFonts w:ascii="Arial" w:eastAsia="Times New Roman" w:hAnsi="Arial" w:cs="Arial"/>
                <w:color w:val="000000"/>
                <w:sz w:val="14"/>
                <w:szCs w:val="14"/>
              </w:rPr>
              <w:t> </w:t>
            </w:r>
          </w:p>
        </w:tc>
        <w:tc>
          <w:tcPr>
            <w:tcW w:w="275" w:type="pct"/>
            <w:tcBorders>
              <w:top w:val="nil"/>
              <w:left w:val="nil"/>
              <w:bottom w:val="single" w:sz="8" w:space="0" w:color="auto"/>
              <w:right w:val="single" w:sz="8" w:space="0" w:color="auto"/>
            </w:tcBorders>
            <w:vAlign w:val="center"/>
            <w:hideMark/>
          </w:tcPr>
          <w:p w14:paraId="55EC388B"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61200</w:t>
            </w:r>
          </w:p>
        </w:tc>
        <w:tc>
          <w:tcPr>
            <w:tcW w:w="334" w:type="pct"/>
            <w:tcBorders>
              <w:top w:val="nil"/>
              <w:left w:val="nil"/>
              <w:bottom w:val="single" w:sz="8" w:space="0" w:color="auto"/>
              <w:right w:val="single" w:sz="8" w:space="0" w:color="auto"/>
            </w:tcBorders>
            <w:vAlign w:val="center"/>
            <w:hideMark/>
          </w:tcPr>
          <w:p w14:paraId="62420FB3"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Salaries Costs - GS Staff</w:t>
            </w:r>
          </w:p>
        </w:tc>
        <w:tc>
          <w:tcPr>
            <w:tcW w:w="363" w:type="pct"/>
            <w:tcBorders>
              <w:top w:val="nil"/>
              <w:left w:val="nil"/>
              <w:bottom w:val="single" w:sz="8" w:space="0" w:color="auto"/>
              <w:right w:val="single" w:sz="8" w:space="0" w:color="auto"/>
            </w:tcBorders>
            <w:noWrap/>
            <w:vAlign w:val="center"/>
            <w:hideMark/>
          </w:tcPr>
          <w:p w14:paraId="1B6132C0"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$185,131 </w:t>
            </w:r>
          </w:p>
        </w:tc>
        <w:tc>
          <w:tcPr>
            <w:tcW w:w="364" w:type="pct"/>
            <w:tcBorders>
              <w:top w:val="nil"/>
              <w:left w:val="nil"/>
              <w:bottom w:val="single" w:sz="8" w:space="0" w:color="auto"/>
              <w:right w:val="single" w:sz="8" w:space="0" w:color="auto"/>
            </w:tcBorders>
            <w:noWrap/>
            <w:vAlign w:val="center"/>
            <w:hideMark/>
          </w:tcPr>
          <w:p w14:paraId="7AE4B8BA"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$250,809 </w:t>
            </w:r>
          </w:p>
        </w:tc>
        <w:tc>
          <w:tcPr>
            <w:tcW w:w="333" w:type="pct"/>
            <w:tcBorders>
              <w:top w:val="nil"/>
              <w:left w:val="nil"/>
              <w:bottom w:val="single" w:sz="8" w:space="0" w:color="auto"/>
              <w:right w:val="single" w:sz="8" w:space="0" w:color="auto"/>
            </w:tcBorders>
            <w:noWrap/>
            <w:vAlign w:val="center"/>
            <w:hideMark/>
          </w:tcPr>
          <w:p w14:paraId="338FB4A0"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$113,471 </w:t>
            </w:r>
          </w:p>
        </w:tc>
        <w:tc>
          <w:tcPr>
            <w:tcW w:w="334" w:type="pct"/>
            <w:tcBorders>
              <w:top w:val="nil"/>
              <w:left w:val="nil"/>
              <w:bottom w:val="single" w:sz="8" w:space="0" w:color="auto"/>
              <w:right w:val="single" w:sz="8" w:space="0" w:color="auto"/>
            </w:tcBorders>
            <w:noWrap/>
            <w:vAlign w:val="center"/>
            <w:hideMark/>
          </w:tcPr>
          <w:p w14:paraId="2B113E1C"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$29,848 </w:t>
            </w:r>
          </w:p>
        </w:tc>
        <w:tc>
          <w:tcPr>
            <w:tcW w:w="276" w:type="pct"/>
            <w:tcBorders>
              <w:top w:val="nil"/>
              <w:left w:val="nil"/>
              <w:bottom w:val="single" w:sz="8" w:space="0" w:color="auto"/>
              <w:right w:val="single" w:sz="8" w:space="0" w:color="auto"/>
            </w:tcBorders>
            <w:noWrap/>
            <w:vAlign w:val="center"/>
            <w:hideMark/>
          </w:tcPr>
          <w:p w14:paraId="4F8885CC"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$17,915 </w:t>
            </w:r>
          </w:p>
        </w:tc>
        <w:tc>
          <w:tcPr>
            <w:tcW w:w="391" w:type="pct"/>
            <w:gridSpan w:val="2"/>
            <w:tcBorders>
              <w:top w:val="nil"/>
              <w:left w:val="nil"/>
              <w:bottom w:val="single" w:sz="8" w:space="0" w:color="auto"/>
              <w:right w:val="single" w:sz="8" w:space="0" w:color="auto"/>
            </w:tcBorders>
            <w:noWrap/>
            <w:vAlign w:val="center"/>
            <w:hideMark/>
          </w:tcPr>
          <w:p w14:paraId="4381C3D8"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$597,173 </w:t>
            </w:r>
          </w:p>
        </w:tc>
        <w:tc>
          <w:tcPr>
            <w:tcW w:w="181" w:type="pct"/>
            <w:tcBorders>
              <w:top w:val="nil"/>
              <w:left w:val="nil"/>
              <w:bottom w:val="single" w:sz="8" w:space="0" w:color="auto"/>
              <w:right w:val="single" w:sz="8" w:space="0" w:color="auto"/>
            </w:tcBorders>
            <w:noWrap/>
            <w:vAlign w:val="center"/>
            <w:hideMark/>
          </w:tcPr>
          <w:p w14:paraId="6442FC0D" w14:textId="77777777" w:rsidR="00170617" w:rsidRPr="002926D7" w:rsidRDefault="00170617" w:rsidP="002926D7">
            <w:pPr>
              <w:contextualSpacing/>
              <w:jc w:val="center"/>
              <w:rPr>
                <w:rFonts w:eastAsia="Times New Roman" w:cs="Calibri"/>
                <w:color w:val="000000"/>
                <w:sz w:val="14"/>
                <w:szCs w:val="14"/>
              </w:rPr>
            </w:pPr>
            <w:r w:rsidRPr="002926D7">
              <w:rPr>
                <w:rFonts w:eastAsia="Times New Roman" w:cs="Calibri"/>
                <w:color w:val="000000"/>
                <w:sz w:val="14"/>
                <w:szCs w:val="14"/>
              </w:rPr>
              <w:t>4</w:t>
            </w:r>
          </w:p>
        </w:tc>
      </w:tr>
      <w:tr w:rsidR="00170617" w:rsidRPr="002926D7" w14:paraId="06F2A282" w14:textId="77777777" w:rsidTr="002926D7">
        <w:trPr>
          <w:trHeight w:val="288"/>
          <w:jc w:val="center"/>
        </w:trPr>
        <w:tc>
          <w:tcPr>
            <w:tcW w:w="423" w:type="pct"/>
            <w:vMerge/>
            <w:tcBorders>
              <w:left w:val="single" w:sz="8" w:space="0" w:color="auto"/>
              <w:right w:val="single" w:sz="8" w:space="0" w:color="auto"/>
            </w:tcBorders>
            <w:vAlign w:val="center"/>
          </w:tcPr>
          <w:p w14:paraId="53099700" w14:textId="002CF9DB" w:rsidR="00170617" w:rsidRPr="002926D7" w:rsidRDefault="00170617"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31F2BC09" w14:textId="75BA89E1" w:rsidR="00170617" w:rsidRPr="002926D7" w:rsidRDefault="00170617" w:rsidP="002926D7">
            <w:pPr>
              <w:contextualSpacing/>
              <w:jc w:val="left"/>
              <w:rPr>
                <w:rFonts w:eastAsia="Times New Roman" w:cs="Calibri"/>
                <w:i/>
                <w:iCs/>
                <w:color w:val="000000"/>
                <w:sz w:val="14"/>
                <w:szCs w:val="14"/>
              </w:rPr>
            </w:pPr>
          </w:p>
        </w:tc>
        <w:tc>
          <w:tcPr>
            <w:tcW w:w="454" w:type="pct"/>
            <w:vMerge/>
            <w:tcBorders>
              <w:top w:val="single" w:sz="8" w:space="0" w:color="auto"/>
              <w:left w:val="single" w:sz="8" w:space="0" w:color="auto"/>
              <w:bottom w:val="nil"/>
              <w:right w:val="single" w:sz="8" w:space="0" w:color="auto"/>
            </w:tcBorders>
            <w:vAlign w:val="center"/>
            <w:hideMark/>
          </w:tcPr>
          <w:p w14:paraId="4824615D" w14:textId="77777777" w:rsidR="00170617" w:rsidRPr="002926D7" w:rsidRDefault="00170617"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36B7FA30" w14:textId="77777777" w:rsidR="00170617" w:rsidRPr="002926D7" w:rsidRDefault="00170617" w:rsidP="002926D7">
            <w:pPr>
              <w:contextualSpacing/>
              <w:jc w:val="left"/>
              <w:rPr>
                <w:rFonts w:eastAsia="Times New Roman" w:cs="Calibri"/>
                <w:i/>
                <w:iCs/>
                <w:color w:val="000000"/>
                <w:sz w:val="14"/>
                <w:szCs w:val="14"/>
              </w:rPr>
            </w:pPr>
          </w:p>
        </w:tc>
        <w:tc>
          <w:tcPr>
            <w:tcW w:w="273" w:type="pct"/>
            <w:vMerge/>
            <w:tcBorders>
              <w:top w:val="single" w:sz="8" w:space="0" w:color="auto"/>
              <w:left w:val="single" w:sz="8" w:space="0" w:color="auto"/>
              <w:bottom w:val="nil"/>
              <w:right w:val="single" w:sz="8" w:space="0" w:color="auto"/>
            </w:tcBorders>
            <w:vAlign w:val="center"/>
            <w:hideMark/>
          </w:tcPr>
          <w:p w14:paraId="4B05CF44" w14:textId="77777777" w:rsidR="00170617" w:rsidRPr="002926D7" w:rsidRDefault="00170617" w:rsidP="002926D7">
            <w:pPr>
              <w:contextualSpacing/>
              <w:jc w:val="left"/>
              <w:rPr>
                <w:rFonts w:eastAsia="Times New Roman" w:cs="Calibri"/>
                <w:i/>
                <w:iCs/>
                <w:color w:val="000000"/>
                <w:sz w:val="14"/>
                <w:szCs w:val="14"/>
              </w:rPr>
            </w:pPr>
          </w:p>
        </w:tc>
        <w:tc>
          <w:tcPr>
            <w:tcW w:w="273" w:type="pct"/>
            <w:tcBorders>
              <w:top w:val="nil"/>
              <w:left w:val="nil"/>
              <w:bottom w:val="single" w:sz="8" w:space="0" w:color="auto"/>
              <w:right w:val="single" w:sz="8" w:space="0" w:color="auto"/>
            </w:tcBorders>
            <w:vAlign w:val="center"/>
            <w:hideMark/>
          </w:tcPr>
          <w:p w14:paraId="38ED36A6" w14:textId="77777777" w:rsidR="00170617" w:rsidRPr="002926D7" w:rsidRDefault="00170617" w:rsidP="002926D7">
            <w:pPr>
              <w:ind w:right="-8"/>
              <w:contextualSpacing/>
              <w:jc w:val="left"/>
              <w:rPr>
                <w:rFonts w:ascii="Arial" w:eastAsia="Times New Roman" w:hAnsi="Arial" w:cs="Arial"/>
                <w:color w:val="000000"/>
                <w:sz w:val="14"/>
                <w:szCs w:val="14"/>
              </w:rPr>
            </w:pPr>
            <w:r w:rsidRPr="002926D7">
              <w:rPr>
                <w:rFonts w:ascii="Arial" w:eastAsia="Times New Roman" w:hAnsi="Arial" w:cs="Arial"/>
                <w:color w:val="000000"/>
                <w:sz w:val="14"/>
                <w:szCs w:val="14"/>
              </w:rPr>
              <w:t> </w:t>
            </w:r>
          </w:p>
        </w:tc>
        <w:tc>
          <w:tcPr>
            <w:tcW w:w="275" w:type="pct"/>
            <w:tcBorders>
              <w:top w:val="nil"/>
              <w:left w:val="nil"/>
              <w:bottom w:val="single" w:sz="8" w:space="0" w:color="auto"/>
              <w:right w:val="single" w:sz="8" w:space="0" w:color="auto"/>
            </w:tcBorders>
            <w:vAlign w:val="center"/>
            <w:hideMark/>
          </w:tcPr>
          <w:p w14:paraId="7F565B10"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61300</w:t>
            </w:r>
          </w:p>
        </w:tc>
        <w:tc>
          <w:tcPr>
            <w:tcW w:w="334" w:type="pct"/>
            <w:tcBorders>
              <w:top w:val="nil"/>
              <w:left w:val="nil"/>
              <w:bottom w:val="single" w:sz="8" w:space="0" w:color="auto"/>
              <w:right w:val="single" w:sz="8" w:space="0" w:color="auto"/>
            </w:tcBorders>
            <w:vAlign w:val="center"/>
            <w:hideMark/>
          </w:tcPr>
          <w:p w14:paraId="2EF07012"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 xml:space="preserve"> Salary &amp; Post Adj Cst-IP Staff</w:t>
            </w:r>
          </w:p>
        </w:tc>
        <w:tc>
          <w:tcPr>
            <w:tcW w:w="363" w:type="pct"/>
            <w:tcBorders>
              <w:top w:val="nil"/>
              <w:left w:val="nil"/>
              <w:bottom w:val="single" w:sz="8" w:space="0" w:color="auto"/>
              <w:right w:val="single" w:sz="8" w:space="0" w:color="auto"/>
            </w:tcBorders>
            <w:noWrap/>
            <w:vAlign w:val="center"/>
            <w:hideMark/>
          </w:tcPr>
          <w:p w14:paraId="590834BC"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$338,490 </w:t>
            </w:r>
          </w:p>
        </w:tc>
        <w:tc>
          <w:tcPr>
            <w:tcW w:w="364" w:type="pct"/>
            <w:tcBorders>
              <w:top w:val="nil"/>
              <w:left w:val="nil"/>
              <w:bottom w:val="single" w:sz="8" w:space="0" w:color="auto"/>
              <w:right w:val="single" w:sz="8" w:space="0" w:color="auto"/>
            </w:tcBorders>
            <w:noWrap/>
            <w:vAlign w:val="center"/>
            <w:hideMark/>
          </w:tcPr>
          <w:p w14:paraId="2ADBF41A"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$458,574 </w:t>
            </w:r>
          </w:p>
        </w:tc>
        <w:tc>
          <w:tcPr>
            <w:tcW w:w="333" w:type="pct"/>
            <w:tcBorders>
              <w:top w:val="nil"/>
              <w:left w:val="nil"/>
              <w:bottom w:val="single" w:sz="8" w:space="0" w:color="auto"/>
              <w:right w:val="single" w:sz="8" w:space="0" w:color="auto"/>
            </w:tcBorders>
            <w:noWrap/>
            <w:vAlign w:val="center"/>
            <w:hideMark/>
          </w:tcPr>
          <w:p w14:paraId="5330612F"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$207,469 </w:t>
            </w:r>
          </w:p>
        </w:tc>
        <w:tc>
          <w:tcPr>
            <w:tcW w:w="334" w:type="pct"/>
            <w:tcBorders>
              <w:top w:val="nil"/>
              <w:left w:val="nil"/>
              <w:bottom w:val="single" w:sz="8" w:space="0" w:color="auto"/>
              <w:right w:val="single" w:sz="8" w:space="0" w:color="auto"/>
            </w:tcBorders>
            <w:noWrap/>
            <w:vAlign w:val="center"/>
            <w:hideMark/>
          </w:tcPr>
          <w:p w14:paraId="020D3CD1"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$54,574 </w:t>
            </w:r>
          </w:p>
        </w:tc>
        <w:tc>
          <w:tcPr>
            <w:tcW w:w="276" w:type="pct"/>
            <w:tcBorders>
              <w:top w:val="nil"/>
              <w:left w:val="nil"/>
              <w:bottom w:val="single" w:sz="8" w:space="0" w:color="auto"/>
              <w:right w:val="single" w:sz="8" w:space="0" w:color="auto"/>
            </w:tcBorders>
            <w:noWrap/>
            <w:vAlign w:val="center"/>
            <w:hideMark/>
          </w:tcPr>
          <w:p w14:paraId="50E2D140"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$32,755 </w:t>
            </w:r>
          </w:p>
        </w:tc>
        <w:tc>
          <w:tcPr>
            <w:tcW w:w="391" w:type="pct"/>
            <w:gridSpan w:val="2"/>
            <w:tcBorders>
              <w:top w:val="nil"/>
              <w:left w:val="nil"/>
              <w:bottom w:val="single" w:sz="8" w:space="0" w:color="auto"/>
              <w:right w:val="single" w:sz="8" w:space="0" w:color="auto"/>
            </w:tcBorders>
            <w:noWrap/>
            <w:vAlign w:val="center"/>
            <w:hideMark/>
          </w:tcPr>
          <w:p w14:paraId="28826E5A"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$1,091,861 </w:t>
            </w:r>
          </w:p>
        </w:tc>
        <w:tc>
          <w:tcPr>
            <w:tcW w:w="181" w:type="pct"/>
            <w:tcBorders>
              <w:top w:val="nil"/>
              <w:left w:val="nil"/>
              <w:bottom w:val="single" w:sz="8" w:space="0" w:color="auto"/>
              <w:right w:val="single" w:sz="8" w:space="0" w:color="auto"/>
            </w:tcBorders>
            <w:noWrap/>
            <w:vAlign w:val="center"/>
            <w:hideMark/>
          </w:tcPr>
          <w:p w14:paraId="2ED044F8" w14:textId="77777777" w:rsidR="00170617" w:rsidRPr="002926D7" w:rsidRDefault="00170617" w:rsidP="002926D7">
            <w:pPr>
              <w:contextualSpacing/>
              <w:jc w:val="center"/>
              <w:rPr>
                <w:rFonts w:eastAsia="Times New Roman" w:cs="Calibri"/>
                <w:color w:val="000000"/>
                <w:sz w:val="14"/>
                <w:szCs w:val="14"/>
              </w:rPr>
            </w:pPr>
            <w:r w:rsidRPr="002926D7">
              <w:rPr>
                <w:rFonts w:eastAsia="Times New Roman" w:cs="Calibri"/>
                <w:color w:val="000000"/>
                <w:sz w:val="14"/>
                <w:szCs w:val="14"/>
              </w:rPr>
              <w:t>4</w:t>
            </w:r>
          </w:p>
        </w:tc>
      </w:tr>
      <w:tr w:rsidR="00170617" w:rsidRPr="002926D7" w14:paraId="009D140A" w14:textId="77777777" w:rsidTr="002926D7">
        <w:trPr>
          <w:trHeight w:val="288"/>
          <w:jc w:val="center"/>
        </w:trPr>
        <w:tc>
          <w:tcPr>
            <w:tcW w:w="423" w:type="pct"/>
            <w:vMerge/>
            <w:tcBorders>
              <w:left w:val="single" w:sz="8" w:space="0" w:color="auto"/>
              <w:right w:val="single" w:sz="8" w:space="0" w:color="auto"/>
            </w:tcBorders>
            <w:vAlign w:val="center"/>
          </w:tcPr>
          <w:p w14:paraId="2551027C" w14:textId="41172019" w:rsidR="00170617" w:rsidRPr="002926D7" w:rsidRDefault="00170617"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2FD91DCC" w14:textId="02BBF1FE" w:rsidR="00170617" w:rsidRPr="002926D7" w:rsidRDefault="00170617" w:rsidP="002926D7">
            <w:pPr>
              <w:contextualSpacing/>
              <w:jc w:val="left"/>
              <w:rPr>
                <w:rFonts w:eastAsia="Times New Roman" w:cs="Calibri"/>
                <w:i/>
                <w:iCs/>
                <w:color w:val="000000"/>
                <w:sz w:val="14"/>
                <w:szCs w:val="14"/>
              </w:rPr>
            </w:pPr>
          </w:p>
        </w:tc>
        <w:tc>
          <w:tcPr>
            <w:tcW w:w="454" w:type="pct"/>
            <w:vMerge/>
            <w:tcBorders>
              <w:top w:val="single" w:sz="8" w:space="0" w:color="auto"/>
              <w:left w:val="single" w:sz="8" w:space="0" w:color="auto"/>
              <w:bottom w:val="nil"/>
              <w:right w:val="single" w:sz="8" w:space="0" w:color="auto"/>
            </w:tcBorders>
            <w:vAlign w:val="center"/>
            <w:hideMark/>
          </w:tcPr>
          <w:p w14:paraId="3758F147" w14:textId="77777777" w:rsidR="00170617" w:rsidRPr="002926D7" w:rsidRDefault="00170617" w:rsidP="002926D7">
            <w:pPr>
              <w:contextualSpacing/>
              <w:jc w:val="left"/>
              <w:rPr>
                <w:rFonts w:eastAsia="Times New Roman" w:cs="Calibri"/>
                <w:i/>
                <w:iCs/>
                <w:color w:val="000000"/>
                <w:sz w:val="14"/>
                <w:szCs w:val="14"/>
              </w:rPr>
            </w:pPr>
          </w:p>
        </w:tc>
        <w:tc>
          <w:tcPr>
            <w:tcW w:w="1428" w:type="pct"/>
            <w:gridSpan w:val="5"/>
            <w:tcBorders>
              <w:top w:val="single" w:sz="8" w:space="0" w:color="auto"/>
              <w:left w:val="nil"/>
              <w:bottom w:val="single" w:sz="8" w:space="0" w:color="auto"/>
              <w:right w:val="nil"/>
            </w:tcBorders>
            <w:vAlign w:val="center"/>
            <w:hideMark/>
          </w:tcPr>
          <w:p w14:paraId="6A2D0649" w14:textId="77777777" w:rsidR="00170617" w:rsidRPr="002926D7" w:rsidRDefault="00170617" w:rsidP="002926D7">
            <w:pPr>
              <w:ind w:right="-8"/>
              <w:contextualSpacing/>
              <w:rPr>
                <w:rFonts w:eastAsia="Times New Roman" w:cs="Calibri"/>
                <w:b/>
                <w:bCs/>
                <w:i/>
                <w:iCs/>
                <w:color w:val="000000"/>
                <w:sz w:val="14"/>
                <w:szCs w:val="14"/>
              </w:rPr>
            </w:pPr>
            <w:r w:rsidRPr="002926D7">
              <w:rPr>
                <w:rFonts w:eastAsia="Times New Roman" w:cs="Calibri"/>
                <w:b/>
                <w:bCs/>
                <w:i/>
                <w:iCs/>
                <w:color w:val="000000"/>
                <w:sz w:val="14"/>
                <w:szCs w:val="14"/>
              </w:rPr>
              <w:t>Total UNDP</w:t>
            </w:r>
          </w:p>
        </w:tc>
        <w:tc>
          <w:tcPr>
            <w:tcW w:w="363" w:type="pct"/>
            <w:tcBorders>
              <w:top w:val="nil"/>
              <w:left w:val="nil"/>
              <w:bottom w:val="single" w:sz="8" w:space="0" w:color="auto"/>
              <w:right w:val="single" w:sz="8" w:space="0" w:color="auto"/>
            </w:tcBorders>
            <w:noWrap/>
            <w:vAlign w:val="center"/>
            <w:hideMark/>
          </w:tcPr>
          <w:p w14:paraId="5C570206"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$2,132,002 </w:t>
            </w:r>
          </w:p>
        </w:tc>
        <w:tc>
          <w:tcPr>
            <w:tcW w:w="364" w:type="pct"/>
            <w:tcBorders>
              <w:top w:val="nil"/>
              <w:left w:val="nil"/>
              <w:bottom w:val="single" w:sz="8" w:space="0" w:color="auto"/>
              <w:right w:val="single" w:sz="8" w:space="0" w:color="auto"/>
            </w:tcBorders>
            <w:noWrap/>
            <w:vAlign w:val="center"/>
            <w:hideMark/>
          </w:tcPr>
          <w:p w14:paraId="10F5826A"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$2,888,362 </w:t>
            </w:r>
          </w:p>
        </w:tc>
        <w:tc>
          <w:tcPr>
            <w:tcW w:w="333" w:type="pct"/>
            <w:tcBorders>
              <w:top w:val="nil"/>
              <w:left w:val="nil"/>
              <w:bottom w:val="single" w:sz="8" w:space="0" w:color="auto"/>
              <w:right w:val="single" w:sz="8" w:space="0" w:color="auto"/>
            </w:tcBorders>
            <w:noWrap/>
            <w:vAlign w:val="center"/>
            <w:hideMark/>
          </w:tcPr>
          <w:p w14:paraId="3598D501"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$1,306,756 </w:t>
            </w:r>
          </w:p>
        </w:tc>
        <w:tc>
          <w:tcPr>
            <w:tcW w:w="334" w:type="pct"/>
            <w:tcBorders>
              <w:top w:val="nil"/>
              <w:left w:val="nil"/>
              <w:bottom w:val="single" w:sz="8" w:space="0" w:color="auto"/>
              <w:right w:val="single" w:sz="8" w:space="0" w:color="auto"/>
            </w:tcBorders>
            <w:noWrap/>
            <w:vAlign w:val="center"/>
            <w:hideMark/>
          </w:tcPr>
          <w:p w14:paraId="43305F8E"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$343,737 </w:t>
            </w:r>
          </w:p>
        </w:tc>
        <w:tc>
          <w:tcPr>
            <w:tcW w:w="276" w:type="pct"/>
            <w:tcBorders>
              <w:top w:val="nil"/>
              <w:left w:val="nil"/>
              <w:bottom w:val="single" w:sz="8" w:space="0" w:color="auto"/>
              <w:right w:val="single" w:sz="8" w:space="0" w:color="auto"/>
            </w:tcBorders>
            <w:noWrap/>
            <w:vAlign w:val="center"/>
            <w:hideMark/>
          </w:tcPr>
          <w:p w14:paraId="31CE9C69"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$206,312 </w:t>
            </w:r>
          </w:p>
        </w:tc>
        <w:tc>
          <w:tcPr>
            <w:tcW w:w="391" w:type="pct"/>
            <w:gridSpan w:val="2"/>
            <w:tcBorders>
              <w:top w:val="nil"/>
              <w:left w:val="nil"/>
              <w:bottom w:val="single" w:sz="8" w:space="0" w:color="auto"/>
              <w:right w:val="single" w:sz="8" w:space="0" w:color="auto"/>
            </w:tcBorders>
            <w:noWrap/>
            <w:vAlign w:val="center"/>
            <w:hideMark/>
          </w:tcPr>
          <w:p w14:paraId="5E53291B"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$6,877,170 </w:t>
            </w:r>
          </w:p>
        </w:tc>
        <w:tc>
          <w:tcPr>
            <w:tcW w:w="181" w:type="pct"/>
            <w:tcBorders>
              <w:top w:val="nil"/>
              <w:left w:val="nil"/>
              <w:bottom w:val="single" w:sz="8" w:space="0" w:color="auto"/>
              <w:right w:val="single" w:sz="8" w:space="0" w:color="auto"/>
            </w:tcBorders>
            <w:noWrap/>
            <w:vAlign w:val="center"/>
            <w:hideMark/>
          </w:tcPr>
          <w:p w14:paraId="375CDD28" w14:textId="77777777" w:rsidR="00170617" w:rsidRPr="002926D7" w:rsidRDefault="00170617"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12A7B223" w14:textId="77777777" w:rsidTr="002926D7">
        <w:trPr>
          <w:trHeight w:val="288"/>
          <w:jc w:val="center"/>
        </w:trPr>
        <w:tc>
          <w:tcPr>
            <w:tcW w:w="423" w:type="pct"/>
            <w:vMerge/>
            <w:tcBorders>
              <w:left w:val="single" w:sz="8" w:space="0" w:color="auto"/>
              <w:right w:val="single" w:sz="8" w:space="0" w:color="auto"/>
            </w:tcBorders>
            <w:vAlign w:val="center"/>
          </w:tcPr>
          <w:p w14:paraId="25166235" w14:textId="0C471DA9" w:rsidR="00170617" w:rsidRPr="002926D7" w:rsidRDefault="00170617"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66C242ED" w14:textId="297BAEC5" w:rsidR="00170617" w:rsidRPr="002926D7" w:rsidRDefault="00170617" w:rsidP="002926D7">
            <w:pPr>
              <w:contextualSpacing/>
              <w:jc w:val="left"/>
              <w:rPr>
                <w:rFonts w:eastAsia="Times New Roman" w:cs="Calibri"/>
                <w:i/>
                <w:iCs/>
                <w:color w:val="000000"/>
                <w:sz w:val="14"/>
                <w:szCs w:val="14"/>
              </w:rPr>
            </w:pPr>
          </w:p>
        </w:tc>
        <w:tc>
          <w:tcPr>
            <w:tcW w:w="1881" w:type="pct"/>
            <w:gridSpan w:val="6"/>
            <w:tcBorders>
              <w:top w:val="single" w:sz="8" w:space="0" w:color="auto"/>
              <w:left w:val="nil"/>
              <w:bottom w:val="single" w:sz="8" w:space="0" w:color="auto"/>
              <w:right w:val="nil"/>
            </w:tcBorders>
            <w:vAlign w:val="center"/>
            <w:hideMark/>
          </w:tcPr>
          <w:p w14:paraId="458E61DD" w14:textId="77777777" w:rsidR="00170617" w:rsidRPr="002926D7" w:rsidRDefault="00170617" w:rsidP="002926D7">
            <w:pPr>
              <w:ind w:right="-8"/>
              <w:contextualSpacing/>
              <w:rPr>
                <w:rFonts w:eastAsia="Times New Roman" w:cs="Calibri"/>
                <w:i/>
                <w:iCs/>
                <w:color w:val="000000"/>
                <w:sz w:val="14"/>
                <w:szCs w:val="14"/>
              </w:rPr>
            </w:pPr>
            <w:r w:rsidRPr="002926D7">
              <w:rPr>
                <w:rFonts w:eastAsia="Times New Roman" w:cs="Calibri"/>
                <w:i/>
                <w:iCs/>
                <w:color w:val="000000"/>
                <w:sz w:val="14"/>
                <w:szCs w:val="14"/>
              </w:rPr>
              <w:t>Total Output 2.1.1</w:t>
            </w:r>
          </w:p>
        </w:tc>
        <w:tc>
          <w:tcPr>
            <w:tcW w:w="363" w:type="pct"/>
            <w:tcBorders>
              <w:top w:val="nil"/>
              <w:left w:val="nil"/>
              <w:bottom w:val="single" w:sz="8" w:space="0" w:color="auto"/>
              <w:right w:val="single" w:sz="8" w:space="0" w:color="auto"/>
            </w:tcBorders>
            <w:noWrap/>
            <w:vAlign w:val="center"/>
            <w:hideMark/>
          </w:tcPr>
          <w:p w14:paraId="024D42B1"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$2,132,002 </w:t>
            </w:r>
          </w:p>
        </w:tc>
        <w:tc>
          <w:tcPr>
            <w:tcW w:w="364" w:type="pct"/>
            <w:tcBorders>
              <w:top w:val="nil"/>
              <w:left w:val="nil"/>
              <w:bottom w:val="single" w:sz="8" w:space="0" w:color="auto"/>
              <w:right w:val="single" w:sz="8" w:space="0" w:color="auto"/>
            </w:tcBorders>
            <w:noWrap/>
            <w:vAlign w:val="center"/>
            <w:hideMark/>
          </w:tcPr>
          <w:p w14:paraId="690426E3"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$2,888,362 </w:t>
            </w:r>
          </w:p>
        </w:tc>
        <w:tc>
          <w:tcPr>
            <w:tcW w:w="333" w:type="pct"/>
            <w:tcBorders>
              <w:top w:val="nil"/>
              <w:left w:val="nil"/>
              <w:bottom w:val="single" w:sz="8" w:space="0" w:color="auto"/>
              <w:right w:val="single" w:sz="8" w:space="0" w:color="auto"/>
            </w:tcBorders>
            <w:noWrap/>
            <w:vAlign w:val="center"/>
            <w:hideMark/>
          </w:tcPr>
          <w:p w14:paraId="5F54C136"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$1,306,756 </w:t>
            </w:r>
          </w:p>
        </w:tc>
        <w:tc>
          <w:tcPr>
            <w:tcW w:w="334" w:type="pct"/>
            <w:tcBorders>
              <w:top w:val="nil"/>
              <w:left w:val="nil"/>
              <w:bottom w:val="single" w:sz="8" w:space="0" w:color="auto"/>
              <w:right w:val="single" w:sz="8" w:space="0" w:color="auto"/>
            </w:tcBorders>
            <w:noWrap/>
            <w:vAlign w:val="center"/>
            <w:hideMark/>
          </w:tcPr>
          <w:p w14:paraId="518510EE"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$343,737 </w:t>
            </w:r>
          </w:p>
        </w:tc>
        <w:tc>
          <w:tcPr>
            <w:tcW w:w="276" w:type="pct"/>
            <w:tcBorders>
              <w:top w:val="nil"/>
              <w:left w:val="nil"/>
              <w:bottom w:val="single" w:sz="8" w:space="0" w:color="auto"/>
              <w:right w:val="single" w:sz="8" w:space="0" w:color="auto"/>
            </w:tcBorders>
            <w:noWrap/>
            <w:vAlign w:val="center"/>
            <w:hideMark/>
          </w:tcPr>
          <w:p w14:paraId="78E74BE8"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$206,312 </w:t>
            </w:r>
          </w:p>
        </w:tc>
        <w:tc>
          <w:tcPr>
            <w:tcW w:w="391" w:type="pct"/>
            <w:gridSpan w:val="2"/>
            <w:tcBorders>
              <w:top w:val="nil"/>
              <w:left w:val="nil"/>
              <w:bottom w:val="single" w:sz="8" w:space="0" w:color="auto"/>
              <w:right w:val="single" w:sz="8" w:space="0" w:color="auto"/>
            </w:tcBorders>
            <w:noWrap/>
            <w:vAlign w:val="center"/>
            <w:hideMark/>
          </w:tcPr>
          <w:p w14:paraId="5C57EE21"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$6,877,170 </w:t>
            </w:r>
          </w:p>
        </w:tc>
        <w:tc>
          <w:tcPr>
            <w:tcW w:w="181" w:type="pct"/>
            <w:tcBorders>
              <w:top w:val="nil"/>
              <w:left w:val="nil"/>
              <w:bottom w:val="single" w:sz="8" w:space="0" w:color="auto"/>
              <w:right w:val="single" w:sz="8" w:space="0" w:color="auto"/>
            </w:tcBorders>
            <w:noWrap/>
            <w:vAlign w:val="center"/>
            <w:hideMark/>
          </w:tcPr>
          <w:p w14:paraId="345742BA" w14:textId="77777777" w:rsidR="00170617" w:rsidRPr="002926D7" w:rsidRDefault="00170617"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58305857" w14:textId="77777777" w:rsidTr="002926D7">
        <w:trPr>
          <w:trHeight w:val="60"/>
          <w:jc w:val="center"/>
        </w:trPr>
        <w:tc>
          <w:tcPr>
            <w:tcW w:w="423" w:type="pct"/>
            <w:vMerge/>
            <w:tcBorders>
              <w:left w:val="single" w:sz="8" w:space="0" w:color="auto"/>
              <w:right w:val="single" w:sz="8" w:space="0" w:color="auto"/>
            </w:tcBorders>
            <w:vAlign w:val="center"/>
          </w:tcPr>
          <w:p w14:paraId="4669B704" w14:textId="5D02BA7B" w:rsidR="00170617" w:rsidRPr="002926D7" w:rsidRDefault="00170617"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609EE72C" w14:textId="1E7F190E" w:rsidR="00170617" w:rsidRPr="002926D7" w:rsidRDefault="00170617" w:rsidP="002926D7">
            <w:pPr>
              <w:contextualSpacing/>
              <w:jc w:val="left"/>
              <w:rPr>
                <w:rFonts w:eastAsia="Times New Roman" w:cs="Calibri"/>
                <w:i/>
                <w:iCs/>
                <w:color w:val="000000"/>
                <w:sz w:val="14"/>
                <w:szCs w:val="14"/>
              </w:rPr>
            </w:pPr>
          </w:p>
        </w:tc>
        <w:tc>
          <w:tcPr>
            <w:tcW w:w="454" w:type="pct"/>
            <w:tcBorders>
              <w:top w:val="nil"/>
              <w:left w:val="nil"/>
              <w:bottom w:val="nil"/>
              <w:right w:val="single" w:sz="8" w:space="0" w:color="auto"/>
            </w:tcBorders>
            <w:vAlign w:val="center"/>
            <w:hideMark/>
          </w:tcPr>
          <w:p w14:paraId="4B177134" w14:textId="77777777" w:rsidR="00170617" w:rsidRPr="002926D7" w:rsidRDefault="00170617"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Output 2.1.2. Community level initiatives designed, financed, implemented, monitored and evaluated, under the following Strategic priorities:</w:t>
            </w:r>
            <w:r w:rsidRPr="002926D7">
              <w:rPr>
                <w:rFonts w:eastAsia="Times New Roman" w:cs="Calibri"/>
                <w:i/>
                <w:iCs/>
                <w:color w:val="000000"/>
                <w:sz w:val="14"/>
                <w:szCs w:val="14"/>
              </w:rPr>
              <w:br/>
              <w:t xml:space="preserve">(i) community- based management of threatened ecosystems and species, </w:t>
            </w:r>
            <w:r w:rsidRPr="002926D7">
              <w:rPr>
                <w:rFonts w:eastAsia="Times New Roman" w:cs="Calibri"/>
                <w:i/>
                <w:iCs/>
                <w:color w:val="000000"/>
                <w:sz w:val="14"/>
                <w:szCs w:val="14"/>
              </w:rPr>
              <w:br/>
              <w:t xml:space="preserve">(ii)  sustainable agriculture and fisheries, and food security, </w:t>
            </w:r>
            <w:r w:rsidRPr="002926D7">
              <w:rPr>
                <w:rFonts w:eastAsia="Times New Roman" w:cs="Calibri"/>
                <w:i/>
                <w:iCs/>
                <w:color w:val="000000"/>
                <w:sz w:val="14"/>
                <w:szCs w:val="14"/>
              </w:rPr>
              <w:br/>
              <w:t xml:space="preserve">(iii)  low-carbon energy access and co-benefits, </w:t>
            </w:r>
            <w:r w:rsidRPr="002926D7">
              <w:rPr>
                <w:rFonts w:eastAsia="Times New Roman" w:cs="Calibri"/>
                <w:i/>
                <w:iCs/>
                <w:color w:val="000000"/>
                <w:sz w:val="14"/>
                <w:szCs w:val="14"/>
              </w:rPr>
              <w:br/>
              <w:t xml:space="preserve">(iv)  local to global </w:t>
            </w:r>
            <w:r w:rsidRPr="002926D7">
              <w:rPr>
                <w:rFonts w:eastAsia="Times New Roman" w:cs="Calibri"/>
                <w:i/>
                <w:iCs/>
                <w:color w:val="000000"/>
                <w:sz w:val="14"/>
                <w:szCs w:val="14"/>
              </w:rPr>
              <w:lastRenderedPageBreak/>
              <w:t xml:space="preserve">coalitions for chemicals and waste management, </w:t>
            </w:r>
            <w:r w:rsidRPr="002926D7">
              <w:rPr>
                <w:rFonts w:eastAsia="Times New Roman" w:cs="Calibri"/>
                <w:i/>
                <w:iCs/>
                <w:color w:val="000000"/>
                <w:sz w:val="14"/>
                <w:szCs w:val="14"/>
              </w:rPr>
              <w:br/>
              <w:t>(v) sustainable solutions in targeted urban landscapes.</w:t>
            </w:r>
          </w:p>
        </w:tc>
        <w:tc>
          <w:tcPr>
            <w:tcW w:w="273" w:type="pct"/>
            <w:tcBorders>
              <w:top w:val="nil"/>
              <w:left w:val="single" w:sz="8" w:space="0" w:color="auto"/>
              <w:bottom w:val="nil"/>
              <w:right w:val="single" w:sz="8" w:space="0" w:color="auto"/>
            </w:tcBorders>
            <w:vAlign w:val="center"/>
            <w:hideMark/>
          </w:tcPr>
          <w:p w14:paraId="5D5EB925" w14:textId="77777777" w:rsidR="00170617" w:rsidRPr="002926D7" w:rsidRDefault="00170617"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lastRenderedPageBreak/>
              <w:t>UNDP</w:t>
            </w:r>
          </w:p>
        </w:tc>
        <w:tc>
          <w:tcPr>
            <w:tcW w:w="273" w:type="pct"/>
            <w:tcBorders>
              <w:top w:val="nil"/>
              <w:left w:val="single" w:sz="8" w:space="0" w:color="auto"/>
              <w:bottom w:val="nil"/>
              <w:right w:val="single" w:sz="8" w:space="0" w:color="auto"/>
            </w:tcBorders>
            <w:vAlign w:val="center"/>
            <w:hideMark/>
          </w:tcPr>
          <w:p w14:paraId="15F1B7CE"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62000</w:t>
            </w:r>
          </w:p>
        </w:tc>
        <w:tc>
          <w:tcPr>
            <w:tcW w:w="273" w:type="pct"/>
            <w:tcBorders>
              <w:top w:val="nil"/>
              <w:left w:val="single" w:sz="8" w:space="0" w:color="auto"/>
              <w:bottom w:val="nil"/>
              <w:right w:val="single" w:sz="8" w:space="0" w:color="auto"/>
            </w:tcBorders>
            <w:vAlign w:val="center"/>
            <w:hideMark/>
          </w:tcPr>
          <w:p w14:paraId="75251ADF" w14:textId="77777777" w:rsidR="00170617" w:rsidRPr="002926D7" w:rsidRDefault="00170617" w:rsidP="002926D7">
            <w:pPr>
              <w:ind w:right="-8"/>
              <w:contextualSpacing/>
              <w:jc w:val="left"/>
              <w:rPr>
                <w:rFonts w:eastAsia="Times New Roman" w:cs="Calibri"/>
                <w:i/>
                <w:iCs/>
                <w:color w:val="000000"/>
                <w:sz w:val="14"/>
                <w:szCs w:val="14"/>
              </w:rPr>
            </w:pPr>
            <w:r w:rsidRPr="002926D7">
              <w:rPr>
                <w:rFonts w:eastAsia="Times New Roman" w:cs="Calibri"/>
                <w:i/>
                <w:iCs/>
                <w:color w:val="000000"/>
                <w:sz w:val="14"/>
                <w:szCs w:val="14"/>
              </w:rPr>
              <w:t>10003</w:t>
            </w:r>
          </w:p>
        </w:tc>
        <w:tc>
          <w:tcPr>
            <w:tcW w:w="275" w:type="pct"/>
            <w:tcBorders>
              <w:top w:val="nil"/>
              <w:left w:val="nil"/>
              <w:bottom w:val="single" w:sz="8" w:space="0" w:color="auto"/>
              <w:right w:val="single" w:sz="8" w:space="0" w:color="auto"/>
            </w:tcBorders>
            <w:vAlign w:val="center"/>
            <w:hideMark/>
          </w:tcPr>
          <w:p w14:paraId="2B84D054"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72600</w:t>
            </w:r>
          </w:p>
        </w:tc>
        <w:tc>
          <w:tcPr>
            <w:tcW w:w="334" w:type="pct"/>
            <w:tcBorders>
              <w:top w:val="nil"/>
              <w:left w:val="nil"/>
              <w:bottom w:val="single" w:sz="8" w:space="0" w:color="auto"/>
              <w:right w:val="single" w:sz="8" w:space="0" w:color="auto"/>
            </w:tcBorders>
            <w:vAlign w:val="center"/>
            <w:hideMark/>
          </w:tcPr>
          <w:p w14:paraId="2138EEF9"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Grants</w:t>
            </w:r>
          </w:p>
        </w:tc>
        <w:tc>
          <w:tcPr>
            <w:tcW w:w="363" w:type="pct"/>
            <w:tcBorders>
              <w:top w:val="nil"/>
              <w:left w:val="nil"/>
              <w:bottom w:val="single" w:sz="8" w:space="0" w:color="auto"/>
              <w:right w:val="single" w:sz="8" w:space="0" w:color="auto"/>
            </w:tcBorders>
            <w:noWrap/>
            <w:vAlign w:val="center"/>
            <w:hideMark/>
          </w:tcPr>
          <w:p w14:paraId="203492BC"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 $                      4,823,534 </w:t>
            </w:r>
          </w:p>
        </w:tc>
        <w:tc>
          <w:tcPr>
            <w:tcW w:w="364" w:type="pct"/>
            <w:tcBorders>
              <w:top w:val="nil"/>
              <w:left w:val="nil"/>
              <w:bottom w:val="single" w:sz="8" w:space="0" w:color="auto"/>
              <w:right w:val="single" w:sz="8" w:space="0" w:color="auto"/>
            </w:tcBorders>
            <w:noWrap/>
            <w:vAlign w:val="center"/>
            <w:hideMark/>
          </w:tcPr>
          <w:p w14:paraId="1BEE0CB1"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 $                            10,450,989 </w:t>
            </w:r>
          </w:p>
        </w:tc>
        <w:tc>
          <w:tcPr>
            <w:tcW w:w="333" w:type="pct"/>
            <w:tcBorders>
              <w:top w:val="nil"/>
              <w:left w:val="nil"/>
              <w:bottom w:val="single" w:sz="8" w:space="0" w:color="auto"/>
              <w:right w:val="single" w:sz="8" w:space="0" w:color="auto"/>
            </w:tcBorders>
            <w:noWrap/>
            <w:vAlign w:val="center"/>
            <w:hideMark/>
          </w:tcPr>
          <w:p w14:paraId="1669A657"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 $                   28,137,280 </w:t>
            </w:r>
          </w:p>
        </w:tc>
        <w:tc>
          <w:tcPr>
            <w:tcW w:w="334" w:type="pct"/>
            <w:tcBorders>
              <w:top w:val="nil"/>
              <w:left w:val="nil"/>
              <w:bottom w:val="single" w:sz="8" w:space="0" w:color="auto"/>
              <w:right w:val="single" w:sz="8" w:space="0" w:color="auto"/>
            </w:tcBorders>
            <w:noWrap/>
            <w:vAlign w:val="center"/>
            <w:hideMark/>
          </w:tcPr>
          <w:p w14:paraId="6E1F0862"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 $                   28,137,280 </w:t>
            </w:r>
          </w:p>
        </w:tc>
        <w:tc>
          <w:tcPr>
            <w:tcW w:w="276" w:type="pct"/>
            <w:tcBorders>
              <w:top w:val="nil"/>
              <w:left w:val="nil"/>
              <w:bottom w:val="single" w:sz="8" w:space="0" w:color="auto"/>
              <w:right w:val="single" w:sz="8" w:space="0" w:color="auto"/>
            </w:tcBorders>
            <w:vAlign w:val="center"/>
            <w:hideMark/>
          </w:tcPr>
          <w:p w14:paraId="37917AF5"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 $                      8,843,145 </w:t>
            </w:r>
          </w:p>
        </w:tc>
        <w:tc>
          <w:tcPr>
            <w:tcW w:w="391" w:type="pct"/>
            <w:gridSpan w:val="2"/>
            <w:tcBorders>
              <w:top w:val="nil"/>
              <w:left w:val="nil"/>
              <w:bottom w:val="single" w:sz="8" w:space="0" w:color="auto"/>
              <w:right w:val="single" w:sz="8" w:space="0" w:color="auto"/>
            </w:tcBorders>
            <w:noWrap/>
            <w:vAlign w:val="center"/>
            <w:hideMark/>
          </w:tcPr>
          <w:p w14:paraId="6326DD72"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 $                         80,392,228 </w:t>
            </w:r>
          </w:p>
        </w:tc>
        <w:tc>
          <w:tcPr>
            <w:tcW w:w="181" w:type="pct"/>
            <w:tcBorders>
              <w:top w:val="nil"/>
              <w:left w:val="nil"/>
              <w:bottom w:val="single" w:sz="8" w:space="0" w:color="auto"/>
              <w:right w:val="single" w:sz="8" w:space="0" w:color="auto"/>
            </w:tcBorders>
            <w:noWrap/>
            <w:vAlign w:val="center"/>
            <w:hideMark/>
          </w:tcPr>
          <w:p w14:paraId="650A5373" w14:textId="77777777" w:rsidR="00170617" w:rsidRPr="002926D7" w:rsidRDefault="00170617" w:rsidP="002926D7">
            <w:pPr>
              <w:contextualSpacing/>
              <w:jc w:val="center"/>
              <w:rPr>
                <w:rFonts w:eastAsia="Times New Roman" w:cs="Calibri"/>
                <w:color w:val="000000"/>
                <w:sz w:val="14"/>
                <w:szCs w:val="14"/>
              </w:rPr>
            </w:pPr>
            <w:r w:rsidRPr="002926D7">
              <w:rPr>
                <w:rFonts w:eastAsia="Times New Roman" w:cs="Calibri"/>
                <w:color w:val="000000"/>
                <w:sz w:val="14"/>
                <w:szCs w:val="14"/>
              </w:rPr>
              <w:t>1</w:t>
            </w:r>
          </w:p>
        </w:tc>
      </w:tr>
      <w:tr w:rsidR="00170617" w:rsidRPr="002926D7" w14:paraId="6B07A52C" w14:textId="77777777" w:rsidTr="002926D7">
        <w:trPr>
          <w:trHeight w:val="142"/>
          <w:jc w:val="center"/>
        </w:trPr>
        <w:tc>
          <w:tcPr>
            <w:tcW w:w="423" w:type="pct"/>
            <w:vMerge/>
            <w:tcBorders>
              <w:left w:val="single" w:sz="8" w:space="0" w:color="auto"/>
              <w:right w:val="single" w:sz="8" w:space="0" w:color="auto"/>
            </w:tcBorders>
            <w:vAlign w:val="center"/>
          </w:tcPr>
          <w:p w14:paraId="51B9DB38" w14:textId="2DCC12AB" w:rsidR="00170617" w:rsidRPr="002926D7" w:rsidRDefault="00170617"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621BD679" w14:textId="0E3F44F2" w:rsidR="00170617" w:rsidRPr="002926D7" w:rsidRDefault="00170617" w:rsidP="002926D7">
            <w:pPr>
              <w:contextualSpacing/>
              <w:jc w:val="left"/>
              <w:rPr>
                <w:rFonts w:eastAsia="Times New Roman" w:cs="Calibri"/>
                <w:i/>
                <w:iCs/>
                <w:color w:val="000000"/>
                <w:sz w:val="14"/>
                <w:szCs w:val="14"/>
              </w:rPr>
            </w:pPr>
          </w:p>
        </w:tc>
        <w:tc>
          <w:tcPr>
            <w:tcW w:w="454" w:type="pct"/>
            <w:tcBorders>
              <w:top w:val="nil"/>
              <w:left w:val="nil"/>
              <w:bottom w:val="single" w:sz="8" w:space="0" w:color="auto"/>
              <w:right w:val="single" w:sz="8" w:space="0" w:color="auto"/>
            </w:tcBorders>
            <w:vAlign w:val="center"/>
            <w:hideMark/>
          </w:tcPr>
          <w:p w14:paraId="60FFC5B5" w14:textId="77777777" w:rsidR="00170617" w:rsidRPr="002926D7" w:rsidRDefault="00170617" w:rsidP="002926D7">
            <w:pPr>
              <w:contextualSpacing/>
              <w:jc w:val="left"/>
              <w:rPr>
                <w:rFonts w:ascii="Arial" w:eastAsia="Times New Roman" w:hAnsi="Arial" w:cs="Arial"/>
                <w:color w:val="000000"/>
                <w:sz w:val="14"/>
                <w:szCs w:val="14"/>
              </w:rPr>
            </w:pPr>
            <w:r w:rsidRPr="002926D7">
              <w:rPr>
                <w:rFonts w:ascii="Arial" w:eastAsia="Times New Roman" w:hAnsi="Arial" w:cs="Arial"/>
                <w:color w:val="000000"/>
                <w:sz w:val="14"/>
                <w:szCs w:val="14"/>
              </w:rPr>
              <w:t> </w:t>
            </w:r>
          </w:p>
        </w:tc>
        <w:tc>
          <w:tcPr>
            <w:tcW w:w="1428" w:type="pct"/>
            <w:gridSpan w:val="5"/>
            <w:tcBorders>
              <w:top w:val="single" w:sz="8" w:space="0" w:color="auto"/>
              <w:left w:val="nil"/>
              <w:bottom w:val="single" w:sz="8" w:space="0" w:color="auto"/>
              <w:right w:val="nil"/>
            </w:tcBorders>
            <w:vAlign w:val="center"/>
            <w:hideMark/>
          </w:tcPr>
          <w:p w14:paraId="4F50A438" w14:textId="77777777" w:rsidR="00170617" w:rsidRPr="002926D7" w:rsidRDefault="00170617" w:rsidP="002926D7">
            <w:pPr>
              <w:ind w:right="-8"/>
              <w:contextualSpacing/>
              <w:rPr>
                <w:rFonts w:eastAsia="Times New Roman" w:cs="Calibri"/>
                <w:b/>
                <w:bCs/>
                <w:i/>
                <w:iCs/>
                <w:color w:val="000000"/>
                <w:sz w:val="14"/>
                <w:szCs w:val="14"/>
              </w:rPr>
            </w:pPr>
            <w:r w:rsidRPr="002926D7">
              <w:rPr>
                <w:rFonts w:eastAsia="Times New Roman" w:cs="Calibri"/>
                <w:b/>
                <w:bCs/>
                <w:i/>
                <w:iCs/>
                <w:color w:val="000000"/>
                <w:sz w:val="14"/>
                <w:szCs w:val="14"/>
              </w:rPr>
              <w:t>Total UNDP</w:t>
            </w:r>
          </w:p>
        </w:tc>
        <w:tc>
          <w:tcPr>
            <w:tcW w:w="363" w:type="pct"/>
            <w:tcBorders>
              <w:top w:val="nil"/>
              <w:left w:val="nil"/>
              <w:bottom w:val="single" w:sz="8" w:space="0" w:color="auto"/>
              <w:right w:val="single" w:sz="8" w:space="0" w:color="auto"/>
            </w:tcBorders>
            <w:noWrap/>
            <w:vAlign w:val="center"/>
            <w:hideMark/>
          </w:tcPr>
          <w:p w14:paraId="63B8CEA9"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$4,823,534 </w:t>
            </w:r>
          </w:p>
        </w:tc>
        <w:tc>
          <w:tcPr>
            <w:tcW w:w="364" w:type="pct"/>
            <w:tcBorders>
              <w:top w:val="nil"/>
              <w:left w:val="nil"/>
              <w:bottom w:val="single" w:sz="8" w:space="0" w:color="auto"/>
              <w:right w:val="single" w:sz="8" w:space="0" w:color="auto"/>
            </w:tcBorders>
            <w:noWrap/>
            <w:vAlign w:val="center"/>
            <w:hideMark/>
          </w:tcPr>
          <w:p w14:paraId="43DD0CD3"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$10,450,989 </w:t>
            </w:r>
          </w:p>
        </w:tc>
        <w:tc>
          <w:tcPr>
            <w:tcW w:w="333" w:type="pct"/>
            <w:tcBorders>
              <w:top w:val="nil"/>
              <w:left w:val="nil"/>
              <w:bottom w:val="single" w:sz="8" w:space="0" w:color="auto"/>
              <w:right w:val="single" w:sz="8" w:space="0" w:color="auto"/>
            </w:tcBorders>
            <w:noWrap/>
            <w:vAlign w:val="center"/>
            <w:hideMark/>
          </w:tcPr>
          <w:p w14:paraId="1241D5EB"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$28,137,280 </w:t>
            </w:r>
          </w:p>
        </w:tc>
        <w:tc>
          <w:tcPr>
            <w:tcW w:w="334" w:type="pct"/>
            <w:tcBorders>
              <w:top w:val="nil"/>
              <w:left w:val="nil"/>
              <w:bottom w:val="single" w:sz="8" w:space="0" w:color="auto"/>
              <w:right w:val="single" w:sz="8" w:space="0" w:color="auto"/>
            </w:tcBorders>
            <w:noWrap/>
            <w:vAlign w:val="center"/>
            <w:hideMark/>
          </w:tcPr>
          <w:p w14:paraId="02B854FE"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$28,137,280 </w:t>
            </w:r>
          </w:p>
        </w:tc>
        <w:tc>
          <w:tcPr>
            <w:tcW w:w="276" w:type="pct"/>
            <w:tcBorders>
              <w:top w:val="nil"/>
              <w:left w:val="nil"/>
              <w:bottom w:val="single" w:sz="8" w:space="0" w:color="auto"/>
              <w:right w:val="single" w:sz="8" w:space="0" w:color="auto"/>
            </w:tcBorders>
            <w:noWrap/>
            <w:vAlign w:val="center"/>
            <w:hideMark/>
          </w:tcPr>
          <w:p w14:paraId="74A145B9"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$8,843,145 </w:t>
            </w:r>
          </w:p>
        </w:tc>
        <w:tc>
          <w:tcPr>
            <w:tcW w:w="391" w:type="pct"/>
            <w:gridSpan w:val="2"/>
            <w:tcBorders>
              <w:top w:val="nil"/>
              <w:left w:val="nil"/>
              <w:bottom w:val="single" w:sz="8" w:space="0" w:color="auto"/>
              <w:right w:val="single" w:sz="8" w:space="0" w:color="auto"/>
            </w:tcBorders>
            <w:noWrap/>
            <w:vAlign w:val="center"/>
            <w:hideMark/>
          </w:tcPr>
          <w:p w14:paraId="69FCC5EA"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$80,392,228 </w:t>
            </w:r>
          </w:p>
        </w:tc>
        <w:tc>
          <w:tcPr>
            <w:tcW w:w="181" w:type="pct"/>
            <w:tcBorders>
              <w:top w:val="nil"/>
              <w:left w:val="nil"/>
              <w:bottom w:val="single" w:sz="8" w:space="0" w:color="auto"/>
              <w:right w:val="single" w:sz="8" w:space="0" w:color="auto"/>
            </w:tcBorders>
            <w:noWrap/>
            <w:vAlign w:val="center"/>
            <w:hideMark/>
          </w:tcPr>
          <w:p w14:paraId="21418E95" w14:textId="77777777" w:rsidR="00170617" w:rsidRPr="002926D7" w:rsidRDefault="00170617"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2F31597D" w14:textId="77777777" w:rsidTr="002926D7">
        <w:trPr>
          <w:trHeight w:val="288"/>
          <w:jc w:val="center"/>
        </w:trPr>
        <w:tc>
          <w:tcPr>
            <w:tcW w:w="423" w:type="pct"/>
            <w:vMerge/>
            <w:tcBorders>
              <w:left w:val="single" w:sz="8" w:space="0" w:color="auto"/>
              <w:right w:val="single" w:sz="8" w:space="0" w:color="auto"/>
            </w:tcBorders>
            <w:vAlign w:val="center"/>
          </w:tcPr>
          <w:p w14:paraId="1F5867EC" w14:textId="06AF7C6B" w:rsidR="00170617" w:rsidRPr="002926D7" w:rsidRDefault="00170617"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1D97819B" w14:textId="35D59D3F" w:rsidR="00170617" w:rsidRPr="002926D7" w:rsidRDefault="00170617" w:rsidP="002926D7">
            <w:pPr>
              <w:contextualSpacing/>
              <w:jc w:val="left"/>
              <w:rPr>
                <w:rFonts w:eastAsia="Times New Roman" w:cs="Calibri"/>
                <w:i/>
                <w:iCs/>
                <w:color w:val="000000"/>
                <w:sz w:val="14"/>
                <w:szCs w:val="14"/>
              </w:rPr>
            </w:pPr>
          </w:p>
        </w:tc>
        <w:tc>
          <w:tcPr>
            <w:tcW w:w="1881" w:type="pct"/>
            <w:gridSpan w:val="6"/>
            <w:tcBorders>
              <w:top w:val="single" w:sz="8" w:space="0" w:color="auto"/>
              <w:left w:val="nil"/>
              <w:bottom w:val="single" w:sz="8" w:space="0" w:color="auto"/>
              <w:right w:val="nil"/>
            </w:tcBorders>
            <w:vAlign w:val="center"/>
            <w:hideMark/>
          </w:tcPr>
          <w:p w14:paraId="5853EBFA" w14:textId="77777777" w:rsidR="00170617" w:rsidRPr="002926D7" w:rsidRDefault="00170617" w:rsidP="002926D7">
            <w:pPr>
              <w:ind w:right="-8"/>
              <w:contextualSpacing/>
              <w:rPr>
                <w:rFonts w:eastAsia="Times New Roman" w:cs="Calibri"/>
                <w:i/>
                <w:iCs/>
                <w:color w:val="000000"/>
                <w:sz w:val="14"/>
                <w:szCs w:val="14"/>
              </w:rPr>
            </w:pPr>
            <w:r w:rsidRPr="002926D7">
              <w:rPr>
                <w:rFonts w:eastAsia="Times New Roman" w:cs="Calibri"/>
                <w:i/>
                <w:iCs/>
                <w:color w:val="000000"/>
                <w:sz w:val="14"/>
                <w:szCs w:val="14"/>
              </w:rPr>
              <w:t>Total Output 2.1.2</w:t>
            </w:r>
          </w:p>
        </w:tc>
        <w:tc>
          <w:tcPr>
            <w:tcW w:w="363" w:type="pct"/>
            <w:tcBorders>
              <w:top w:val="nil"/>
              <w:left w:val="nil"/>
              <w:bottom w:val="single" w:sz="8" w:space="0" w:color="auto"/>
              <w:right w:val="single" w:sz="8" w:space="0" w:color="auto"/>
            </w:tcBorders>
            <w:noWrap/>
            <w:vAlign w:val="center"/>
            <w:hideMark/>
          </w:tcPr>
          <w:p w14:paraId="2690B967"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$4,823,534 </w:t>
            </w:r>
          </w:p>
        </w:tc>
        <w:tc>
          <w:tcPr>
            <w:tcW w:w="364" w:type="pct"/>
            <w:tcBorders>
              <w:top w:val="nil"/>
              <w:left w:val="nil"/>
              <w:bottom w:val="single" w:sz="8" w:space="0" w:color="auto"/>
              <w:right w:val="single" w:sz="8" w:space="0" w:color="auto"/>
            </w:tcBorders>
            <w:noWrap/>
            <w:vAlign w:val="center"/>
            <w:hideMark/>
          </w:tcPr>
          <w:p w14:paraId="19256742"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$10,450,989 </w:t>
            </w:r>
          </w:p>
        </w:tc>
        <w:tc>
          <w:tcPr>
            <w:tcW w:w="333" w:type="pct"/>
            <w:tcBorders>
              <w:top w:val="nil"/>
              <w:left w:val="nil"/>
              <w:bottom w:val="single" w:sz="8" w:space="0" w:color="auto"/>
              <w:right w:val="single" w:sz="8" w:space="0" w:color="auto"/>
            </w:tcBorders>
            <w:noWrap/>
            <w:vAlign w:val="center"/>
            <w:hideMark/>
          </w:tcPr>
          <w:p w14:paraId="4AF7035A"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$28,137,280 </w:t>
            </w:r>
          </w:p>
        </w:tc>
        <w:tc>
          <w:tcPr>
            <w:tcW w:w="334" w:type="pct"/>
            <w:tcBorders>
              <w:top w:val="nil"/>
              <w:left w:val="nil"/>
              <w:bottom w:val="single" w:sz="8" w:space="0" w:color="auto"/>
              <w:right w:val="single" w:sz="8" w:space="0" w:color="auto"/>
            </w:tcBorders>
            <w:noWrap/>
            <w:vAlign w:val="center"/>
            <w:hideMark/>
          </w:tcPr>
          <w:p w14:paraId="01486C44"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$28,137,280 </w:t>
            </w:r>
          </w:p>
        </w:tc>
        <w:tc>
          <w:tcPr>
            <w:tcW w:w="276" w:type="pct"/>
            <w:tcBorders>
              <w:top w:val="nil"/>
              <w:left w:val="nil"/>
              <w:bottom w:val="single" w:sz="8" w:space="0" w:color="auto"/>
              <w:right w:val="single" w:sz="8" w:space="0" w:color="auto"/>
            </w:tcBorders>
            <w:noWrap/>
            <w:vAlign w:val="center"/>
            <w:hideMark/>
          </w:tcPr>
          <w:p w14:paraId="526E14A4"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$8,843,145 </w:t>
            </w:r>
          </w:p>
        </w:tc>
        <w:tc>
          <w:tcPr>
            <w:tcW w:w="391" w:type="pct"/>
            <w:gridSpan w:val="2"/>
            <w:tcBorders>
              <w:top w:val="nil"/>
              <w:left w:val="nil"/>
              <w:bottom w:val="single" w:sz="8" w:space="0" w:color="auto"/>
              <w:right w:val="single" w:sz="8" w:space="0" w:color="auto"/>
            </w:tcBorders>
            <w:noWrap/>
            <w:vAlign w:val="center"/>
            <w:hideMark/>
          </w:tcPr>
          <w:p w14:paraId="641AAA4C"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$80,392,228 </w:t>
            </w:r>
          </w:p>
        </w:tc>
        <w:tc>
          <w:tcPr>
            <w:tcW w:w="181" w:type="pct"/>
            <w:tcBorders>
              <w:top w:val="nil"/>
              <w:left w:val="nil"/>
              <w:bottom w:val="single" w:sz="8" w:space="0" w:color="auto"/>
              <w:right w:val="single" w:sz="8" w:space="0" w:color="auto"/>
            </w:tcBorders>
            <w:noWrap/>
            <w:vAlign w:val="center"/>
            <w:hideMark/>
          </w:tcPr>
          <w:p w14:paraId="6E041F4A" w14:textId="77777777" w:rsidR="00170617" w:rsidRPr="002926D7" w:rsidRDefault="00170617"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362F7CE4" w14:textId="77777777" w:rsidTr="002926D7">
        <w:trPr>
          <w:trHeight w:val="288"/>
          <w:jc w:val="center"/>
        </w:trPr>
        <w:tc>
          <w:tcPr>
            <w:tcW w:w="423" w:type="pct"/>
            <w:vMerge/>
            <w:tcBorders>
              <w:left w:val="single" w:sz="8" w:space="0" w:color="auto"/>
              <w:right w:val="single" w:sz="8" w:space="0" w:color="auto"/>
            </w:tcBorders>
            <w:vAlign w:val="center"/>
          </w:tcPr>
          <w:p w14:paraId="1342D0C7" w14:textId="11F28E12" w:rsidR="00170617" w:rsidRPr="002926D7" w:rsidRDefault="00170617"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055016E6" w14:textId="568CA327" w:rsidR="00170617" w:rsidRPr="002926D7" w:rsidRDefault="00170617" w:rsidP="002926D7">
            <w:pPr>
              <w:contextualSpacing/>
              <w:jc w:val="left"/>
              <w:rPr>
                <w:rFonts w:eastAsia="Times New Roman" w:cs="Calibri"/>
                <w:i/>
                <w:iCs/>
                <w:color w:val="000000"/>
                <w:sz w:val="14"/>
                <w:szCs w:val="14"/>
              </w:rPr>
            </w:pPr>
          </w:p>
        </w:tc>
        <w:tc>
          <w:tcPr>
            <w:tcW w:w="454" w:type="pct"/>
            <w:vMerge w:val="restart"/>
            <w:tcBorders>
              <w:top w:val="nil"/>
              <w:left w:val="single" w:sz="8" w:space="0" w:color="auto"/>
              <w:bottom w:val="nil"/>
              <w:right w:val="single" w:sz="8" w:space="0" w:color="auto"/>
            </w:tcBorders>
            <w:vAlign w:val="center"/>
            <w:hideMark/>
          </w:tcPr>
          <w:p w14:paraId="6C8B164C" w14:textId="77777777" w:rsidR="00170617" w:rsidRPr="002926D7" w:rsidRDefault="00170617"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Output 2.1.3. Focused interventions for advancement of gender equality and women’s empowerment objectives.</w:t>
            </w:r>
          </w:p>
        </w:tc>
        <w:tc>
          <w:tcPr>
            <w:tcW w:w="273" w:type="pct"/>
            <w:tcBorders>
              <w:top w:val="nil"/>
              <w:left w:val="single" w:sz="8" w:space="0" w:color="auto"/>
              <w:bottom w:val="nil"/>
              <w:right w:val="single" w:sz="8" w:space="0" w:color="auto"/>
            </w:tcBorders>
            <w:vAlign w:val="center"/>
            <w:hideMark/>
          </w:tcPr>
          <w:p w14:paraId="2EE349E9" w14:textId="77777777" w:rsidR="00170617" w:rsidRPr="002926D7" w:rsidRDefault="00170617"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UNDP</w:t>
            </w:r>
          </w:p>
        </w:tc>
        <w:tc>
          <w:tcPr>
            <w:tcW w:w="273" w:type="pct"/>
            <w:tcBorders>
              <w:top w:val="nil"/>
              <w:left w:val="single" w:sz="8" w:space="0" w:color="auto"/>
              <w:bottom w:val="nil"/>
              <w:right w:val="single" w:sz="8" w:space="0" w:color="auto"/>
            </w:tcBorders>
            <w:vAlign w:val="center"/>
            <w:hideMark/>
          </w:tcPr>
          <w:p w14:paraId="6097437D"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62000</w:t>
            </w:r>
          </w:p>
        </w:tc>
        <w:tc>
          <w:tcPr>
            <w:tcW w:w="273" w:type="pct"/>
            <w:tcBorders>
              <w:top w:val="nil"/>
              <w:left w:val="single" w:sz="8" w:space="0" w:color="auto"/>
              <w:bottom w:val="nil"/>
              <w:right w:val="single" w:sz="8" w:space="0" w:color="auto"/>
            </w:tcBorders>
            <w:vAlign w:val="center"/>
            <w:hideMark/>
          </w:tcPr>
          <w:p w14:paraId="2604F611" w14:textId="77777777" w:rsidR="00170617" w:rsidRPr="002926D7" w:rsidRDefault="00170617" w:rsidP="002926D7">
            <w:pPr>
              <w:ind w:right="-8"/>
              <w:contextualSpacing/>
              <w:jc w:val="center"/>
              <w:rPr>
                <w:rFonts w:eastAsia="Times New Roman" w:cs="Calibri"/>
                <w:i/>
                <w:iCs/>
                <w:color w:val="000000"/>
                <w:sz w:val="14"/>
                <w:szCs w:val="14"/>
              </w:rPr>
            </w:pPr>
            <w:r w:rsidRPr="002926D7">
              <w:rPr>
                <w:rFonts w:eastAsia="Times New Roman" w:cs="Calibri"/>
                <w:i/>
                <w:iCs/>
                <w:color w:val="000000"/>
                <w:sz w:val="14"/>
                <w:szCs w:val="14"/>
              </w:rPr>
              <w:t>10003</w:t>
            </w:r>
          </w:p>
        </w:tc>
        <w:tc>
          <w:tcPr>
            <w:tcW w:w="275" w:type="pct"/>
            <w:tcBorders>
              <w:top w:val="nil"/>
              <w:left w:val="nil"/>
              <w:bottom w:val="single" w:sz="8" w:space="0" w:color="auto"/>
              <w:right w:val="single" w:sz="8" w:space="0" w:color="auto"/>
            </w:tcBorders>
            <w:vAlign w:val="center"/>
            <w:hideMark/>
          </w:tcPr>
          <w:p w14:paraId="2760B3FB"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72600</w:t>
            </w:r>
          </w:p>
        </w:tc>
        <w:tc>
          <w:tcPr>
            <w:tcW w:w="334" w:type="pct"/>
            <w:tcBorders>
              <w:top w:val="nil"/>
              <w:left w:val="nil"/>
              <w:bottom w:val="single" w:sz="8" w:space="0" w:color="auto"/>
              <w:right w:val="single" w:sz="8" w:space="0" w:color="auto"/>
            </w:tcBorders>
            <w:vAlign w:val="center"/>
            <w:hideMark/>
          </w:tcPr>
          <w:p w14:paraId="43E57ACD"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Grants</w:t>
            </w:r>
          </w:p>
        </w:tc>
        <w:tc>
          <w:tcPr>
            <w:tcW w:w="363" w:type="pct"/>
            <w:tcBorders>
              <w:top w:val="nil"/>
              <w:left w:val="nil"/>
              <w:bottom w:val="single" w:sz="8" w:space="0" w:color="auto"/>
              <w:right w:val="single" w:sz="8" w:space="0" w:color="auto"/>
            </w:tcBorders>
            <w:noWrap/>
            <w:vAlign w:val="center"/>
            <w:hideMark/>
          </w:tcPr>
          <w:p w14:paraId="55A4E369"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 $                           352,855 </w:t>
            </w:r>
          </w:p>
        </w:tc>
        <w:tc>
          <w:tcPr>
            <w:tcW w:w="364" w:type="pct"/>
            <w:tcBorders>
              <w:top w:val="nil"/>
              <w:left w:val="nil"/>
              <w:bottom w:val="single" w:sz="8" w:space="0" w:color="auto"/>
              <w:right w:val="single" w:sz="8" w:space="0" w:color="auto"/>
            </w:tcBorders>
            <w:noWrap/>
            <w:vAlign w:val="center"/>
            <w:hideMark/>
          </w:tcPr>
          <w:p w14:paraId="31B5244A"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 $                                   764,520 </w:t>
            </w:r>
          </w:p>
        </w:tc>
        <w:tc>
          <w:tcPr>
            <w:tcW w:w="333" w:type="pct"/>
            <w:tcBorders>
              <w:top w:val="nil"/>
              <w:left w:val="nil"/>
              <w:bottom w:val="single" w:sz="8" w:space="0" w:color="auto"/>
              <w:right w:val="single" w:sz="8" w:space="0" w:color="auto"/>
            </w:tcBorders>
            <w:noWrap/>
            <w:vAlign w:val="center"/>
            <w:hideMark/>
          </w:tcPr>
          <w:p w14:paraId="0D3DE900"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 $                      2,058,324 </w:t>
            </w:r>
          </w:p>
        </w:tc>
        <w:tc>
          <w:tcPr>
            <w:tcW w:w="334" w:type="pct"/>
            <w:tcBorders>
              <w:top w:val="nil"/>
              <w:left w:val="nil"/>
              <w:bottom w:val="single" w:sz="8" w:space="0" w:color="auto"/>
              <w:right w:val="single" w:sz="8" w:space="0" w:color="auto"/>
            </w:tcBorders>
            <w:noWrap/>
            <w:vAlign w:val="center"/>
            <w:hideMark/>
          </w:tcPr>
          <w:p w14:paraId="1B206EBB"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 $                      2,058,324 </w:t>
            </w:r>
          </w:p>
        </w:tc>
        <w:tc>
          <w:tcPr>
            <w:tcW w:w="276" w:type="pct"/>
            <w:tcBorders>
              <w:top w:val="nil"/>
              <w:left w:val="nil"/>
              <w:bottom w:val="single" w:sz="8" w:space="0" w:color="auto"/>
              <w:right w:val="single" w:sz="8" w:space="0" w:color="auto"/>
            </w:tcBorders>
            <w:vAlign w:val="center"/>
            <w:hideMark/>
          </w:tcPr>
          <w:p w14:paraId="4644CB95"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 $                           646,901 </w:t>
            </w:r>
          </w:p>
        </w:tc>
        <w:tc>
          <w:tcPr>
            <w:tcW w:w="391" w:type="pct"/>
            <w:gridSpan w:val="2"/>
            <w:tcBorders>
              <w:top w:val="nil"/>
              <w:left w:val="nil"/>
              <w:bottom w:val="single" w:sz="8" w:space="0" w:color="auto"/>
              <w:right w:val="single" w:sz="8" w:space="0" w:color="auto"/>
            </w:tcBorders>
            <w:noWrap/>
            <w:vAlign w:val="center"/>
            <w:hideMark/>
          </w:tcPr>
          <w:p w14:paraId="5842F030"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 $                            5,880,924 </w:t>
            </w:r>
          </w:p>
        </w:tc>
        <w:tc>
          <w:tcPr>
            <w:tcW w:w="181" w:type="pct"/>
            <w:tcBorders>
              <w:top w:val="nil"/>
              <w:left w:val="nil"/>
              <w:bottom w:val="single" w:sz="8" w:space="0" w:color="auto"/>
              <w:right w:val="single" w:sz="8" w:space="0" w:color="auto"/>
            </w:tcBorders>
            <w:noWrap/>
            <w:vAlign w:val="center"/>
            <w:hideMark/>
          </w:tcPr>
          <w:p w14:paraId="1B055235" w14:textId="77777777" w:rsidR="00170617" w:rsidRPr="002926D7" w:rsidRDefault="00170617" w:rsidP="002926D7">
            <w:pPr>
              <w:contextualSpacing/>
              <w:jc w:val="center"/>
              <w:rPr>
                <w:rFonts w:eastAsia="Times New Roman" w:cs="Calibri"/>
                <w:color w:val="000000"/>
                <w:sz w:val="14"/>
                <w:szCs w:val="14"/>
              </w:rPr>
            </w:pPr>
            <w:r w:rsidRPr="002926D7">
              <w:rPr>
                <w:rFonts w:eastAsia="Times New Roman" w:cs="Calibri"/>
                <w:color w:val="000000"/>
                <w:sz w:val="14"/>
                <w:szCs w:val="14"/>
              </w:rPr>
              <w:t>1</w:t>
            </w:r>
          </w:p>
        </w:tc>
      </w:tr>
      <w:tr w:rsidR="00170617" w:rsidRPr="002926D7" w14:paraId="0E964C2E" w14:textId="77777777" w:rsidTr="002926D7">
        <w:trPr>
          <w:trHeight w:val="288"/>
          <w:jc w:val="center"/>
        </w:trPr>
        <w:tc>
          <w:tcPr>
            <w:tcW w:w="423" w:type="pct"/>
            <w:vMerge/>
            <w:tcBorders>
              <w:left w:val="single" w:sz="8" w:space="0" w:color="auto"/>
              <w:right w:val="single" w:sz="8" w:space="0" w:color="auto"/>
            </w:tcBorders>
            <w:vAlign w:val="center"/>
          </w:tcPr>
          <w:p w14:paraId="56D71529" w14:textId="3871CD2A" w:rsidR="00170617" w:rsidRPr="002926D7" w:rsidRDefault="00170617"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1453BA09" w14:textId="39C6B8D8" w:rsidR="00170617" w:rsidRPr="002926D7" w:rsidRDefault="00170617"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nil"/>
              <w:right w:val="single" w:sz="8" w:space="0" w:color="auto"/>
            </w:tcBorders>
            <w:vAlign w:val="center"/>
            <w:hideMark/>
          </w:tcPr>
          <w:p w14:paraId="6B14B393" w14:textId="77777777" w:rsidR="00170617" w:rsidRPr="002926D7" w:rsidRDefault="00170617" w:rsidP="002926D7">
            <w:pPr>
              <w:contextualSpacing/>
              <w:jc w:val="left"/>
              <w:rPr>
                <w:rFonts w:eastAsia="Times New Roman" w:cs="Calibri"/>
                <w:i/>
                <w:iCs/>
                <w:color w:val="000000"/>
                <w:sz w:val="14"/>
                <w:szCs w:val="14"/>
              </w:rPr>
            </w:pPr>
          </w:p>
        </w:tc>
        <w:tc>
          <w:tcPr>
            <w:tcW w:w="1428" w:type="pct"/>
            <w:gridSpan w:val="5"/>
            <w:tcBorders>
              <w:top w:val="single" w:sz="8" w:space="0" w:color="auto"/>
              <w:left w:val="nil"/>
              <w:bottom w:val="single" w:sz="8" w:space="0" w:color="auto"/>
              <w:right w:val="nil"/>
            </w:tcBorders>
            <w:vAlign w:val="center"/>
            <w:hideMark/>
          </w:tcPr>
          <w:p w14:paraId="1439F31C" w14:textId="77777777" w:rsidR="00170617" w:rsidRPr="002926D7" w:rsidRDefault="00170617" w:rsidP="002926D7">
            <w:pPr>
              <w:ind w:right="-8"/>
              <w:contextualSpacing/>
              <w:rPr>
                <w:rFonts w:eastAsia="Times New Roman" w:cs="Calibri"/>
                <w:b/>
                <w:bCs/>
                <w:i/>
                <w:iCs/>
                <w:color w:val="000000"/>
                <w:sz w:val="14"/>
                <w:szCs w:val="14"/>
              </w:rPr>
            </w:pPr>
            <w:r w:rsidRPr="002926D7">
              <w:rPr>
                <w:rFonts w:eastAsia="Times New Roman" w:cs="Calibri"/>
                <w:b/>
                <w:bCs/>
                <w:i/>
                <w:iCs/>
                <w:color w:val="000000"/>
                <w:sz w:val="14"/>
                <w:szCs w:val="14"/>
              </w:rPr>
              <w:t>Total UNDP</w:t>
            </w:r>
          </w:p>
        </w:tc>
        <w:tc>
          <w:tcPr>
            <w:tcW w:w="363" w:type="pct"/>
            <w:tcBorders>
              <w:top w:val="nil"/>
              <w:left w:val="nil"/>
              <w:bottom w:val="single" w:sz="8" w:space="0" w:color="auto"/>
              <w:right w:val="single" w:sz="8" w:space="0" w:color="auto"/>
            </w:tcBorders>
            <w:noWrap/>
            <w:vAlign w:val="center"/>
            <w:hideMark/>
          </w:tcPr>
          <w:p w14:paraId="0E303172"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$352,855 </w:t>
            </w:r>
          </w:p>
        </w:tc>
        <w:tc>
          <w:tcPr>
            <w:tcW w:w="364" w:type="pct"/>
            <w:tcBorders>
              <w:top w:val="nil"/>
              <w:left w:val="nil"/>
              <w:bottom w:val="single" w:sz="8" w:space="0" w:color="auto"/>
              <w:right w:val="single" w:sz="8" w:space="0" w:color="auto"/>
            </w:tcBorders>
            <w:noWrap/>
            <w:vAlign w:val="center"/>
            <w:hideMark/>
          </w:tcPr>
          <w:p w14:paraId="69E5A5B3"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$764,520 </w:t>
            </w:r>
          </w:p>
        </w:tc>
        <w:tc>
          <w:tcPr>
            <w:tcW w:w="333" w:type="pct"/>
            <w:tcBorders>
              <w:top w:val="nil"/>
              <w:left w:val="nil"/>
              <w:bottom w:val="single" w:sz="8" w:space="0" w:color="auto"/>
              <w:right w:val="single" w:sz="8" w:space="0" w:color="auto"/>
            </w:tcBorders>
            <w:noWrap/>
            <w:vAlign w:val="center"/>
            <w:hideMark/>
          </w:tcPr>
          <w:p w14:paraId="2A12A237"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$2,058,324 </w:t>
            </w:r>
          </w:p>
        </w:tc>
        <w:tc>
          <w:tcPr>
            <w:tcW w:w="334" w:type="pct"/>
            <w:tcBorders>
              <w:top w:val="nil"/>
              <w:left w:val="nil"/>
              <w:bottom w:val="single" w:sz="8" w:space="0" w:color="auto"/>
              <w:right w:val="single" w:sz="8" w:space="0" w:color="auto"/>
            </w:tcBorders>
            <w:noWrap/>
            <w:vAlign w:val="center"/>
            <w:hideMark/>
          </w:tcPr>
          <w:p w14:paraId="27E5D7D2"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$2,058,324 </w:t>
            </w:r>
          </w:p>
        </w:tc>
        <w:tc>
          <w:tcPr>
            <w:tcW w:w="276" w:type="pct"/>
            <w:tcBorders>
              <w:top w:val="nil"/>
              <w:left w:val="nil"/>
              <w:bottom w:val="single" w:sz="8" w:space="0" w:color="auto"/>
              <w:right w:val="single" w:sz="8" w:space="0" w:color="auto"/>
            </w:tcBorders>
            <w:noWrap/>
            <w:vAlign w:val="center"/>
            <w:hideMark/>
          </w:tcPr>
          <w:p w14:paraId="379563D6"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$646,901 </w:t>
            </w:r>
          </w:p>
        </w:tc>
        <w:tc>
          <w:tcPr>
            <w:tcW w:w="391" w:type="pct"/>
            <w:gridSpan w:val="2"/>
            <w:tcBorders>
              <w:top w:val="nil"/>
              <w:left w:val="nil"/>
              <w:bottom w:val="single" w:sz="8" w:space="0" w:color="auto"/>
              <w:right w:val="single" w:sz="8" w:space="0" w:color="auto"/>
            </w:tcBorders>
            <w:noWrap/>
            <w:vAlign w:val="center"/>
            <w:hideMark/>
          </w:tcPr>
          <w:p w14:paraId="7923ECB2"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$5,880,924 </w:t>
            </w:r>
          </w:p>
        </w:tc>
        <w:tc>
          <w:tcPr>
            <w:tcW w:w="181" w:type="pct"/>
            <w:tcBorders>
              <w:top w:val="nil"/>
              <w:left w:val="nil"/>
              <w:bottom w:val="single" w:sz="8" w:space="0" w:color="auto"/>
              <w:right w:val="single" w:sz="8" w:space="0" w:color="auto"/>
            </w:tcBorders>
            <w:noWrap/>
            <w:vAlign w:val="center"/>
            <w:hideMark/>
          </w:tcPr>
          <w:p w14:paraId="723C4E57" w14:textId="77777777" w:rsidR="00170617" w:rsidRPr="002926D7" w:rsidRDefault="00170617"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5DC46612" w14:textId="77777777" w:rsidTr="002926D7">
        <w:trPr>
          <w:trHeight w:val="288"/>
          <w:jc w:val="center"/>
        </w:trPr>
        <w:tc>
          <w:tcPr>
            <w:tcW w:w="423" w:type="pct"/>
            <w:vMerge/>
            <w:tcBorders>
              <w:left w:val="single" w:sz="8" w:space="0" w:color="auto"/>
              <w:right w:val="single" w:sz="8" w:space="0" w:color="auto"/>
            </w:tcBorders>
            <w:vAlign w:val="center"/>
          </w:tcPr>
          <w:p w14:paraId="36F53BD5" w14:textId="750028EC" w:rsidR="00170617" w:rsidRPr="002926D7" w:rsidRDefault="00170617"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790519EA" w14:textId="1913AE64" w:rsidR="00170617" w:rsidRPr="002926D7" w:rsidRDefault="00170617" w:rsidP="002926D7">
            <w:pPr>
              <w:contextualSpacing/>
              <w:jc w:val="left"/>
              <w:rPr>
                <w:rFonts w:eastAsia="Times New Roman" w:cs="Calibri"/>
                <w:i/>
                <w:iCs/>
                <w:color w:val="000000"/>
                <w:sz w:val="14"/>
                <w:szCs w:val="14"/>
              </w:rPr>
            </w:pPr>
          </w:p>
        </w:tc>
        <w:tc>
          <w:tcPr>
            <w:tcW w:w="1881" w:type="pct"/>
            <w:gridSpan w:val="6"/>
            <w:tcBorders>
              <w:top w:val="single" w:sz="8" w:space="0" w:color="auto"/>
              <w:left w:val="nil"/>
              <w:bottom w:val="single" w:sz="8" w:space="0" w:color="auto"/>
              <w:right w:val="nil"/>
            </w:tcBorders>
            <w:vAlign w:val="center"/>
            <w:hideMark/>
          </w:tcPr>
          <w:p w14:paraId="53C02768" w14:textId="77777777" w:rsidR="00170617" w:rsidRPr="002926D7" w:rsidRDefault="00170617" w:rsidP="002926D7">
            <w:pPr>
              <w:ind w:right="-8"/>
              <w:contextualSpacing/>
              <w:rPr>
                <w:rFonts w:eastAsia="Times New Roman" w:cs="Calibri"/>
                <w:i/>
                <w:iCs/>
                <w:color w:val="000000"/>
                <w:sz w:val="14"/>
                <w:szCs w:val="14"/>
              </w:rPr>
            </w:pPr>
            <w:r w:rsidRPr="002926D7">
              <w:rPr>
                <w:rFonts w:eastAsia="Times New Roman" w:cs="Calibri"/>
                <w:i/>
                <w:iCs/>
                <w:color w:val="000000"/>
                <w:sz w:val="14"/>
                <w:szCs w:val="14"/>
              </w:rPr>
              <w:t>Total Output 2.1.3</w:t>
            </w:r>
          </w:p>
        </w:tc>
        <w:tc>
          <w:tcPr>
            <w:tcW w:w="363" w:type="pct"/>
            <w:tcBorders>
              <w:top w:val="nil"/>
              <w:left w:val="nil"/>
              <w:bottom w:val="single" w:sz="8" w:space="0" w:color="auto"/>
              <w:right w:val="single" w:sz="8" w:space="0" w:color="auto"/>
            </w:tcBorders>
            <w:noWrap/>
            <w:vAlign w:val="center"/>
            <w:hideMark/>
          </w:tcPr>
          <w:p w14:paraId="0DB4B54C"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$352,855 </w:t>
            </w:r>
          </w:p>
        </w:tc>
        <w:tc>
          <w:tcPr>
            <w:tcW w:w="364" w:type="pct"/>
            <w:tcBorders>
              <w:top w:val="nil"/>
              <w:left w:val="nil"/>
              <w:bottom w:val="single" w:sz="8" w:space="0" w:color="auto"/>
              <w:right w:val="single" w:sz="8" w:space="0" w:color="auto"/>
            </w:tcBorders>
            <w:noWrap/>
            <w:vAlign w:val="center"/>
            <w:hideMark/>
          </w:tcPr>
          <w:p w14:paraId="689BE964"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$764,520 </w:t>
            </w:r>
          </w:p>
        </w:tc>
        <w:tc>
          <w:tcPr>
            <w:tcW w:w="333" w:type="pct"/>
            <w:tcBorders>
              <w:top w:val="nil"/>
              <w:left w:val="nil"/>
              <w:bottom w:val="single" w:sz="8" w:space="0" w:color="auto"/>
              <w:right w:val="single" w:sz="8" w:space="0" w:color="auto"/>
            </w:tcBorders>
            <w:noWrap/>
            <w:vAlign w:val="center"/>
            <w:hideMark/>
          </w:tcPr>
          <w:p w14:paraId="405597CA"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$2,058,324 </w:t>
            </w:r>
          </w:p>
        </w:tc>
        <w:tc>
          <w:tcPr>
            <w:tcW w:w="334" w:type="pct"/>
            <w:tcBorders>
              <w:top w:val="nil"/>
              <w:left w:val="nil"/>
              <w:bottom w:val="single" w:sz="8" w:space="0" w:color="auto"/>
              <w:right w:val="single" w:sz="8" w:space="0" w:color="auto"/>
            </w:tcBorders>
            <w:noWrap/>
            <w:vAlign w:val="center"/>
            <w:hideMark/>
          </w:tcPr>
          <w:p w14:paraId="2EAD00E4"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$2,058,324 </w:t>
            </w:r>
          </w:p>
        </w:tc>
        <w:tc>
          <w:tcPr>
            <w:tcW w:w="276" w:type="pct"/>
            <w:tcBorders>
              <w:top w:val="nil"/>
              <w:left w:val="nil"/>
              <w:bottom w:val="single" w:sz="8" w:space="0" w:color="auto"/>
              <w:right w:val="single" w:sz="8" w:space="0" w:color="auto"/>
            </w:tcBorders>
            <w:noWrap/>
            <w:vAlign w:val="center"/>
            <w:hideMark/>
          </w:tcPr>
          <w:p w14:paraId="3E0802DF"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$646,901 </w:t>
            </w:r>
          </w:p>
        </w:tc>
        <w:tc>
          <w:tcPr>
            <w:tcW w:w="391" w:type="pct"/>
            <w:gridSpan w:val="2"/>
            <w:tcBorders>
              <w:top w:val="nil"/>
              <w:left w:val="nil"/>
              <w:bottom w:val="single" w:sz="8" w:space="0" w:color="auto"/>
              <w:right w:val="single" w:sz="8" w:space="0" w:color="auto"/>
            </w:tcBorders>
            <w:noWrap/>
            <w:vAlign w:val="center"/>
            <w:hideMark/>
          </w:tcPr>
          <w:p w14:paraId="5462E8E5"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$5,880,924 </w:t>
            </w:r>
          </w:p>
        </w:tc>
        <w:tc>
          <w:tcPr>
            <w:tcW w:w="181" w:type="pct"/>
            <w:tcBorders>
              <w:top w:val="nil"/>
              <w:left w:val="nil"/>
              <w:bottom w:val="single" w:sz="8" w:space="0" w:color="auto"/>
              <w:right w:val="single" w:sz="8" w:space="0" w:color="auto"/>
            </w:tcBorders>
            <w:noWrap/>
            <w:vAlign w:val="center"/>
            <w:hideMark/>
          </w:tcPr>
          <w:p w14:paraId="718D88C2" w14:textId="77777777" w:rsidR="00170617" w:rsidRPr="002926D7" w:rsidRDefault="00170617"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5AB96304" w14:textId="77777777" w:rsidTr="002926D7">
        <w:trPr>
          <w:trHeight w:val="288"/>
          <w:jc w:val="center"/>
        </w:trPr>
        <w:tc>
          <w:tcPr>
            <w:tcW w:w="423" w:type="pct"/>
            <w:vMerge/>
            <w:tcBorders>
              <w:left w:val="single" w:sz="8" w:space="0" w:color="auto"/>
              <w:right w:val="single" w:sz="8" w:space="0" w:color="auto"/>
            </w:tcBorders>
            <w:vAlign w:val="center"/>
          </w:tcPr>
          <w:p w14:paraId="528CBA72" w14:textId="5384C8DB" w:rsidR="00170617" w:rsidRPr="002926D7" w:rsidRDefault="00170617"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7BD9958E" w14:textId="49FE3836" w:rsidR="00170617" w:rsidRPr="002926D7" w:rsidRDefault="00170617" w:rsidP="002926D7">
            <w:pPr>
              <w:contextualSpacing/>
              <w:jc w:val="left"/>
              <w:rPr>
                <w:rFonts w:eastAsia="Times New Roman" w:cs="Calibri"/>
                <w:i/>
                <w:iCs/>
                <w:color w:val="000000"/>
                <w:sz w:val="14"/>
                <w:szCs w:val="14"/>
              </w:rPr>
            </w:pPr>
          </w:p>
        </w:tc>
        <w:tc>
          <w:tcPr>
            <w:tcW w:w="454" w:type="pct"/>
            <w:vMerge w:val="restart"/>
            <w:tcBorders>
              <w:top w:val="nil"/>
              <w:left w:val="single" w:sz="8" w:space="0" w:color="auto"/>
              <w:bottom w:val="nil"/>
              <w:right w:val="single" w:sz="8" w:space="0" w:color="auto"/>
            </w:tcBorders>
            <w:vAlign w:val="center"/>
            <w:hideMark/>
          </w:tcPr>
          <w:p w14:paraId="654B693C" w14:textId="77777777" w:rsidR="00170617" w:rsidRPr="002926D7" w:rsidRDefault="00170617"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Output 2.1.4 Focused interventions on leaving no one behind, including Indigenous Peoples, Youth, Persons with Disabialities.</w:t>
            </w:r>
          </w:p>
        </w:tc>
        <w:tc>
          <w:tcPr>
            <w:tcW w:w="273" w:type="pct"/>
            <w:tcBorders>
              <w:top w:val="nil"/>
              <w:left w:val="single" w:sz="8" w:space="0" w:color="auto"/>
              <w:bottom w:val="nil"/>
              <w:right w:val="single" w:sz="8" w:space="0" w:color="auto"/>
            </w:tcBorders>
            <w:vAlign w:val="center"/>
            <w:hideMark/>
          </w:tcPr>
          <w:p w14:paraId="19111E5B" w14:textId="77777777" w:rsidR="00170617" w:rsidRPr="002926D7" w:rsidRDefault="00170617"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UNDP</w:t>
            </w:r>
          </w:p>
        </w:tc>
        <w:tc>
          <w:tcPr>
            <w:tcW w:w="273" w:type="pct"/>
            <w:tcBorders>
              <w:top w:val="nil"/>
              <w:left w:val="single" w:sz="8" w:space="0" w:color="auto"/>
              <w:bottom w:val="nil"/>
              <w:right w:val="single" w:sz="8" w:space="0" w:color="auto"/>
            </w:tcBorders>
            <w:vAlign w:val="center"/>
            <w:hideMark/>
          </w:tcPr>
          <w:p w14:paraId="40C650B1"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62000</w:t>
            </w:r>
          </w:p>
        </w:tc>
        <w:tc>
          <w:tcPr>
            <w:tcW w:w="273" w:type="pct"/>
            <w:tcBorders>
              <w:top w:val="nil"/>
              <w:left w:val="single" w:sz="8" w:space="0" w:color="auto"/>
              <w:bottom w:val="nil"/>
              <w:right w:val="single" w:sz="8" w:space="0" w:color="auto"/>
            </w:tcBorders>
            <w:vAlign w:val="center"/>
            <w:hideMark/>
          </w:tcPr>
          <w:p w14:paraId="131262A8" w14:textId="77777777" w:rsidR="00170617" w:rsidRPr="002926D7" w:rsidRDefault="00170617" w:rsidP="002926D7">
            <w:pPr>
              <w:ind w:right="-8"/>
              <w:contextualSpacing/>
              <w:jc w:val="center"/>
              <w:rPr>
                <w:rFonts w:eastAsia="Times New Roman" w:cs="Calibri"/>
                <w:i/>
                <w:iCs/>
                <w:color w:val="000000"/>
                <w:sz w:val="14"/>
                <w:szCs w:val="14"/>
              </w:rPr>
            </w:pPr>
            <w:r w:rsidRPr="002926D7">
              <w:rPr>
                <w:rFonts w:eastAsia="Times New Roman" w:cs="Calibri"/>
                <w:i/>
                <w:iCs/>
                <w:color w:val="000000"/>
                <w:sz w:val="14"/>
                <w:szCs w:val="14"/>
              </w:rPr>
              <w:t>10003</w:t>
            </w:r>
          </w:p>
        </w:tc>
        <w:tc>
          <w:tcPr>
            <w:tcW w:w="275" w:type="pct"/>
            <w:tcBorders>
              <w:top w:val="nil"/>
              <w:left w:val="nil"/>
              <w:bottom w:val="single" w:sz="8" w:space="0" w:color="auto"/>
              <w:right w:val="single" w:sz="8" w:space="0" w:color="auto"/>
            </w:tcBorders>
            <w:vAlign w:val="center"/>
            <w:hideMark/>
          </w:tcPr>
          <w:p w14:paraId="435F7E07"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72600</w:t>
            </w:r>
          </w:p>
        </w:tc>
        <w:tc>
          <w:tcPr>
            <w:tcW w:w="334" w:type="pct"/>
            <w:tcBorders>
              <w:top w:val="nil"/>
              <w:left w:val="nil"/>
              <w:bottom w:val="single" w:sz="8" w:space="0" w:color="auto"/>
              <w:right w:val="single" w:sz="8" w:space="0" w:color="auto"/>
            </w:tcBorders>
            <w:vAlign w:val="center"/>
            <w:hideMark/>
          </w:tcPr>
          <w:p w14:paraId="4172B8D2" w14:textId="77777777" w:rsidR="00170617" w:rsidRPr="002926D7" w:rsidRDefault="00170617"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Grants</w:t>
            </w:r>
          </w:p>
        </w:tc>
        <w:tc>
          <w:tcPr>
            <w:tcW w:w="363" w:type="pct"/>
            <w:tcBorders>
              <w:top w:val="nil"/>
              <w:left w:val="nil"/>
              <w:bottom w:val="single" w:sz="8" w:space="0" w:color="auto"/>
              <w:right w:val="single" w:sz="8" w:space="0" w:color="auto"/>
            </w:tcBorders>
            <w:noWrap/>
            <w:vAlign w:val="center"/>
            <w:hideMark/>
          </w:tcPr>
          <w:p w14:paraId="692927CE"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 $                           352,855 </w:t>
            </w:r>
          </w:p>
        </w:tc>
        <w:tc>
          <w:tcPr>
            <w:tcW w:w="364" w:type="pct"/>
            <w:tcBorders>
              <w:top w:val="nil"/>
              <w:left w:val="nil"/>
              <w:bottom w:val="single" w:sz="8" w:space="0" w:color="auto"/>
              <w:right w:val="single" w:sz="8" w:space="0" w:color="auto"/>
            </w:tcBorders>
            <w:noWrap/>
            <w:vAlign w:val="center"/>
            <w:hideMark/>
          </w:tcPr>
          <w:p w14:paraId="6AE8E9AB"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 $                                   764,520 </w:t>
            </w:r>
          </w:p>
        </w:tc>
        <w:tc>
          <w:tcPr>
            <w:tcW w:w="333" w:type="pct"/>
            <w:tcBorders>
              <w:top w:val="nil"/>
              <w:left w:val="nil"/>
              <w:bottom w:val="single" w:sz="8" w:space="0" w:color="auto"/>
              <w:right w:val="single" w:sz="8" w:space="0" w:color="auto"/>
            </w:tcBorders>
            <w:noWrap/>
            <w:vAlign w:val="center"/>
            <w:hideMark/>
          </w:tcPr>
          <w:p w14:paraId="04592B2D"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 $                      2,058,324 </w:t>
            </w:r>
          </w:p>
        </w:tc>
        <w:tc>
          <w:tcPr>
            <w:tcW w:w="334" w:type="pct"/>
            <w:tcBorders>
              <w:top w:val="nil"/>
              <w:left w:val="nil"/>
              <w:bottom w:val="single" w:sz="8" w:space="0" w:color="auto"/>
              <w:right w:val="single" w:sz="8" w:space="0" w:color="auto"/>
            </w:tcBorders>
            <w:noWrap/>
            <w:vAlign w:val="center"/>
            <w:hideMark/>
          </w:tcPr>
          <w:p w14:paraId="6BDA201B"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 $                      2,058,324 </w:t>
            </w:r>
          </w:p>
        </w:tc>
        <w:tc>
          <w:tcPr>
            <w:tcW w:w="276" w:type="pct"/>
            <w:tcBorders>
              <w:top w:val="nil"/>
              <w:left w:val="nil"/>
              <w:bottom w:val="single" w:sz="8" w:space="0" w:color="auto"/>
              <w:right w:val="single" w:sz="8" w:space="0" w:color="auto"/>
            </w:tcBorders>
            <w:vAlign w:val="center"/>
            <w:hideMark/>
          </w:tcPr>
          <w:p w14:paraId="2A0EA5F2"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 $                           646,901 </w:t>
            </w:r>
          </w:p>
        </w:tc>
        <w:tc>
          <w:tcPr>
            <w:tcW w:w="391" w:type="pct"/>
            <w:gridSpan w:val="2"/>
            <w:tcBorders>
              <w:top w:val="nil"/>
              <w:left w:val="nil"/>
              <w:bottom w:val="single" w:sz="8" w:space="0" w:color="auto"/>
              <w:right w:val="single" w:sz="8" w:space="0" w:color="auto"/>
            </w:tcBorders>
            <w:noWrap/>
            <w:vAlign w:val="center"/>
            <w:hideMark/>
          </w:tcPr>
          <w:p w14:paraId="0F00EB64" w14:textId="77777777" w:rsidR="00170617" w:rsidRPr="002926D7" w:rsidRDefault="00170617" w:rsidP="002926D7">
            <w:pPr>
              <w:contextualSpacing/>
              <w:rPr>
                <w:rFonts w:eastAsia="Times New Roman" w:cs="Calibri"/>
                <w:color w:val="000000"/>
                <w:sz w:val="14"/>
                <w:szCs w:val="14"/>
              </w:rPr>
            </w:pPr>
            <w:r w:rsidRPr="002926D7">
              <w:rPr>
                <w:rFonts w:eastAsia="Times New Roman" w:cs="Calibri"/>
                <w:color w:val="000000"/>
                <w:sz w:val="14"/>
                <w:szCs w:val="14"/>
              </w:rPr>
              <w:t xml:space="preserve"> $                            5,880,924 </w:t>
            </w:r>
          </w:p>
        </w:tc>
        <w:tc>
          <w:tcPr>
            <w:tcW w:w="181" w:type="pct"/>
            <w:tcBorders>
              <w:top w:val="nil"/>
              <w:left w:val="nil"/>
              <w:bottom w:val="single" w:sz="8" w:space="0" w:color="auto"/>
              <w:right w:val="single" w:sz="8" w:space="0" w:color="auto"/>
            </w:tcBorders>
            <w:noWrap/>
            <w:vAlign w:val="center"/>
            <w:hideMark/>
          </w:tcPr>
          <w:p w14:paraId="315310D4" w14:textId="77777777" w:rsidR="00170617" w:rsidRPr="002926D7" w:rsidRDefault="00170617" w:rsidP="002926D7">
            <w:pPr>
              <w:contextualSpacing/>
              <w:jc w:val="center"/>
              <w:rPr>
                <w:rFonts w:eastAsia="Times New Roman" w:cs="Calibri"/>
                <w:color w:val="000000"/>
                <w:sz w:val="14"/>
                <w:szCs w:val="14"/>
              </w:rPr>
            </w:pPr>
            <w:r w:rsidRPr="002926D7">
              <w:rPr>
                <w:rFonts w:eastAsia="Times New Roman" w:cs="Calibri"/>
                <w:color w:val="000000"/>
                <w:sz w:val="14"/>
                <w:szCs w:val="14"/>
              </w:rPr>
              <w:t>1</w:t>
            </w:r>
          </w:p>
        </w:tc>
      </w:tr>
      <w:tr w:rsidR="00170617" w:rsidRPr="002926D7" w14:paraId="72599C77" w14:textId="77777777" w:rsidTr="002926D7">
        <w:trPr>
          <w:trHeight w:val="288"/>
          <w:jc w:val="center"/>
        </w:trPr>
        <w:tc>
          <w:tcPr>
            <w:tcW w:w="423" w:type="pct"/>
            <w:vMerge/>
            <w:tcBorders>
              <w:left w:val="single" w:sz="8" w:space="0" w:color="auto"/>
              <w:right w:val="single" w:sz="8" w:space="0" w:color="auto"/>
            </w:tcBorders>
            <w:vAlign w:val="center"/>
          </w:tcPr>
          <w:p w14:paraId="15186DAB" w14:textId="05929B9D" w:rsidR="00170617" w:rsidRPr="002926D7" w:rsidRDefault="00170617"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6533EB19" w14:textId="1A73AD5E" w:rsidR="00170617" w:rsidRPr="002926D7" w:rsidRDefault="00170617"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nil"/>
              <w:right w:val="single" w:sz="8" w:space="0" w:color="auto"/>
            </w:tcBorders>
            <w:vAlign w:val="center"/>
            <w:hideMark/>
          </w:tcPr>
          <w:p w14:paraId="13CEFDD8" w14:textId="77777777" w:rsidR="00170617" w:rsidRPr="002926D7" w:rsidRDefault="00170617" w:rsidP="002926D7">
            <w:pPr>
              <w:contextualSpacing/>
              <w:jc w:val="left"/>
              <w:rPr>
                <w:rFonts w:eastAsia="Times New Roman" w:cs="Calibri"/>
                <w:i/>
                <w:iCs/>
                <w:color w:val="000000"/>
                <w:sz w:val="14"/>
                <w:szCs w:val="14"/>
              </w:rPr>
            </w:pPr>
          </w:p>
        </w:tc>
        <w:tc>
          <w:tcPr>
            <w:tcW w:w="1428" w:type="pct"/>
            <w:gridSpan w:val="5"/>
            <w:tcBorders>
              <w:top w:val="single" w:sz="8" w:space="0" w:color="auto"/>
              <w:left w:val="nil"/>
              <w:bottom w:val="single" w:sz="8" w:space="0" w:color="auto"/>
              <w:right w:val="nil"/>
            </w:tcBorders>
            <w:vAlign w:val="center"/>
            <w:hideMark/>
          </w:tcPr>
          <w:p w14:paraId="06ED0031" w14:textId="77777777" w:rsidR="00170617" w:rsidRPr="002926D7" w:rsidRDefault="00170617" w:rsidP="002926D7">
            <w:pPr>
              <w:ind w:right="-8"/>
              <w:contextualSpacing/>
              <w:rPr>
                <w:rFonts w:eastAsia="Times New Roman" w:cs="Calibri"/>
                <w:b/>
                <w:bCs/>
                <w:i/>
                <w:iCs/>
                <w:color w:val="000000"/>
                <w:sz w:val="14"/>
                <w:szCs w:val="14"/>
              </w:rPr>
            </w:pPr>
            <w:r w:rsidRPr="002926D7">
              <w:rPr>
                <w:rFonts w:eastAsia="Times New Roman" w:cs="Calibri"/>
                <w:b/>
                <w:bCs/>
                <w:i/>
                <w:iCs/>
                <w:color w:val="000000"/>
                <w:sz w:val="14"/>
                <w:szCs w:val="14"/>
              </w:rPr>
              <w:t>Total UNDP</w:t>
            </w:r>
          </w:p>
        </w:tc>
        <w:tc>
          <w:tcPr>
            <w:tcW w:w="363" w:type="pct"/>
            <w:tcBorders>
              <w:top w:val="nil"/>
              <w:left w:val="nil"/>
              <w:bottom w:val="single" w:sz="8" w:space="0" w:color="auto"/>
              <w:right w:val="single" w:sz="8" w:space="0" w:color="auto"/>
            </w:tcBorders>
            <w:noWrap/>
            <w:vAlign w:val="center"/>
            <w:hideMark/>
          </w:tcPr>
          <w:p w14:paraId="4D2D1E88"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$352,855 </w:t>
            </w:r>
          </w:p>
        </w:tc>
        <w:tc>
          <w:tcPr>
            <w:tcW w:w="364" w:type="pct"/>
            <w:tcBorders>
              <w:top w:val="nil"/>
              <w:left w:val="nil"/>
              <w:bottom w:val="single" w:sz="8" w:space="0" w:color="auto"/>
              <w:right w:val="single" w:sz="8" w:space="0" w:color="auto"/>
            </w:tcBorders>
            <w:noWrap/>
            <w:vAlign w:val="center"/>
            <w:hideMark/>
          </w:tcPr>
          <w:p w14:paraId="56F9333A"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$764,520 </w:t>
            </w:r>
          </w:p>
        </w:tc>
        <w:tc>
          <w:tcPr>
            <w:tcW w:w="333" w:type="pct"/>
            <w:tcBorders>
              <w:top w:val="nil"/>
              <w:left w:val="nil"/>
              <w:bottom w:val="single" w:sz="8" w:space="0" w:color="auto"/>
              <w:right w:val="single" w:sz="8" w:space="0" w:color="auto"/>
            </w:tcBorders>
            <w:noWrap/>
            <w:vAlign w:val="center"/>
            <w:hideMark/>
          </w:tcPr>
          <w:p w14:paraId="312F2086"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$2,058,324 </w:t>
            </w:r>
          </w:p>
        </w:tc>
        <w:tc>
          <w:tcPr>
            <w:tcW w:w="334" w:type="pct"/>
            <w:tcBorders>
              <w:top w:val="nil"/>
              <w:left w:val="nil"/>
              <w:bottom w:val="single" w:sz="8" w:space="0" w:color="auto"/>
              <w:right w:val="single" w:sz="8" w:space="0" w:color="auto"/>
            </w:tcBorders>
            <w:noWrap/>
            <w:vAlign w:val="center"/>
            <w:hideMark/>
          </w:tcPr>
          <w:p w14:paraId="77FF7018"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$2,058,324 </w:t>
            </w:r>
          </w:p>
        </w:tc>
        <w:tc>
          <w:tcPr>
            <w:tcW w:w="276" w:type="pct"/>
            <w:tcBorders>
              <w:top w:val="nil"/>
              <w:left w:val="nil"/>
              <w:bottom w:val="single" w:sz="8" w:space="0" w:color="auto"/>
              <w:right w:val="single" w:sz="8" w:space="0" w:color="auto"/>
            </w:tcBorders>
            <w:noWrap/>
            <w:vAlign w:val="center"/>
            <w:hideMark/>
          </w:tcPr>
          <w:p w14:paraId="1D7C4A7F"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$646,901 </w:t>
            </w:r>
          </w:p>
        </w:tc>
        <w:tc>
          <w:tcPr>
            <w:tcW w:w="391" w:type="pct"/>
            <w:gridSpan w:val="2"/>
            <w:tcBorders>
              <w:top w:val="nil"/>
              <w:left w:val="nil"/>
              <w:bottom w:val="single" w:sz="8" w:space="0" w:color="auto"/>
              <w:right w:val="single" w:sz="8" w:space="0" w:color="auto"/>
            </w:tcBorders>
            <w:noWrap/>
            <w:vAlign w:val="center"/>
            <w:hideMark/>
          </w:tcPr>
          <w:p w14:paraId="4442B4B1"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$5,880,924 </w:t>
            </w:r>
          </w:p>
        </w:tc>
        <w:tc>
          <w:tcPr>
            <w:tcW w:w="181" w:type="pct"/>
            <w:tcBorders>
              <w:top w:val="nil"/>
              <w:left w:val="nil"/>
              <w:bottom w:val="single" w:sz="8" w:space="0" w:color="auto"/>
              <w:right w:val="single" w:sz="8" w:space="0" w:color="auto"/>
            </w:tcBorders>
            <w:noWrap/>
            <w:vAlign w:val="center"/>
            <w:hideMark/>
          </w:tcPr>
          <w:p w14:paraId="4E1AB9E0" w14:textId="77777777" w:rsidR="00170617" w:rsidRPr="002926D7" w:rsidRDefault="00170617"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58A4243C" w14:textId="77777777" w:rsidTr="002926D7">
        <w:trPr>
          <w:trHeight w:val="288"/>
          <w:jc w:val="center"/>
        </w:trPr>
        <w:tc>
          <w:tcPr>
            <w:tcW w:w="423" w:type="pct"/>
            <w:vMerge/>
            <w:tcBorders>
              <w:left w:val="single" w:sz="8" w:space="0" w:color="auto"/>
              <w:right w:val="single" w:sz="8" w:space="0" w:color="auto"/>
            </w:tcBorders>
            <w:vAlign w:val="center"/>
          </w:tcPr>
          <w:p w14:paraId="72D4761E" w14:textId="299155E7" w:rsidR="00170617" w:rsidRPr="002926D7" w:rsidRDefault="00170617" w:rsidP="002926D7">
            <w:pPr>
              <w:contextualSpacing/>
              <w:jc w:val="left"/>
              <w:rPr>
                <w:rFonts w:eastAsia="Times New Roman" w:cs="Calibri"/>
                <w:i/>
                <w:iCs/>
                <w:color w:val="000000"/>
                <w:sz w:val="14"/>
                <w:szCs w:val="14"/>
              </w:rPr>
            </w:pPr>
          </w:p>
        </w:tc>
        <w:tc>
          <w:tcPr>
            <w:tcW w:w="454" w:type="pct"/>
            <w:vMerge/>
            <w:tcBorders>
              <w:left w:val="nil"/>
              <w:bottom w:val="nil"/>
              <w:right w:val="single" w:sz="8" w:space="0" w:color="auto"/>
            </w:tcBorders>
            <w:vAlign w:val="center"/>
            <w:hideMark/>
          </w:tcPr>
          <w:p w14:paraId="5BC44486" w14:textId="2097258A" w:rsidR="00170617" w:rsidRPr="002926D7" w:rsidRDefault="00170617" w:rsidP="002926D7">
            <w:pPr>
              <w:contextualSpacing/>
              <w:jc w:val="left"/>
              <w:rPr>
                <w:rFonts w:eastAsia="Times New Roman" w:cs="Calibri"/>
                <w:i/>
                <w:iCs/>
                <w:color w:val="000000"/>
                <w:sz w:val="14"/>
                <w:szCs w:val="14"/>
              </w:rPr>
            </w:pPr>
          </w:p>
        </w:tc>
        <w:tc>
          <w:tcPr>
            <w:tcW w:w="1881" w:type="pct"/>
            <w:gridSpan w:val="6"/>
            <w:tcBorders>
              <w:top w:val="single" w:sz="8" w:space="0" w:color="auto"/>
              <w:left w:val="nil"/>
              <w:bottom w:val="single" w:sz="8" w:space="0" w:color="auto"/>
              <w:right w:val="nil"/>
            </w:tcBorders>
            <w:vAlign w:val="center"/>
            <w:hideMark/>
          </w:tcPr>
          <w:p w14:paraId="1385AA9D" w14:textId="77777777" w:rsidR="00170617" w:rsidRPr="002926D7" w:rsidRDefault="00170617" w:rsidP="002926D7">
            <w:pPr>
              <w:ind w:right="-8"/>
              <w:contextualSpacing/>
              <w:rPr>
                <w:rFonts w:eastAsia="Times New Roman" w:cs="Calibri"/>
                <w:i/>
                <w:iCs/>
                <w:color w:val="000000"/>
                <w:sz w:val="14"/>
                <w:szCs w:val="14"/>
              </w:rPr>
            </w:pPr>
            <w:r w:rsidRPr="002926D7">
              <w:rPr>
                <w:rFonts w:eastAsia="Times New Roman" w:cs="Calibri"/>
                <w:i/>
                <w:iCs/>
                <w:color w:val="000000"/>
                <w:sz w:val="14"/>
                <w:szCs w:val="14"/>
              </w:rPr>
              <w:t>Total Output 2.1.4</w:t>
            </w:r>
          </w:p>
        </w:tc>
        <w:tc>
          <w:tcPr>
            <w:tcW w:w="363" w:type="pct"/>
            <w:tcBorders>
              <w:top w:val="nil"/>
              <w:left w:val="nil"/>
              <w:bottom w:val="single" w:sz="8" w:space="0" w:color="auto"/>
              <w:right w:val="single" w:sz="8" w:space="0" w:color="auto"/>
            </w:tcBorders>
            <w:noWrap/>
            <w:vAlign w:val="center"/>
            <w:hideMark/>
          </w:tcPr>
          <w:p w14:paraId="09EF0C06"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$352,855 </w:t>
            </w:r>
          </w:p>
        </w:tc>
        <w:tc>
          <w:tcPr>
            <w:tcW w:w="364" w:type="pct"/>
            <w:tcBorders>
              <w:top w:val="nil"/>
              <w:left w:val="nil"/>
              <w:bottom w:val="single" w:sz="8" w:space="0" w:color="auto"/>
              <w:right w:val="single" w:sz="8" w:space="0" w:color="auto"/>
            </w:tcBorders>
            <w:noWrap/>
            <w:vAlign w:val="center"/>
            <w:hideMark/>
          </w:tcPr>
          <w:p w14:paraId="32AD047E"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$764,520 </w:t>
            </w:r>
          </w:p>
        </w:tc>
        <w:tc>
          <w:tcPr>
            <w:tcW w:w="333" w:type="pct"/>
            <w:tcBorders>
              <w:top w:val="nil"/>
              <w:left w:val="nil"/>
              <w:bottom w:val="single" w:sz="8" w:space="0" w:color="auto"/>
              <w:right w:val="single" w:sz="8" w:space="0" w:color="auto"/>
            </w:tcBorders>
            <w:noWrap/>
            <w:vAlign w:val="center"/>
            <w:hideMark/>
          </w:tcPr>
          <w:p w14:paraId="32922619"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$2,058,324 </w:t>
            </w:r>
          </w:p>
        </w:tc>
        <w:tc>
          <w:tcPr>
            <w:tcW w:w="334" w:type="pct"/>
            <w:tcBorders>
              <w:top w:val="nil"/>
              <w:left w:val="nil"/>
              <w:bottom w:val="single" w:sz="8" w:space="0" w:color="auto"/>
              <w:right w:val="single" w:sz="8" w:space="0" w:color="auto"/>
            </w:tcBorders>
            <w:noWrap/>
            <w:vAlign w:val="center"/>
            <w:hideMark/>
          </w:tcPr>
          <w:p w14:paraId="2BCC5C22"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$2,058,324 </w:t>
            </w:r>
          </w:p>
        </w:tc>
        <w:tc>
          <w:tcPr>
            <w:tcW w:w="276" w:type="pct"/>
            <w:tcBorders>
              <w:top w:val="nil"/>
              <w:left w:val="nil"/>
              <w:bottom w:val="single" w:sz="8" w:space="0" w:color="auto"/>
              <w:right w:val="single" w:sz="8" w:space="0" w:color="auto"/>
            </w:tcBorders>
            <w:noWrap/>
            <w:vAlign w:val="center"/>
            <w:hideMark/>
          </w:tcPr>
          <w:p w14:paraId="59F75007"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$646,901 </w:t>
            </w:r>
          </w:p>
        </w:tc>
        <w:tc>
          <w:tcPr>
            <w:tcW w:w="391" w:type="pct"/>
            <w:gridSpan w:val="2"/>
            <w:tcBorders>
              <w:top w:val="nil"/>
              <w:left w:val="nil"/>
              <w:bottom w:val="single" w:sz="8" w:space="0" w:color="auto"/>
              <w:right w:val="single" w:sz="8" w:space="0" w:color="auto"/>
            </w:tcBorders>
            <w:noWrap/>
            <w:vAlign w:val="center"/>
            <w:hideMark/>
          </w:tcPr>
          <w:p w14:paraId="7FC607E9"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$5,880,924 </w:t>
            </w:r>
          </w:p>
        </w:tc>
        <w:tc>
          <w:tcPr>
            <w:tcW w:w="181" w:type="pct"/>
            <w:tcBorders>
              <w:top w:val="nil"/>
              <w:left w:val="nil"/>
              <w:bottom w:val="single" w:sz="8" w:space="0" w:color="auto"/>
              <w:right w:val="single" w:sz="8" w:space="0" w:color="auto"/>
            </w:tcBorders>
            <w:noWrap/>
            <w:vAlign w:val="center"/>
            <w:hideMark/>
          </w:tcPr>
          <w:p w14:paraId="6B2A8102" w14:textId="77777777" w:rsidR="00170617" w:rsidRPr="002926D7" w:rsidRDefault="00170617"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1A4B67DF" w14:textId="77777777" w:rsidTr="002926D7">
        <w:trPr>
          <w:trHeight w:val="288"/>
          <w:jc w:val="center"/>
        </w:trPr>
        <w:tc>
          <w:tcPr>
            <w:tcW w:w="423" w:type="pct"/>
            <w:vMerge/>
            <w:tcBorders>
              <w:left w:val="single" w:sz="8" w:space="0" w:color="auto"/>
              <w:bottom w:val="nil"/>
              <w:right w:val="single" w:sz="8" w:space="0" w:color="auto"/>
            </w:tcBorders>
            <w:vAlign w:val="center"/>
            <w:hideMark/>
          </w:tcPr>
          <w:p w14:paraId="2C0EEB0A" w14:textId="35AA2491" w:rsidR="00170617" w:rsidRPr="002926D7" w:rsidRDefault="00170617" w:rsidP="002926D7">
            <w:pPr>
              <w:contextualSpacing/>
              <w:jc w:val="left"/>
              <w:rPr>
                <w:rFonts w:eastAsia="Times New Roman" w:cs="Calibri"/>
                <w:i/>
                <w:iCs/>
                <w:color w:val="000000"/>
                <w:sz w:val="14"/>
                <w:szCs w:val="14"/>
              </w:rPr>
            </w:pPr>
          </w:p>
        </w:tc>
        <w:tc>
          <w:tcPr>
            <w:tcW w:w="2335" w:type="pct"/>
            <w:gridSpan w:val="7"/>
            <w:tcBorders>
              <w:top w:val="single" w:sz="8" w:space="0" w:color="auto"/>
              <w:left w:val="nil"/>
              <w:bottom w:val="single" w:sz="8" w:space="0" w:color="auto"/>
              <w:right w:val="nil"/>
            </w:tcBorders>
            <w:vAlign w:val="center"/>
            <w:hideMark/>
          </w:tcPr>
          <w:p w14:paraId="535B9EEC" w14:textId="77777777" w:rsidR="00170617" w:rsidRPr="002926D7" w:rsidRDefault="00170617" w:rsidP="002926D7">
            <w:pPr>
              <w:ind w:right="-8"/>
              <w:contextualSpacing/>
              <w:jc w:val="left"/>
              <w:rPr>
                <w:rFonts w:eastAsia="Times New Roman" w:cs="Calibri"/>
                <w:i/>
                <w:iCs/>
                <w:color w:val="000000"/>
                <w:sz w:val="14"/>
                <w:szCs w:val="14"/>
              </w:rPr>
            </w:pPr>
            <w:r w:rsidRPr="002926D7">
              <w:rPr>
                <w:rFonts w:eastAsia="Times New Roman" w:cs="Calibri"/>
                <w:i/>
                <w:iCs/>
                <w:color w:val="000000"/>
                <w:sz w:val="14"/>
                <w:szCs w:val="14"/>
              </w:rPr>
              <w:t>Total Outcome 2.1.</w:t>
            </w:r>
          </w:p>
        </w:tc>
        <w:tc>
          <w:tcPr>
            <w:tcW w:w="363" w:type="pct"/>
            <w:tcBorders>
              <w:top w:val="nil"/>
              <w:left w:val="nil"/>
              <w:bottom w:val="single" w:sz="8" w:space="0" w:color="auto"/>
              <w:right w:val="single" w:sz="8" w:space="0" w:color="auto"/>
            </w:tcBorders>
            <w:noWrap/>
            <w:vAlign w:val="center"/>
            <w:hideMark/>
          </w:tcPr>
          <w:p w14:paraId="7CEC97BA"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$7,661,247 </w:t>
            </w:r>
          </w:p>
        </w:tc>
        <w:tc>
          <w:tcPr>
            <w:tcW w:w="364" w:type="pct"/>
            <w:tcBorders>
              <w:top w:val="nil"/>
              <w:left w:val="nil"/>
              <w:bottom w:val="single" w:sz="8" w:space="0" w:color="auto"/>
              <w:right w:val="single" w:sz="8" w:space="0" w:color="auto"/>
            </w:tcBorders>
            <w:noWrap/>
            <w:vAlign w:val="center"/>
            <w:hideMark/>
          </w:tcPr>
          <w:p w14:paraId="1B85AC2A"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$14,868,391 </w:t>
            </w:r>
          </w:p>
        </w:tc>
        <w:tc>
          <w:tcPr>
            <w:tcW w:w="333" w:type="pct"/>
            <w:tcBorders>
              <w:top w:val="nil"/>
              <w:left w:val="nil"/>
              <w:bottom w:val="single" w:sz="8" w:space="0" w:color="auto"/>
              <w:right w:val="single" w:sz="8" w:space="0" w:color="auto"/>
            </w:tcBorders>
            <w:noWrap/>
            <w:vAlign w:val="center"/>
            <w:hideMark/>
          </w:tcPr>
          <w:p w14:paraId="722A88D1"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$33,560,684 </w:t>
            </w:r>
          </w:p>
        </w:tc>
        <w:tc>
          <w:tcPr>
            <w:tcW w:w="334" w:type="pct"/>
            <w:tcBorders>
              <w:top w:val="nil"/>
              <w:left w:val="nil"/>
              <w:bottom w:val="single" w:sz="8" w:space="0" w:color="auto"/>
              <w:right w:val="single" w:sz="8" w:space="0" w:color="auto"/>
            </w:tcBorders>
            <w:noWrap/>
            <w:vAlign w:val="center"/>
            <w:hideMark/>
          </w:tcPr>
          <w:p w14:paraId="64CFB7A7"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$32,597,665 </w:t>
            </w:r>
          </w:p>
        </w:tc>
        <w:tc>
          <w:tcPr>
            <w:tcW w:w="279" w:type="pct"/>
            <w:gridSpan w:val="2"/>
            <w:tcBorders>
              <w:top w:val="nil"/>
              <w:left w:val="nil"/>
              <w:bottom w:val="single" w:sz="8" w:space="0" w:color="auto"/>
              <w:right w:val="single" w:sz="8" w:space="0" w:color="auto"/>
            </w:tcBorders>
            <w:noWrap/>
            <w:vAlign w:val="center"/>
            <w:hideMark/>
          </w:tcPr>
          <w:p w14:paraId="0FC57A15"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$10,343,259 </w:t>
            </w:r>
          </w:p>
        </w:tc>
        <w:tc>
          <w:tcPr>
            <w:tcW w:w="388" w:type="pct"/>
            <w:tcBorders>
              <w:top w:val="nil"/>
              <w:left w:val="nil"/>
              <w:bottom w:val="single" w:sz="8" w:space="0" w:color="auto"/>
              <w:right w:val="single" w:sz="8" w:space="0" w:color="auto"/>
            </w:tcBorders>
            <w:noWrap/>
            <w:vAlign w:val="center"/>
            <w:hideMark/>
          </w:tcPr>
          <w:p w14:paraId="25E92723" w14:textId="77777777" w:rsidR="00170617" w:rsidRPr="002926D7" w:rsidRDefault="00170617"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$99,031,246 </w:t>
            </w:r>
          </w:p>
        </w:tc>
        <w:tc>
          <w:tcPr>
            <w:tcW w:w="181" w:type="pct"/>
            <w:tcBorders>
              <w:top w:val="nil"/>
              <w:left w:val="nil"/>
              <w:bottom w:val="single" w:sz="8" w:space="0" w:color="auto"/>
              <w:right w:val="single" w:sz="8" w:space="0" w:color="auto"/>
            </w:tcBorders>
            <w:noWrap/>
            <w:vAlign w:val="center"/>
            <w:hideMark/>
          </w:tcPr>
          <w:p w14:paraId="7C8F2355" w14:textId="77777777" w:rsidR="00170617" w:rsidRPr="002926D7" w:rsidRDefault="00170617"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5E52CA28" w14:textId="77777777" w:rsidTr="00170617">
        <w:trPr>
          <w:trHeight w:val="288"/>
          <w:jc w:val="center"/>
        </w:trPr>
        <w:tc>
          <w:tcPr>
            <w:tcW w:w="423" w:type="pct"/>
            <w:vMerge w:val="restart"/>
            <w:tcBorders>
              <w:top w:val="single" w:sz="8" w:space="0" w:color="auto"/>
              <w:left w:val="single" w:sz="8" w:space="0" w:color="auto"/>
              <w:right w:val="single" w:sz="8" w:space="0" w:color="auto"/>
            </w:tcBorders>
            <w:vAlign w:val="center"/>
          </w:tcPr>
          <w:p w14:paraId="59DC9061" w14:textId="7CF8AD1B" w:rsidR="001506D3" w:rsidRPr="002926D7" w:rsidRDefault="001506D3"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 xml:space="preserve">Component 3: Knowledge Management and Learning </w:t>
            </w:r>
          </w:p>
        </w:tc>
        <w:tc>
          <w:tcPr>
            <w:tcW w:w="454" w:type="pct"/>
            <w:vMerge w:val="restart"/>
            <w:tcBorders>
              <w:top w:val="nil"/>
              <w:left w:val="nil"/>
              <w:right w:val="single" w:sz="8" w:space="0" w:color="auto"/>
            </w:tcBorders>
            <w:vAlign w:val="center"/>
          </w:tcPr>
          <w:p w14:paraId="7D9BC62E" w14:textId="20A5E5A1" w:rsidR="001506D3" w:rsidRPr="002926D7" w:rsidRDefault="001506D3"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Outcome 3.1. Sustainability and impact of community-led collective action enhanced through knowledge management and learning approaches across landscapes-seascapes and regions.</w:t>
            </w:r>
          </w:p>
        </w:tc>
        <w:tc>
          <w:tcPr>
            <w:tcW w:w="454" w:type="pct"/>
            <w:vMerge w:val="restart"/>
            <w:tcBorders>
              <w:top w:val="nil"/>
              <w:left w:val="single" w:sz="8" w:space="0" w:color="auto"/>
              <w:bottom w:val="single" w:sz="8" w:space="0" w:color="000000"/>
              <w:right w:val="single" w:sz="8" w:space="0" w:color="auto"/>
            </w:tcBorders>
            <w:vAlign w:val="center"/>
            <w:hideMark/>
          </w:tcPr>
          <w:p w14:paraId="5C0ED6F5" w14:textId="77777777" w:rsidR="001506D3" w:rsidRPr="002926D7" w:rsidRDefault="001506D3"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Output 3.1.1. Local knowledge and lessons learned shared widely and systematically integrated into design of new projects with active participation of CSOs/CBOs and local communities.</w:t>
            </w:r>
          </w:p>
        </w:tc>
        <w:tc>
          <w:tcPr>
            <w:tcW w:w="273" w:type="pct"/>
            <w:vMerge w:val="restart"/>
            <w:tcBorders>
              <w:top w:val="nil"/>
              <w:left w:val="single" w:sz="8" w:space="0" w:color="auto"/>
              <w:bottom w:val="single" w:sz="8" w:space="0" w:color="000000"/>
              <w:right w:val="single" w:sz="8" w:space="0" w:color="auto"/>
            </w:tcBorders>
            <w:vAlign w:val="center"/>
            <w:hideMark/>
          </w:tcPr>
          <w:p w14:paraId="405965C5" w14:textId="77777777" w:rsidR="001506D3" w:rsidRPr="002926D7" w:rsidRDefault="001506D3"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UNDP</w:t>
            </w:r>
          </w:p>
        </w:tc>
        <w:tc>
          <w:tcPr>
            <w:tcW w:w="273" w:type="pct"/>
            <w:vMerge w:val="restart"/>
            <w:tcBorders>
              <w:top w:val="nil"/>
              <w:left w:val="single" w:sz="8" w:space="0" w:color="auto"/>
              <w:bottom w:val="single" w:sz="8" w:space="0" w:color="000000"/>
              <w:right w:val="single" w:sz="8" w:space="0" w:color="auto"/>
            </w:tcBorders>
            <w:vAlign w:val="center"/>
            <w:hideMark/>
          </w:tcPr>
          <w:p w14:paraId="40A21E91"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62000</w:t>
            </w:r>
          </w:p>
        </w:tc>
        <w:tc>
          <w:tcPr>
            <w:tcW w:w="273" w:type="pct"/>
            <w:vMerge w:val="restart"/>
            <w:tcBorders>
              <w:top w:val="nil"/>
              <w:left w:val="single" w:sz="8" w:space="0" w:color="auto"/>
              <w:bottom w:val="single" w:sz="8" w:space="0" w:color="000000"/>
              <w:right w:val="single" w:sz="8" w:space="0" w:color="auto"/>
            </w:tcBorders>
            <w:vAlign w:val="center"/>
            <w:hideMark/>
          </w:tcPr>
          <w:p w14:paraId="267B7F03" w14:textId="77777777" w:rsidR="001506D3" w:rsidRPr="002926D7" w:rsidRDefault="001506D3" w:rsidP="002926D7">
            <w:pPr>
              <w:ind w:right="-8"/>
              <w:contextualSpacing/>
              <w:jc w:val="center"/>
              <w:rPr>
                <w:rFonts w:eastAsia="Times New Roman" w:cs="Calibri"/>
                <w:i/>
                <w:iCs/>
                <w:color w:val="000000"/>
                <w:sz w:val="14"/>
                <w:szCs w:val="14"/>
              </w:rPr>
            </w:pPr>
            <w:r w:rsidRPr="002926D7">
              <w:rPr>
                <w:rFonts w:eastAsia="Times New Roman" w:cs="Calibri"/>
                <w:i/>
                <w:iCs/>
                <w:color w:val="000000"/>
                <w:sz w:val="14"/>
                <w:szCs w:val="14"/>
              </w:rPr>
              <w:t>10003</w:t>
            </w:r>
          </w:p>
        </w:tc>
        <w:tc>
          <w:tcPr>
            <w:tcW w:w="275" w:type="pct"/>
            <w:tcBorders>
              <w:top w:val="nil"/>
              <w:left w:val="nil"/>
              <w:bottom w:val="single" w:sz="8" w:space="0" w:color="auto"/>
              <w:right w:val="single" w:sz="8" w:space="0" w:color="auto"/>
            </w:tcBorders>
            <w:vAlign w:val="center"/>
            <w:hideMark/>
          </w:tcPr>
          <w:p w14:paraId="6AC463DD"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71200</w:t>
            </w:r>
          </w:p>
        </w:tc>
        <w:tc>
          <w:tcPr>
            <w:tcW w:w="334" w:type="pct"/>
            <w:tcBorders>
              <w:top w:val="nil"/>
              <w:left w:val="nil"/>
              <w:bottom w:val="single" w:sz="8" w:space="0" w:color="auto"/>
              <w:right w:val="single" w:sz="8" w:space="0" w:color="auto"/>
            </w:tcBorders>
            <w:vAlign w:val="center"/>
            <w:hideMark/>
          </w:tcPr>
          <w:p w14:paraId="0B3803F5"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International Consultants</w:t>
            </w:r>
          </w:p>
        </w:tc>
        <w:tc>
          <w:tcPr>
            <w:tcW w:w="363" w:type="pct"/>
            <w:tcBorders>
              <w:top w:val="nil"/>
              <w:left w:val="nil"/>
              <w:bottom w:val="single" w:sz="8" w:space="0" w:color="auto"/>
              <w:right w:val="single" w:sz="8" w:space="0" w:color="auto"/>
            </w:tcBorders>
            <w:noWrap/>
            <w:vAlign w:val="center"/>
            <w:hideMark/>
          </w:tcPr>
          <w:p w14:paraId="7EFC8C6A"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$4,299 </w:t>
            </w:r>
          </w:p>
        </w:tc>
        <w:tc>
          <w:tcPr>
            <w:tcW w:w="364" w:type="pct"/>
            <w:tcBorders>
              <w:top w:val="nil"/>
              <w:left w:val="nil"/>
              <w:bottom w:val="single" w:sz="8" w:space="0" w:color="auto"/>
              <w:right w:val="single" w:sz="8" w:space="0" w:color="auto"/>
            </w:tcBorders>
            <w:noWrap/>
            <w:vAlign w:val="center"/>
            <w:hideMark/>
          </w:tcPr>
          <w:p w14:paraId="39A3CA79"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$5,824 </w:t>
            </w:r>
          </w:p>
        </w:tc>
        <w:tc>
          <w:tcPr>
            <w:tcW w:w="333" w:type="pct"/>
            <w:tcBorders>
              <w:top w:val="nil"/>
              <w:left w:val="nil"/>
              <w:bottom w:val="single" w:sz="8" w:space="0" w:color="auto"/>
              <w:right w:val="single" w:sz="8" w:space="0" w:color="auto"/>
            </w:tcBorders>
            <w:noWrap/>
            <w:vAlign w:val="center"/>
            <w:hideMark/>
          </w:tcPr>
          <w:p w14:paraId="5B9B697C"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$2,635 </w:t>
            </w:r>
          </w:p>
        </w:tc>
        <w:tc>
          <w:tcPr>
            <w:tcW w:w="334" w:type="pct"/>
            <w:tcBorders>
              <w:top w:val="nil"/>
              <w:left w:val="nil"/>
              <w:bottom w:val="single" w:sz="8" w:space="0" w:color="auto"/>
              <w:right w:val="single" w:sz="8" w:space="0" w:color="auto"/>
            </w:tcBorders>
            <w:noWrap/>
            <w:vAlign w:val="center"/>
            <w:hideMark/>
          </w:tcPr>
          <w:p w14:paraId="742A989B"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$693 </w:t>
            </w:r>
          </w:p>
        </w:tc>
        <w:tc>
          <w:tcPr>
            <w:tcW w:w="276" w:type="pct"/>
            <w:tcBorders>
              <w:top w:val="nil"/>
              <w:left w:val="nil"/>
              <w:bottom w:val="single" w:sz="8" w:space="0" w:color="auto"/>
              <w:right w:val="single" w:sz="8" w:space="0" w:color="auto"/>
            </w:tcBorders>
            <w:vAlign w:val="center"/>
            <w:hideMark/>
          </w:tcPr>
          <w:p w14:paraId="212D54FE"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$416 </w:t>
            </w:r>
          </w:p>
        </w:tc>
        <w:tc>
          <w:tcPr>
            <w:tcW w:w="391" w:type="pct"/>
            <w:gridSpan w:val="2"/>
            <w:tcBorders>
              <w:top w:val="nil"/>
              <w:left w:val="nil"/>
              <w:bottom w:val="single" w:sz="8" w:space="0" w:color="auto"/>
              <w:right w:val="single" w:sz="8" w:space="0" w:color="auto"/>
            </w:tcBorders>
            <w:noWrap/>
            <w:vAlign w:val="center"/>
            <w:hideMark/>
          </w:tcPr>
          <w:p w14:paraId="6322504A"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$13,867 </w:t>
            </w:r>
          </w:p>
        </w:tc>
        <w:tc>
          <w:tcPr>
            <w:tcW w:w="181" w:type="pct"/>
            <w:tcBorders>
              <w:top w:val="nil"/>
              <w:left w:val="nil"/>
              <w:bottom w:val="single" w:sz="8" w:space="0" w:color="auto"/>
              <w:right w:val="single" w:sz="8" w:space="0" w:color="auto"/>
            </w:tcBorders>
            <w:noWrap/>
            <w:vAlign w:val="center"/>
            <w:hideMark/>
          </w:tcPr>
          <w:p w14:paraId="366F13AE"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2</w:t>
            </w:r>
          </w:p>
        </w:tc>
      </w:tr>
      <w:tr w:rsidR="00170617" w:rsidRPr="002926D7" w14:paraId="2DA0548F" w14:textId="77777777" w:rsidTr="00170617">
        <w:trPr>
          <w:trHeight w:val="288"/>
          <w:jc w:val="center"/>
        </w:trPr>
        <w:tc>
          <w:tcPr>
            <w:tcW w:w="423" w:type="pct"/>
            <w:vMerge/>
            <w:tcBorders>
              <w:left w:val="single" w:sz="8" w:space="0" w:color="auto"/>
              <w:right w:val="single" w:sz="8" w:space="0" w:color="auto"/>
            </w:tcBorders>
            <w:vAlign w:val="center"/>
          </w:tcPr>
          <w:p w14:paraId="29225978" w14:textId="6A5C9623"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25CF0A84" w14:textId="7E69170A"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12D32D18"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4A759B9A"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CDF5164"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E423921"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0D966BA0"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71300</w:t>
            </w:r>
          </w:p>
        </w:tc>
        <w:tc>
          <w:tcPr>
            <w:tcW w:w="334" w:type="pct"/>
            <w:tcBorders>
              <w:top w:val="nil"/>
              <w:left w:val="nil"/>
              <w:bottom w:val="single" w:sz="8" w:space="0" w:color="auto"/>
              <w:right w:val="single" w:sz="8" w:space="0" w:color="auto"/>
            </w:tcBorders>
            <w:vAlign w:val="center"/>
            <w:hideMark/>
          </w:tcPr>
          <w:p w14:paraId="5EAB9B49"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Local Consultants</w:t>
            </w:r>
          </w:p>
        </w:tc>
        <w:tc>
          <w:tcPr>
            <w:tcW w:w="363" w:type="pct"/>
            <w:tcBorders>
              <w:top w:val="nil"/>
              <w:left w:val="nil"/>
              <w:bottom w:val="single" w:sz="8" w:space="0" w:color="auto"/>
              <w:right w:val="single" w:sz="8" w:space="0" w:color="auto"/>
            </w:tcBorders>
            <w:noWrap/>
            <w:vAlign w:val="center"/>
            <w:hideMark/>
          </w:tcPr>
          <w:p w14:paraId="7871284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$17,213 </w:t>
            </w:r>
          </w:p>
        </w:tc>
        <w:tc>
          <w:tcPr>
            <w:tcW w:w="364" w:type="pct"/>
            <w:tcBorders>
              <w:top w:val="nil"/>
              <w:left w:val="nil"/>
              <w:bottom w:val="single" w:sz="8" w:space="0" w:color="auto"/>
              <w:right w:val="single" w:sz="8" w:space="0" w:color="auto"/>
            </w:tcBorders>
            <w:noWrap/>
            <w:vAlign w:val="center"/>
            <w:hideMark/>
          </w:tcPr>
          <w:p w14:paraId="2822B65C"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$23,321 </w:t>
            </w:r>
          </w:p>
        </w:tc>
        <w:tc>
          <w:tcPr>
            <w:tcW w:w="333" w:type="pct"/>
            <w:tcBorders>
              <w:top w:val="nil"/>
              <w:left w:val="nil"/>
              <w:bottom w:val="single" w:sz="8" w:space="0" w:color="auto"/>
              <w:right w:val="single" w:sz="8" w:space="0" w:color="auto"/>
            </w:tcBorders>
            <w:noWrap/>
            <w:vAlign w:val="center"/>
            <w:hideMark/>
          </w:tcPr>
          <w:p w14:paraId="56BAB26D"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$10,550 </w:t>
            </w:r>
          </w:p>
        </w:tc>
        <w:tc>
          <w:tcPr>
            <w:tcW w:w="334" w:type="pct"/>
            <w:tcBorders>
              <w:top w:val="nil"/>
              <w:left w:val="nil"/>
              <w:bottom w:val="single" w:sz="8" w:space="0" w:color="auto"/>
              <w:right w:val="single" w:sz="8" w:space="0" w:color="auto"/>
            </w:tcBorders>
            <w:noWrap/>
            <w:vAlign w:val="center"/>
            <w:hideMark/>
          </w:tcPr>
          <w:p w14:paraId="535BD29E"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$2,776 </w:t>
            </w:r>
          </w:p>
        </w:tc>
        <w:tc>
          <w:tcPr>
            <w:tcW w:w="276" w:type="pct"/>
            <w:tcBorders>
              <w:top w:val="nil"/>
              <w:left w:val="nil"/>
              <w:bottom w:val="single" w:sz="8" w:space="0" w:color="auto"/>
              <w:right w:val="single" w:sz="8" w:space="0" w:color="auto"/>
            </w:tcBorders>
            <w:vAlign w:val="center"/>
            <w:hideMark/>
          </w:tcPr>
          <w:p w14:paraId="04ABDB2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$1,666 </w:t>
            </w:r>
          </w:p>
        </w:tc>
        <w:tc>
          <w:tcPr>
            <w:tcW w:w="391" w:type="pct"/>
            <w:gridSpan w:val="2"/>
            <w:tcBorders>
              <w:top w:val="nil"/>
              <w:left w:val="nil"/>
              <w:bottom w:val="single" w:sz="8" w:space="0" w:color="auto"/>
              <w:right w:val="single" w:sz="8" w:space="0" w:color="auto"/>
            </w:tcBorders>
            <w:noWrap/>
            <w:vAlign w:val="center"/>
            <w:hideMark/>
          </w:tcPr>
          <w:p w14:paraId="500251C3"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$55,526 </w:t>
            </w:r>
          </w:p>
        </w:tc>
        <w:tc>
          <w:tcPr>
            <w:tcW w:w="181" w:type="pct"/>
            <w:tcBorders>
              <w:top w:val="nil"/>
              <w:left w:val="nil"/>
              <w:bottom w:val="single" w:sz="8" w:space="0" w:color="auto"/>
              <w:right w:val="single" w:sz="8" w:space="0" w:color="auto"/>
            </w:tcBorders>
            <w:noWrap/>
            <w:vAlign w:val="center"/>
            <w:hideMark/>
          </w:tcPr>
          <w:p w14:paraId="04077857"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3</w:t>
            </w:r>
          </w:p>
        </w:tc>
      </w:tr>
      <w:tr w:rsidR="00170617" w:rsidRPr="002926D7" w14:paraId="5576A38B" w14:textId="77777777" w:rsidTr="00170617">
        <w:trPr>
          <w:trHeight w:val="288"/>
          <w:jc w:val="center"/>
        </w:trPr>
        <w:tc>
          <w:tcPr>
            <w:tcW w:w="423" w:type="pct"/>
            <w:vMerge/>
            <w:tcBorders>
              <w:left w:val="single" w:sz="8" w:space="0" w:color="auto"/>
              <w:right w:val="single" w:sz="8" w:space="0" w:color="auto"/>
            </w:tcBorders>
            <w:vAlign w:val="center"/>
          </w:tcPr>
          <w:p w14:paraId="7AD8B934" w14:textId="0E8821A0"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6745F620" w14:textId="4B0C50DB"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02001BBF"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9351400"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44D24E2"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E8CDD9F"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7D1F0FB3"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71400</w:t>
            </w:r>
          </w:p>
        </w:tc>
        <w:tc>
          <w:tcPr>
            <w:tcW w:w="334" w:type="pct"/>
            <w:tcBorders>
              <w:top w:val="nil"/>
              <w:left w:val="nil"/>
              <w:bottom w:val="single" w:sz="8" w:space="0" w:color="auto"/>
              <w:right w:val="single" w:sz="8" w:space="0" w:color="auto"/>
            </w:tcBorders>
            <w:vAlign w:val="center"/>
            <w:hideMark/>
          </w:tcPr>
          <w:p w14:paraId="2BAA3872"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Contractual Services - Individ</w:t>
            </w:r>
          </w:p>
        </w:tc>
        <w:tc>
          <w:tcPr>
            <w:tcW w:w="363" w:type="pct"/>
            <w:tcBorders>
              <w:top w:val="nil"/>
              <w:left w:val="nil"/>
              <w:bottom w:val="single" w:sz="8" w:space="0" w:color="auto"/>
              <w:right w:val="single" w:sz="8" w:space="0" w:color="auto"/>
            </w:tcBorders>
            <w:noWrap/>
            <w:vAlign w:val="center"/>
            <w:hideMark/>
          </w:tcPr>
          <w:p w14:paraId="3C442EFA"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$259,214 </w:t>
            </w:r>
          </w:p>
        </w:tc>
        <w:tc>
          <w:tcPr>
            <w:tcW w:w="364" w:type="pct"/>
            <w:tcBorders>
              <w:top w:val="nil"/>
              <w:left w:val="nil"/>
              <w:bottom w:val="single" w:sz="8" w:space="0" w:color="auto"/>
              <w:right w:val="single" w:sz="8" w:space="0" w:color="auto"/>
            </w:tcBorders>
            <w:noWrap/>
            <w:vAlign w:val="center"/>
            <w:hideMark/>
          </w:tcPr>
          <w:p w14:paraId="1ECB0430"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$351,193 </w:t>
            </w:r>
          </w:p>
        </w:tc>
        <w:tc>
          <w:tcPr>
            <w:tcW w:w="333" w:type="pct"/>
            <w:tcBorders>
              <w:top w:val="nil"/>
              <w:left w:val="nil"/>
              <w:bottom w:val="single" w:sz="8" w:space="0" w:color="auto"/>
              <w:right w:val="single" w:sz="8" w:space="0" w:color="auto"/>
            </w:tcBorders>
            <w:noWrap/>
            <w:vAlign w:val="center"/>
            <w:hideMark/>
          </w:tcPr>
          <w:p w14:paraId="6D6C7755"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$158,873 </w:t>
            </w:r>
          </w:p>
        </w:tc>
        <w:tc>
          <w:tcPr>
            <w:tcW w:w="334" w:type="pct"/>
            <w:tcBorders>
              <w:top w:val="nil"/>
              <w:left w:val="nil"/>
              <w:bottom w:val="single" w:sz="8" w:space="0" w:color="auto"/>
              <w:right w:val="single" w:sz="8" w:space="0" w:color="auto"/>
            </w:tcBorders>
            <w:noWrap/>
            <w:vAlign w:val="center"/>
            <w:hideMark/>
          </w:tcPr>
          <w:p w14:paraId="752AE62C"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$41,809 </w:t>
            </w:r>
          </w:p>
        </w:tc>
        <w:tc>
          <w:tcPr>
            <w:tcW w:w="276" w:type="pct"/>
            <w:tcBorders>
              <w:top w:val="nil"/>
              <w:left w:val="nil"/>
              <w:bottom w:val="single" w:sz="8" w:space="0" w:color="auto"/>
              <w:right w:val="single" w:sz="8" w:space="0" w:color="auto"/>
            </w:tcBorders>
            <w:vAlign w:val="center"/>
            <w:hideMark/>
          </w:tcPr>
          <w:p w14:paraId="09CD0E37"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$25,085 </w:t>
            </w:r>
          </w:p>
        </w:tc>
        <w:tc>
          <w:tcPr>
            <w:tcW w:w="391" w:type="pct"/>
            <w:gridSpan w:val="2"/>
            <w:tcBorders>
              <w:top w:val="nil"/>
              <w:left w:val="nil"/>
              <w:bottom w:val="single" w:sz="8" w:space="0" w:color="auto"/>
              <w:right w:val="single" w:sz="8" w:space="0" w:color="auto"/>
            </w:tcBorders>
            <w:noWrap/>
            <w:vAlign w:val="center"/>
            <w:hideMark/>
          </w:tcPr>
          <w:p w14:paraId="1AA6FA9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$836,174 </w:t>
            </w:r>
          </w:p>
        </w:tc>
        <w:tc>
          <w:tcPr>
            <w:tcW w:w="181" w:type="pct"/>
            <w:tcBorders>
              <w:top w:val="nil"/>
              <w:left w:val="nil"/>
              <w:bottom w:val="single" w:sz="8" w:space="0" w:color="auto"/>
              <w:right w:val="single" w:sz="8" w:space="0" w:color="auto"/>
            </w:tcBorders>
            <w:noWrap/>
            <w:vAlign w:val="center"/>
            <w:hideMark/>
          </w:tcPr>
          <w:p w14:paraId="12E77B6C"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5</w:t>
            </w:r>
          </w:p>
        </w:tc>
      </w:tr>
      <w:tr w:rsidR="00170617" w:rsidRPr="002926D7" w14:paraId="2786744F" w14:textId="77777777" w:rsidTr="00170617">
        <w:trPr>
          <w:trHeight w:val="288"/>
          <w:jc w:val="center"/>
        </w:trPr>
        <w:tc>
          <w:tcPr>
            <w:tcW w:w="423" w:type="pct"/>
            <w:vMerge/>
            <w:tcBorders>
              <w:left w:val="single" w:sz="8" w:space="0" w:color="auto"/>
              <w:right w:val="single" w:sz="8" w:space="0" w:color="auto"/>
            </w:tcBorders>
            <w:vAlign w:val="center"/>
          </w:tcPr>
          <w:p w14:paraId="436CE602" w14:textId="412F67C3"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43C0C4C0" w14:textId="130E99A8"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5548D46A"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609B81A"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DE8B63B"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3A3C7C9"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3D340F09"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71600</w:t>
            </w:r>
          </w:p>
        </w:tc>
        <w:tc>
          <w:tcPr>
            <w:tcW w:w="334" w:type="pct"/>
            <w:tcBorders>
              <w:top w:val="nil"/>
              <w:left w:val="nil"/>
              <w:bottom w:val="single" w:sz="8" w:space="0" w:color="auto"/>
              <w:right w:val="single" w:sz="8" w:space="0" w:color="auto"/>
            </w:tcBorders>
            <w:vAlign w:val="center"/>
            <w:hideMark/>
          </w:tcPr>
          <w:p w14:paraId="11319BC6"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Travel</w:t>
            </w:r>
          </w:p>
        </w:tc>
        <w:tc>
          <w:tcPr>
            <w:tcW w:w="363" w:type="pct"/>
            <w:tcBorders>
              <w:top w:val="nil"/>
              <w:left w:val="nil"/>
              <w:bottom w:val="single" w:sz="8" w:space="0" w:color="auto"/>
              <w:right w:val="single" w:sz="8" w:space="0" w:color="auto"/>
            </w:tcBorders>
            <w:noWrap/>
            <w:vAlign w:val="center"/>
            <w:hideMark/>
          </w:tcPr>
          <w:p w14:paraId="3731A3B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$38,794 </w:t>
            </w:r>
          </w:p>
        </w:tc>
        <w:tc>
          <w:tcPr>
            <w:tcW w:w="364" w:type="pct"/>
            <w:tcBorders>
              <w:top w:val="nil"/>
              <w:left w:val="nil"/>
              <w:bottom w:val="single" w:sz="8" w:space="0" w:color="auto"/>
              <w:right w:val="single" w:sz="8" w:space="0" w:color="auto"/>
            </w:tcBorders>
            <w:noWrap/>
            <w:vAlign w:val="center"/>
            <w:hideMark/>
          </w:tcPr>
          <w:p w14:paraId="06618FF3"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$52,559 </w:t>
            </w:r>
          </w:p>
        </w:tc>
        <w:tc>
          <w:tcPr>
            <w:tcW w:w="333" w:type="pct"/>
            <w:tcBorders>
              <w:top w:val="nil"/>
              <w:left w:val="nil"/>
              <w:bottom w:val="single" w:sz="8" w:space="0" w:color="auto"/>
              <w:right w:val="single" w:sz="8" w:space="0" w:color="auto"/>
            </w:tcBorders>
            <w:noWrap/>
            <w:vAlign w:val="center"/>
            <w:hideMark/>
          </w:tcPr>
          <w:p w14:paraId="67DC1E2A"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$23,777 </w:t>
            </w:r>
          </w:p>
        </w:tc>
        <w:tc>
          <w:tcPr>
            <w:tcW w:w="334" w:type="pct"/>
            <w:tcBorders>
              <w:top w:val="nil"/>
              <w:left w:val="nil"/>
              <w:bottom w:val="single" w:sz="8" w:space="0" w:color="auto"/>
              <w:right w:val="single" w:sz="8" w:space="0" w:color="auto"/>
            </w:tcBorders>
            <w:noWrap/>
            <w:vAlign w:val="center"/>
            <w:hideMark/>
          </w:tcPr>
          <w:p w14:paraId="027E16A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$6,257 </w:t>
            </w:r>
          </w:p>
        </w:tc>
        <w:tc>
          <w:tcPr>
            <w:tcW w:w="276" w:type="pct"/>
            <w:tcBorders>
              <w:top w:val="nil"/>
              <w:left w:val="nil"/>
              <w:bottom w:val="single" w:sz="8" w:space="0" w:color="auto"/>
              <w:right w:val="single" w:sz="8" w:space="0" w:color="auto"/>
            </w:tcBorders>
            <w:vAlign w:val="center"/>
            <w:hideMark/>
          </w:tcPr>
          <w:p w14:paraId="3A373BD7"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$3,754 </w:t>
            </w:r>
          </w:p>
        </w:tc>
        <w:tc>
          <w:tcPr>
            <w:tcW w:w="391" w:type="pct"/>
            <w:gridSpan w:val="2"/>
            <w:tcBorders>
              <w:top w:val="nil"/>
              <w:left w:val="nil"/>
              <w:bottom w:val="single" w:sz="8" w:space="0" w:color="auto"/>
              <w:right w:val="single" w:sz="8" w:space="0" w:color="auto"/>
            </w:tcBorders>
            <w:noWrap/>
            <w:vAlign w:val="center"/>
            <w:hideMark/>
          </w:tcPr>
          <w:p w14:paraId="73FF6BAA"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$125,141 </w:t>
            </w:r>
          </w:p>
        </w:tc>
        <w:tc>
          <w:tcPr>
            <w:tcW w:w="181" w:type="pct"/>
            <w:tcBorders>
              <w:top w:val="nil"/>
              <w:left w:val="nil"/>
              <w:bottom w:val="single" w:sz="8" w:space="0" w:color="auto"/>
              <w:right w:val="single" w:sz="8" w:space="0" w:color="auto"/>
            </w:tcBorders>
            <w:noWrap/>
            <w:vAlign w:val="center"/>
            <w:hideMark/>
          </w:tcPr>
          <w:p w14:paraId="28D25152"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7</w:t>
            </w:r>
          </w:p>
        </w:tc>
      </w:tr>
      <w:tr w:rsidR="00170617" w:rsidRPr="002926D7" w14:paraId="25EDAFCC" w14:textId="77777777" w:rsidTr="00170617">
        <w:trPr>
          <w:trHeight w:val="288"/>
          <w:jc w:val="center"/>
        </w:trPr>
        <w:tc>
          <w:tcPr>
            <w:tcW w:w="423" w:type="pct"/>
            <w:vMerge/>
            <w:tcBorders>
              <w:left w:val="single" w:sz="8" w:space="0" w:color="auto"/>
              <w:right w:val="single" w:sz="8" w:space="0" w:color="auto"/>
            </w:tcBorders>
            <w:vAlign w:val="center"/>
          </w:tcPr>
          <w:p w14:paraId="6C28B30B" w14:textId="00A8F595"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70699D9C" w14:textId="0801138D"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1ED06A2D"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C86079B"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CDE952E"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20DF7AE"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6CE38C53"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72500</w:t>
            </w:r>
          </w:p>
        </w:tc>
        <w:tc>
          <w:tcPr>
            <w:tcW w:w="334" w:type="pct"/>
            <w:tcBorders>
              <w:top w:val="nil"/>
              <w:left w:val="nil"/>
              <w:bottom w:val="single" w:sz="8" w:space="0" w:color="auto"/>
              <w:right w:val="single" w:sz="8" w:space="0" w:color="auto"/>
            </w:tcBorders>
            <w:vAlign w:val="center"/>
            <w:hideMark/>
          </w:tcPr>
          <w:p w14:paraId="708B3C3F"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Supplies</w:t>
            </w:r>
          </w:p>
        </w:tc>
        <w:tc>
          <w:tcPr>
            <w:tcW w:w="363" w:type="pct"/>
            <w:tcBorders>
              <w:top w:val="nil"/>
              <w:left w:val="nil"/>
              <w:bottom w:val="single" w:sz="8" w:space="0" w:color="auto"/>
              <w:right w:val="single" w:sz="8" w:space="0" w:color="auto"/>
            </w:tcBorders>
            <w:noWrap/>
            <w:vAlign w:val="center"/>
            <w:hideMark/>
          </w:tcPr>
          <w:p w14:paraId="2893239D"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$1,087 </w:t>
            </w:r>
          </w:p>
        </w:tc>
        <w:tc>
          <w:tcPr>
            <w:tcW w:w="364" w:type="pct"/>
            <w:tcBorders>
              <w:top w:val="nil"/>
              <w:left w:val="nil"/>
              <w:bottom w:val="single" w:sz="8" w:space="0" w:color="auto"/>
              <w:right w:val="single" w:sz="8" w:space="0" w:color="auto"/>
            </w:tcBorders>
            <w:noWrap/>
            <w:vAlign w:val="center"/>
            <w:hideMark/>
          </w:tcPr>
          <w:p w14:paraId="2FCA1913"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$1,473 </w:t>
            </w:r>
          </w:p>
        </w:tc>
        <w:tc>
          <w:tcPr>
            <w:tcW w:w="333" w:type="pct"/>
            <w:tcBorders>
              <w:top w:val="nil"/>
              <w:left w:val="nil"/>
              <w:bottom w:val="single" w:sz="8" w:space="0" w:color="auto"/>
              <w:right w:val="single" w:sz="8" w:space="0" w:color="auto"/>
            </w:tcBorders>
            <w:noWrap/>
            <w:vAlign w:val="center"/>
            <w:hideMark/>
          </w:tcPr>
          <w:p w14:paraId="7730BBF9"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$666 </w:t>
            </w:r>
          </w:p>
        </w:tc>
        <w:tc>
          <w:tcPr>
            <w:tcW w:w="334" w:type="pct"/>
            <w:tcBorders>
              <w:top w:val="nil"/>
              <w:left w:val="nil"/>
              <w:bottom w:val="single" w:sz="8" w:space="0" w:color="auto"/>
              <w:right w:val="single" w:sz="8" w:space="0" w:color="auto"/>
            </w:tcBorders>
            <w:noWrap/>
            <w:vAlign w:val="center"/>
            <w:hideMark/>
          </w:tcPr>
          <w:p w14:paraId="23A84A00"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$175 </w:t>
            </w:r>
          </w:p>
        </w:tc>
        <w:tc>
          <w:tcPr>
            <w:tcW w:w="276" w:type="pct"/>
            <w:tcBorders>
              <w:top w:val="nil"/>
              <w:left w:val="nil"/>
              <w:bottom w:val="single" w:sz="8" w:space="0" w:color="auto"/>
              <w:right w:val="single" w:sz="8" w:space="0" w:color="auto"/>
            </w:tcBorders>
            <w:vAlign w:val="center"/>
            <w:hideMark/>
          </w:tcPr>
          <w:p w14:paraId="0A2BB64C"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$105 </w:t>
            </w:r>
          </w:p>
        </w:tc>
        <w:tc>
          <w:tcPr>
            <w:tcW w:w="391" w:type="pct"/>
            <w:gridSpan w:val="2"/>
            <w:tcBorders>
              <w:top w:val="nil"/>
              <w:left w:val="nil"/>
              <w:bottom w:val="single" w:sz="8" w:space="0" w:color="auto"/>
              <w:right w:val="single" w:sz="8" w:space="0" w:color="auto"/>
            </w:tcBorders>
            <w:noWrap/>
            <w:vAlign w:val="center"/>
            <w:hideMark/>
          </w:tcPr>
          <w:p w14:paraId="49FD4259"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$3,506 </w:t>
            </w:r>
          </w:p>
        </w:tc>
        <w:tc>
          <w:tcPr>
            <w:tcW w:w="181" w:type="pct"/>
            <w:tcBorders>
              <w:top w:val="nil"/>
              <w:left w:val="nil"/>
              <w:bottom w:val="single" w:sz="8" w:space="0" w:color="auto"/>
              <w:right w:val="single" w:sz="8" w:space="0" w:color="auto"/>
            </w:tcBorders>
            <w:noWrap/>
            <w:vAlign w:val="center"/>
            <w:hideMark/>
          </w:tcPr>
          <w:p w14:paraId="13E727C7"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10</w:t>
            </w:r>
          </w:p>
        </w:tc>
      </w:tr>
      <w:tr w:rsidR="00170617" w:rsidRPr="002926D7" w14:paraId="453C2BC8" w14:textId="77777777" w:rsidTr="00170617">
        <w:trPr>
          <w:trHeight w:val="288"/>
          <w:jc w:val="center"/>
        </w:trPr>
        <w:tc>
          <w:tcPr>
            <w:tcW w:w="423" w:type="pct"/>
            <w:vMerge/>
            <w:tcBorders>
              <w:left w:val="single" w:sz="8" w:space="0" w:color="auto"/>
              <w:right w:val="single" w:sz="8" w:space="0" w:color="auto"/>
            </w:tcBorders>
            <w:vAlign w:val="center"/>
          </w:tcPr>
          <w:p w14:paraId="2A7DE8EC" w14:textId="06349FD4"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3B5D67F9" w14:textId="750C060A"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096A84D1"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675F2BB"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5EDE19B"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1F4997B"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6FB0B090"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74500</w:t>
            </w:r>
          </w:p>
        </w:tc>
        <w:tc>
          <w:tcPr>
            <w:tcW w:w="334" w:type="pct"/>
            <w:tcBorders>
              <w:top w:val="nil"/>
              <w:left w:val="nil"/>
              <w:bottom w:val="single" w:sz="8" w:space="0" w:color="auto"/>
              <w:right w:val="single" w:sz="8" w:space="0" w:color="auto"/>
            </w:tcBorders>
            <w:vAlign w:val="center"/>
            <w:hideMark/>
          </w:tcPr>
          <w:p w14:paraId="68727CF2"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Miscellaneous Expenses</w:t>
            </w:r>
          </w:p>
        </w:tc>
        <w:tc>
          <w:tcPr>
            <w:tcW w:w="363" w:type="pct"/>
            <w:tcBorders>
              <w:top w:val="nil"/>
              <w:left w:val="nil"/>
              <w:bottom w:val="single" w:sz="8" w:space="0" w:color="auto"/>
              <w:right w:val="single" w:sz="8" w:space="0" w:color="auto"/>
            </w:tcBorders>
            <w:noWrap/>
            <w:vAlign w:val="center"/>
            <w:hideMark/>
          </w:tcPr>
          <w:p w14:paraId="0B303AD7"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$1,132 </w:t>
            </w:r>
          </w:p>
        </w:tc>
        <w:tc>
          <w:tcPr>
            <w:tcW w:w="364" w:type="pct"/>
            <w:tcBorders>
              <w:top w:val="nil"/>
              <w:left w:val="nil"/>
              <w:bottom w:val="single" w:sz="8" w:space="0" w:color="auto"/>
              <w:right w:val="single" w:sz="8" w:space="0" w:color="auto"/>
            </w:tcBorders>
            <w:noWrap/>
            <w:vAlign w:val="center"/>
            <w:hideMark/>
          </w:tcPr>
          <w:p w14:paraId="544E054C"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$1,533 </w:t>
            </w:r>
          </w:p>
        </w:tc>
        <w:tc>
          <w:tcPr>
            <w:tcW w:w="333" w:type="pct"/>
            <w:tcBorders>
              <w:top w:val="nil"/>
              <w:left w:val="nil"/>
              <w:bottom w:val="single" w:sz="8" w:space="0" w:color="auto"/>
              <w:right w:val="single" w:sz="8" w:space="0" w:color="auto"/>
            </w:tcBorders>
            <w:noWrap/>
            <w:vAlign w:val="center"/>
            <w:hideMark/>
          </w:tcPr>
          <w:p w14:paraId="502E217B"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$694 </w:t>
            </w:r>
          </w:p>
        </w:tc>
        <w:tc>
          <w:tcPr>
            <w:tcW w:w="334" w:type="pct"/>
            <w:tcBorders>
              <w:top w:val="nil"/>
              <w:left w:val="nil"/>
              <w:bottom w:val="single" w:sz="8" w:space="0" w:color="auto"/>
              <w:right w:val="single" w:sz="8" w:space="0" w:color="auto"/>
            </w:tcBorders>
            <w:noWrap/>
            <w:vAlign w:val="center"/>
            <w:hideMark/>
          </w:tcPr>
          <w:p w14:paraId="14C7429A"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$183 </w:t>
            </w:r>
          </w:p>
        </w:tc>
        <w:tc>
          <w:tcPr>
            <w:tcW w:w="276" w:type="pct"/>
            <w:tcBorders>
              <w:top w:val="nil"/>
              <w:left w:val="nil"/>
              <w:bottom w:val="single" w:sz="8" w:space="0" w:color="auto"/>
              <w:right w:val="single" w:sz="8" w:space="0" w:color="auto"/>
            </w:tcBorders>
            <w:vAlign w:val="center"/>
            <w:hideMark/>
          </w:tcPr>
          <w:p w14:paraId="3B52DC65"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$108 </w:t>
            </w:r>
          </w:p>
        </w:tc>
        <w:tc>
          <w:tcPr>
            <w:tcW w:w="391" w:type="pct"/>
            <w:gridSpan w:val="2"/>
            <w:tcBorders>
              <w:top w:val="nil"/>
              <w:left w:val="nil"/>
              <w:bottom w:val="single" w:sz="8" w:space="0" w:color="auto"/>
              <w:right w:val="single" w:sz="8" w:space="0" w:color="auto"/>
            </w:tcBorders>
            <w:noWrap/>
            <w:vAlign w:val="center"/>
            <w:hideMark/>
          </w:tcPr>
          <w:p w14:paraId="74DDEF59"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$3,650 </w:t>
            </w:r>
          </w:p>
        </w:tc>
        <w:tc>
          <w:tcPr>
            <w:tcW w:w="181" w:type="pct"/>
            <w:tcBorders>
              <w:top w:val="nil"/>
              <w:left w:val="nil"/>
              <w:bottom w:val="single" w:sz="8" w:space="0" w:color="auto"/>
              <w:right w:val="single" w:sz="8" w:space="0" w:color="auto"/>
            </w:tcBorders>
            <w:noWrap/>
            <w:vAlign w:val="center"/>
            <w:hideMark/>
          </w:tcPr>
          <w:p w14:paraId="01340F50"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11</w:t>
            </w:r>
          </w:p>
        </w:tc>
      </w:tr>
      <w:tr w:rsidR="00170617" w:rsidRPr="002926D7" w14:paraId="3477DF0D" w14:textId="77777777" w:rsidTr="00170617">
        <w:trPr>
          <w:trHeight w:val="288"/>
          <w:jc w:val="center"/>
        </w:trPr>
        <w:tc>
          <w:tcPr>
            <w:tcW w:w="423" w:type="pct"/>
            <w:vMerge/>
            <w:tcBorders>
              <w:left w:val="single" w:sz="8" w:space="0" w:color="auto"/>
              <w:right w:val="single" w:sz="8" w:space="0" w:color="auto"/>
            </w:tcBorders>
            <w:vAlign w:val="center"/>
          </w:tcPr>
          <w:p w14:paraId="30686895" w14:textId="46296355"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3080E1AA" w14:textId="7D662973"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5B5DFFD0"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402BAC39"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67AE27E"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34FE92C"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7BB0F7F3"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75700</w:t>
            </w:r>
          </w:p>
        </w:tc>
        <w:tc>
          <w:tcPr>
            <w:tcW w:w="334" w:type="pct"/>
            <w:tcBorders>
              <w:top w:val="nil"/>
              <w:left w:val="nil"/>
              <w:bottom w:val="single" w:sz="8" w:space="0" w:color="auto"/>
              <w:right w:val="single" w:sz="8" w:space="0" w:color="auto"/>
            </w:tcBorders>
            <w:vAlign w:val="center"/>
            <w:hideMark/>
          </w:tcPr>
          <w:p w14:paraId="4F25239B"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Training, Workshops and Confer</w:t>
            </w:r>
          </w:p>
        </w:tc>
        <w:tc>
          <w:tcPr>
            <w:tcW w:w="363" w:type="pct"/>
            <w:tcBorders>
              <w:top w:val="nil"/>
              <w:left w:val="nil"/>
              <w:bottom w:val="single" w:sz="8" w:space="0" w:color="auto"/>
              <w:right w:val="single" w:sz="8" w:space="0" w:color="auto"/>
            </w:tcBorders>
            <w:noWrap/>
            <w:vAlign w:val="center"/>
            <w:hideMark/>
          </w:tcPr>
          <w:p w14:paraId="5ED3D4BD"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$5,502 </w:t>
            </w:r>
          </w:p>
        </w:tc>
        <w:tc>
          <w:tcPr>
            <w:tcW w:w="364" w:type="pct"/>
            <w:tcBorders>
              <w:top w:val="nil"/>
              <w:left w:val="nil"/>
              <w:bottom w:val="single" w:sz="8" w:space="0" w:color="auto"/>
              <w:right w:val="single" w:sz="8" w:space="0" w:color="auto"/>
            </w:tcBorders>
            <w:noWrap/>
            <w:vAlign w:val="center"/>
            <w:hideMark/>
          </w:tcPr>
          <w:p w14:paraId="7F9531EB"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$7,454 </w:t>
            </w:r>
          </w:p>
        </w:tc>
        <w:tc>
          <w:tcPr>
            <w:tcW w:w="333" w:type="pct"/>
            <w:tcBorders>
              <w:top w:val="nil"/>
              <w:left w:val="nil"/>
              <w:bottom w:val="single" w:sz="8" w:space="0" w:color="auto"/>
              <w:right w:val="single" w:sz="8" w:space="0" w:color="auto"/>
            </w:tcBorders>
            <w:noWrap/>
            <w:vAlign w:val="center"/>
            <w:hideMark/>
          </w:tcPr>
          <w:p w14:paraId="19A90DB8"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$3,372 </w:t>
            </w:r>
          </w:p>
        </w:tc>
        <w:tc>
          <w:tcPr>
            <w:tcW w:w="334" w:type="pct"/>
            <w:tcBorders>
              <w:top w:val="nil"/>
              <w:left w:val="nil"/>
              <w:bottom w:val="single" w:sz="8" w:space="0" w:color="auto"/>
              <w:right w:val="single" w:sz="8" w:space="0" w:color="auto"/>
            </w:tcBorders>
            <w:noWrap/>
            <w:vAlign w:val="center"/>
            <w:hideMark/>
          </w:tcPr>
          <w:p w14:paraId="057FFD60"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$887 </w:t>
            </w:r>
          </w:p>
        </w:tc>
        <w:tc>
          <w:tcPr>
            <w:tcW w:w="276" w:type="pct"/>
            <w:tcBorders>
              <w:top w:val="nil"/>
              <w:left w:val="nil"/>
              <w:bottom w:val="single" w:sz="8" w:space="0" w:color="auto"/>
              <w:right w:val="single" w:sz="8" w:space="0" w:color="auto"/>
            </w:tcBorders>
            <w:vAlign w:val="center"/>
            <w:hideMark/>
          </w:tcPr>
          <w:p w14:paraId="1A2801D3"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$532 </w:t>
            </w:r>
          </w:p>
        </w:tc>
        <w:tc>
          <w:tcPr>
            <w:tcW w:w="391" w:type="pct"/>
            <w:gridSpan w:val="2"/>
            <w:tcBorders>
              <w:top w:val="nil"/>
              <w:left w:val="nil"/>
              <w:bottom w:val="single" w:sz="8" w:space="0" w:color="auto"/>
              <w:right w:val="single" w:sz="8" w:space="0" w:color="auto"/>
            </w:tcBorders>
            <w:noWrap/>
            <w:vAlign w:val="center"/>
            <w:hideMark/>
          </w:tcPr>
          <w:p w14:paraId="0BDACD1A"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$17,747 </w:t>
            </w:r>
          </w:p>
        </w:tc>
        <w:tc>
          <w:tcPr>
            <w:tcW w:w="181" w:type="pct"/>
            <w:tcBorders>
              <w:top w:val="nil"/>
              <w:left w:val="nil"/>
              <w:bottom w:val="single" w:sz="8" w:space="0" w:color="auto"/>
              <w:right w:val="single" w:sz="8" w:space="0" w:color="auto"/>
            </w:tcBorders>
            <w:noWrap/>
            <w:vAlign w:val="center"/>
            <w:hideMark/>
          </w:tcPr>
          <w:p w14:paraId="63FB22EE"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6</w:t>
            </w:r>
          </w:p>
        </w:tc>
      </w:tr>
      <w:tr w:rsidR="00170617" w:rsidRPr="002926D7" w14:paraId="258C4F1E" w14:textId="77777777" w:rsidTr="00170617">
        <w:trPr>
          <w:trHeight w:val="288"/>
          <w:jc w:val="center"/>
        </w:trPr>
        <w:tc>
          <w:tcPr>
            <w:tcW w:w="423" w:type="pct"/>
            <w:vMerge/>
            <w:tcBorders>
              <w:left w:val="single" w:sz="8" w:space="0" w:color="auto"/>
              <w:right w:val="single" w:sz="8" w:space="0" w:color="auto"/>
            </w:tcBorders>
            <w:vAlign w:val="center"/>
          </w:tcPr>
          <w:p w14:paraId="75B4C059" w14:textId="1062EA96"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3244133D" w14:textId="51CBC0A2"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78A2DD34"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B0D1020"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F305565"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C48DF41"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72A9991A"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61200</w:t>
            </w:r>
          </w:p>
        </w:tc>
        <w:tc>
          <w:tcPr>
            <w:tcW w:w="334" w:type="pct"/>
            <w:tcBorders>
              <w:top w:val="nil"/>
              <w:left w:val="nil"/>
              <w:bottom w:val="single" w:sz="8" w:space="0" w:color="auto"/>
              <w:right w:val="single" w:sz="8" w:space="0" w:color="auto"/>
            </w:tcBorders>
            <w:vAlign w:val="center"/>
            <w:hideMark/>
          </w:tcPr>
          <w:p w14:paraId="6F636823"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Salaries Costs - GS Staff</w:t>
            </w:r>
          </w:p>
        </w:tc>
        <w:tc>
          <w:tcPr>
            <w:tcW w:w="363" w:type="pct"/>
            <w:tcBorders>
              <w:top w:val="nil"/>
              <w:left w:val="nil"/>
              <w:bottom w:val="single" w:sz="8" w:space="0" w:color="auto"/>
              <w:right w:val="single" w:sz="8" w:space="0" w:color="auto"/>
            </w:tcBorders>
            <w:noWrap/>
            <w:vAlign w:val="center"/>
            <w:hideMark/>
          </w:tcPr>
          <w:p w14:paraId="539F03EB"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$35,054 </w:t>
            </w:r>
          </w:p>
        </w:tc>
        <w:tc>
          <w:tcPr>
            <w:tcW w:w="364" w:type="pct"/>
            <w:tcBorders>
              <w:top w:val="nil"/>
              <w:left w:val="nil"/>
              <w:bottom w:val="single" w:sz="8" w:space="0" w:color="auto"/>
              <w:right w:val="single" w:sz="8" w:space="0" w:color="auto"/>
            </w:tcBorders>
            <w:noWrap/>
            <w:vAlign w:val="center"/>
            <w:hideMark/>
          </w:tcPr>
          <w:p w14:paraId="16663C4B"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$47,492 </w:t>
            </w:r>
          </w:p>
        </w:tc>
        <w:tc>
          <w:tcPr>
            <w:tcW w:w="333" w:type="pct"/>
            <w:tcBorders>
              <w:top w:val="nil"/>
              <w:left w:val="nil"/>
              <w:bottom w:val="single" w:sz="8" w:space="0" w:color="auto"/>
              <w:right w:val="single" w:sz="8" w:space="0" w:color="auto"/>
            </w:tcBorders>
            <w:noWrap/>
            <w:vAlign w:val="center"/>
            <w:hideMark/>
          </w:tcPr>
          <w:p w14:paraId="6B23CEA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$21,484 </w:t>
            </w:r>
          </w:p>
        </w:tc>
        <w:tc>
          <w:tcPr>
            <w:tcW w:w="334" w:type="pct"/>
            <w:tcBorders>
              <w:top w:val="nil"/>
              <w:left w:val="nil"/>
              <w:bottom w:val="single" w:sz="8" w:space="0" w:color="auto"/>
              <w:right w:val="single" w:sz="8" w:space="0" w:color="auto"/>
            </w:tcBorders>
            <w:noWrap/>
            <w:vAlign w:val="center"/>
            <w:hideMark/>
          </w:tcPr>
          <w:p w14:paraId="57BAD7F8"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$5,654 </w:t>
            </w:r>
          </w:p>
        </w:tc>
        <w:tc>
          <w:tcPr>
            <w:tcW w:w="276" w:type="pct"/>
            <w:tcBorders>
              <w:top w:val="nil"/>
              <w:left w:val="nil"/>
              <w:bottom w:val="single" w:sz="8" w:space="0" w:color="auto"/>
              <w:right w:val="single" w:sz="8" w:space="0" w:color="auto"/>
            </w:tcBorders>
            <w:vAlign w:val="center"/>
            <w:hideMark/>
          </w:tcPr>
          <w:p w14:paraId="35FC2B1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$3,392 </w:t>
            </w:r>
          </w:p>
        </w:tc>
        <w:tc>
          <w:tcPr>
            <w:tcW w:w="391" w:type="pct"/>
            <w:gridSpan w:val="2"/>
            <w:tcBorders>
              <w:top w:val="nil"/>
              <w:left w:val="nil"/>
              <w:bottom w:val="single" w:sz="8" w:space="0" w:color="auto"/>
              <w:right w:val="single" w:sz="8" w:space="0" w:color="auto"/>
            </w:tcBorders>
            <w:noWrap/>
            <w:vAlign w:val="center"/>
            <w:hideMark/>
          </w:tcPr>
          <w:p w14:paraId="260D338C"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$113,076 </w:t>
            </w:r>
          </w:p>
        </w:tc>
        <w:tc>
          <w:tcPr>
            <w:tcW w:w="181" w:type="pct"/>
            <w:tcBorders>
              <w:top w:val="nil"/>
              <w:left w:val="nil"/>
              <w:bottom w:val="single" w:sz="8" w:space="0" w:color="auto"/>
              <w:right w:val="single" w:sz="8" w:space="0" w:color="auto"/>
            </w:tcBorders>
            <w:noWrap/>
            <w:vAlign w:val="center"/>
            <w:hideMark/>
          </w:tcPr>
          <w:p w14:paraId="637F4BD0"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4</w:t>
            </w:r>
          </w:p>
        </w:tc>
      </w:tr>
      <w:tr w:rsidR="00170617" w:rsidRPr="002926D7" w14:paraId="25D18AE8" w14:textId="77777777" w:rsidTr="00170617">
        <w:trPr>
          <w:trHeight w:val="288"/>
          <w:jc w:val="center"/>
        </w:trPr>
        <w:tc>
          <w:tcPr>
            <w:tcW w:w="423" w:type="pct"/>
            <w:vMerge/>
            <w:tcBorders>
              <w:left w:val="single" w:sz="8" w:space="0" w:color="auto"/>
              <w:right w:val="single" w:sz="8" w:space="0" w:color="auto"/>
            </w:tcBorders>
            <w:vAlign w:val="center"/>
          </w:tcPr>
          <w:p w14:paraId="12C40299" w14:textId="3C8DC8C0"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04A4731D" w14:textId="0F4A2E6F"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33E0D69C"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395E58E"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8944BFB"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2C33BC65"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57CF2ADC"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61300</w:t>
            </w:r>
          </w:p>
        </w:tc>
        <w:tc>
          <w:tcPr>
            <w:tcW w:w="334" w:type="pct"/>
            <w:tcBorders>
              <w:top w:val="nil"/>
              <w:left w:val="nil"/>
              <w:bottom w:val="single" w:sz="8" w:space="0" w:color="auto"/>
              <w:right w:val="single" w:sz="8" w:space="0" w:color="auto"/>
            </w:tcBorders>
            <w:vAlign w:val="center"/>
            <w:hideMark/>
          </w:tcPr>
          <w:p w14:paraId="41AC0E4B"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 xml:space="preserve"> Salary &amp; Post Adj Cst-IP Staff</w:t>
            </w:r>
          </w:p>
        </w:tc>
        <w:tc>
          <w:tcPr>
            <w:tcW w:w="363" w:type="pct"/>
            <w:tcBorders>
              <w:top w:val="nil"/>
              <w:left w:val="nil"/>
              <w:bottom w:val="single" w:sz="8" w:space="0" w:color="auto"/>
              <w:right w:val="single" w:sz="8" w:space="0" w:color="auto"/>
            </w:tcBorders>
            <w:noWrap/>
            <w:vAlign w:val="center"/>
            <w:hideMark/>
          </w:tcPr>
          <w:p w14:paraId="00AD1AF5"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$64,092 </w:t>
            </w:r>
          </w:p>
        </w:tc>
        <w:tc>
          <w:tcPr>
            <w:tcW w:w="364" w:type="pct"/>
            <w:tcBorders>
              <w:top w:val="nil"/>
              <w:left w:val="nil"/>
              <w:bottom w:val="single" w:sz="8" w:space="0" w:color="auto"/>
              <w:right w:val="single" w:sz="8" w:space="0" w:color="auto"/>
            </w:tcBorders>
            <w:noWrap/>
            <w:vAlign w:val="center"/>
            <w:hideMark/>
          </w:tcPr>
          <w:p w14:paraId="0BEFD5F7"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$86,834 </w:t>
            </w:r>
          </w:p>
        </w:tc>
        <w:tc>
          <w:tcPr>
            <w:tcW w:w="333" w:type="pct"/>
            <w:tcBorders>
              <w:top w:val="nil"/>
              <w:left w:val="nil"/>
              <w:bottom w:val="single" w:sz="8" w:space="0" w:color="auto"/>
              <w:right w:val="single" w:sz="8" w:space="0" w:color="auto"/>
            </w:tcBorders>
            <w:noWrap/>
            <w:vAlign w:val="center"/>
            <w:hideMark/>
          </w:tcPr>
          <w:p w14:paraId="0AF0179D"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$39,282 </w:t>
            </w:r>
          </w:p>
        </w:tc>
        <w:tc>
          <w:tcPr>
            <w:tcW w:w="334" w:type="pct"/>
            <w:tcBorders>
              <w:top w:val="nil"/>
              <w:left w:val="nil"/>
              <w:bottom w:val="single" w:sz="8" w:space="0" w:color="auto"/>
              <w:right w:val="single" w:sz="8" w:space="0" w:color="auto"/>
            </w:tcBorders>
            <w:noWrap/>
            <w:vAlign w:val="center"/>
            <w:hideMark/>
          </w:tcPr>
          <w:p w14:paraId="37C68776"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$10,337 </w:t>
            </w:r>
          </w:p>
        </w:tc>
        <w:tc>
          <w:tcPr>
            <w:tcW w:w="276" w:type="pct"/>
            <w:tcBorders>
              <w:top w:val="nil"/>
              <w:left w:val="nil"/>
              <w:bottom w:val="single" w:sz="8" w:space="0" w:color="auto"/>
              <w:right w:val="single" w:sz="8" w:space="0" w:color="auto"/>
            </w:tcBorders>
            <w:vAlign w:val="center"/>
            <w:hideMark/>
          </w:tcPr>
          <w:p w14:paraId="56479C8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$6,202 </w:t>
            </w:r>
          </w:p>
        </w:tc>
        <w:tc>
          <w:tcPr>
            <w:tcW w:w="391" w:type="pct"/>
            <w:gridSpan w:val="2"/>
            <w:tcBorders>
              <w:top w:val="nil"/>
              <w:left w:val="nil"/>
              <w:bottom w:val="single" w:sz="8" w:space="0" w:color="auto"/>
              <w:right w:val="single" w:sz="8" w:space="0" w:color="auto"/>
            </w:tcBorders>
            <w:noWrap/>
            <w:vAlign w:val="center"/>
            <w:hideMark/>
          </w:tcPr>
          <w:p w14:paraId="144C1945"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$206,747 </w:t>
            </w:r>
          </w:p>
        </w:tc>
        <w:tc>
          <w:tcPr>
            <w:tcW w:w="181" w:type="pct"/>
            <w:tcBorders>
              <w:top w:val="nil"/>
              <w:left w:val="nil"/>
              <w:bottom w:val="single" w:sz="8" w:space="0" w:color="auto"/>
              <w:right w:val="single" w:sz="8" w:space="0" w:color="auto"/>
            </w:tcBorders>
            <w:noWrap/>
            <w:vAlign w:val="center"/>
            <w:hideMark/>
          </w:tcPr>
          <w:p w14:paraId="46723113"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4</w:t>
            </w:r>
          </w:p>
        </w:tc>
      </w:tr>
      <w:tr w:rsidR="00170617" w:rsidRPr="002926D7" w14:paraId="1C8769AC" w14:textId="77777777" w:rsidTr="00170617">
        <w:trPr>
          <w:trHeight w:val="288"/>
          <w:jc w:val="center"/>
        </w:trPr>
        <w:tc>
          <w:tcPr>
            <w:tcW w:w="423" w:type="pct"/>
            <w:vMerge/>
            <w:tcBorders>
              <w:left w:val="single" w:sz="8" w:space="0" w:color="auto"/>
              <w:right w:val="single" w:sz="8" w:space="0" w:color="auto"/>
            </w:tcBorders>
            <w:vAlign w:val="center"/>
          </w:tcPr>
          <w:p w14:paraId="72CABA6C" w14:textId="14CDB7A6"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665EC0C3" w14:textId="08EDC138"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5C15D8AC" w14:textId="77777777" w:rsidR="001506D3" w:rsidRPr="002926D7" w:rsidRDefault="001506D3" w:rsidP="002926D7">
            <w:pPr>
              <w:contextualSpacing/>
              <w:jc w:val="left"/>
              <w:rPr>
                <w:rFonts w:eastAsia="Times New Roman" w:cs="Calibri"/>
                <w:i/>
                <w:iCs/>
                <w:color w:val="000000"/>
                <w:sz w:val="14"/>
                <w:szCs w:val="14"/>
              </w:rPr>
            </w:pPr>
          </w:p>
        </w:tc>
        <w:tc>
          <w:tcPr>
            <w:tcW w:w="1428" w:type="pct"/>
            <w:gridSpan w:val="5"/>
            <w:tcBorders>
              <w:top w:val="single" w:sz="8" w:space="0" w:color="auto"/>
              <w:left w:val="nil"/>
              <w:bottom w:val="single" w:sz="8" w:space="0" w:color="auto"/>
              <w:right w:val="nil"/>
            </w:tcBorders>
            <w:vAlign w:val="center"/>
            <w:hideMark/>
          </w:tcPr>
          <w:p w14:paraId="4D262489" w14:textId="77777777" w:rsidR="001506D3" w:rsidRPr="002926D7" w:rsidRDefault="001506D3" w:rsidP="002926D7">
            <w:pPr>
              <w:ind w:right="-8"/>
              <w:contextualSpacing/>
              <w:rPr>
                <w:rFonts w:eastAsia="Times New Roman" w:cs="Calibri"/>
                <w:b/>
                <w:bCs/>
                <w:i/>
                <w:iCs/>
                <w:color w:val="000000"/>
                <w:sz w:val="14"/>
                <w:szCs w:val="14"/>
              </w:rPr>
            </w:pPr>
            <w:r w:rsidRPr="002926D7">
              <w:rPr>
                <w:rFonts w:eastAsia="Times New Roman" w:cs="Calibri"/>
                <w:b/>
                <w:bCs/>
                <w:i/>
                <w:iCs/>
                <w:color w:val="000000"/>
                <w:sz w:val="14"/>
                <w:szCs w:val="14"/>
              </w:rPr>
              <w:t>Total UNDP</w:t>
            </w:r>
          </w:p>
        </w:tc>
        <w:tc>
          <w:tcPr>
            <w:tcW w:w="363" w:type="pct"/>
            <w:tcBorders>
              <w:top w:val="nil"/>
              <w:left w:val="nil"/>
              <w:bottom w:val="single" w:sz="8" w:space="0" w:color="auto"/>
              <w:right w:val="single" w:sz="8" w:space="0" w:color="auto"/>
            </w:tcBorders>
            <w:noWrap/>
            <w:vAlign w:val="center"/>
            <w:hideMark/>
          </w:tcPr>
          <w:p w14:paraId="4B5484BE"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$426,387 </w:t>
            </w:r>
          </w:p>
        </w:tc>
        <w:tc>
          <w:tcPr>
            <w:tcW w:w="364" w:type="pct"/>
            <w:tcBorders>
              <w:top w:val="nil"/>
              <w:left w:val="nil"/>
              <w:bottom w:val="single" w:sz="8" w:space="0" w:color="auto"/>
              <w:right w:val="single" w:sz="8" w:space="0" w:color="auto"/>
            </w:tcBorders>
            <w:noWrap/>
            <w:vAlign w:val="center"/>
            <w:hideMark/>
          </w:tcPr>
          <w:p w14:paraId="04755939"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$577,683 </w:t>
            </w:r>
          </w:p>
        </w:tc>
        <w:tc>
          <w:tcPr>
            <w:tcW w:w="333" w:type="pct"/>
            <w:tcBorders>
              <w:top w:val="nil"/>
              <w:left w:val="nil"/>
              <w:bottom w:val="single" w:sz="8" w:space="0" w:color="auto"/>
              <w:right w:val="single" w:sz="8" w:space="0" w:color="auto"/>
            </w:tcBorders>
            <w:noWrap/>
            <w:vAlign w:val="center"/>
            <w:hideMark/>
          </w:tcPr>
          <w:p w14:paraId="24EC9E46"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$261,333 </w:t>
            </w:r>
          </w:p>
        </w:tc>
        <w:tc>
          <w:tcPr>
            <w:tcW w:w="334" w:type="pct"/>
            <w:tcBorders>
              <w:top w:val="nil"/>
              <w:left w:val="nil"/>
              <w:bottom w:val="single" w:sz="8" w:space="0" w:color="auto"/>
              <w:right w:val="single" w:sz="8" w:space="0" w:color="auto"/>
            </w:tcBorders>
            <w:noWrap/>
            <w:vAlign w:val="center"/>
            <w:hideMark/>
          </w:tcPr>
          <w:p w14:paraId="2480B09C"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$68,771 </w:t>
            </w:r>
          </w:p>
        </w:tc>
        <w:tc>
          <w:tcPr>
            <w:tcW w:w="276" w:type="pct"/>
            <w:tcBorders>
              <w:top w:val="nil"/>
              <w:left w:val="nil"/>
              <w:bottom w:val="single" w:sz="8" w:space="0" w:color="auto"/>
              <w:right w:val="single" w:sz="8" w:space="0" w:color="auto"/>
            </w:tcBorders>
            <w:noWrap/>
            <w:vAlign w:val="center"/>
            <w:hideMark/>
          </w:tcPr>
          <w:p w14:paraId="78040797"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$41,260 </w:t>
            </w:r>
          </w:p>
        </w:tc>
        <w:tc>
          <w:tcPr>
            <w:tcW w:w="391" w:type="pct"/>
            <w:gridSpan w:val="2"/>
            <w:tcBorders>
              <w:top w:val="nil"/>
              <w:left w:val="nil"/>
              <w:bottom w:val="single" w:sz="8" w:space="0" w:color="auto"/>
              <w:right w:val="single" w:sz="8" w:space="0" w:color="auto"/>
            </w:tcBorders>
            <w:noWrap/>
            <w:vAlign w:val="center"/>
            <w:hideMark/>
          </w:tcPr>
          <w:p w14:paraId="4DA43187"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$1,375,434 </w:t>
            </w:r>
          </w:p>
        </w:tc>
        <w:tc>
          <w:tcPr>
            <w:tcW w:w="181" w:type="pct"/>
            <w:tcBorders>
              <w:top w:val="nil"/>
              <w:left w:val="nil"/>
              <w:bottom w:val="single" w:sz="8" w:space="0" w:color="auto"/>
              <w:right w:val="single" w:sz="8" w:space="0" w:color="auto"/>
            </w:tcBorders>
            <w:noWrap/>
            <w:vAlign w:val="center"/>
            <w:hideMark/>
          </w:tcPr>
          <w:p w14:paraId="2F0CE3AE"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292C0307" w14:textId="77777777" w:rsidTr="00170617">
        <w:trPr>
          <w:trHeight w:val="288"/>
          <w:jc w:val="center"/>
        </w:trPr>
        <w:tc>
          <w:tcPr>
            <w:tcW w:w="423" w:type="pct"/>
            <w:vMerge/>
            <w:tcBorders>
              <w:left w:val="single" w:sz="8" w:space="0" w:color="auto"/>
              <w:right w:val="single" w:sz="8" w:space="0" w:color="auto"/>
            </w:tcBorders>
            <w:vAlign w:val="center"/>
          </w:tcPr>
          <w:p w14:paraId="11EDAEB3" w14:textId="132D75B2"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6653B9E1" w14:textId="51F736FA" w:rsidR="001506D3" w:rsidRPr="002926D7" w:rsidRDefault="001506D3" w:rsidP="002926D7">
            <w:pPr>
              <w:contextualSpacing/>
              <w:jc w:val="left"/>
              <w:rPr>
                <w:rFonts w:eastAsia="Times New Roman" w:cs="Calibri"/>
                <w:i/>
                <w:iCs/>
                <w:color w:val="000000"/>
                <w:sz w:val="14"/>
                <w:szCs w:val="14"/>
              </w:rPr>
            </w:pPr>
          </w:p>
        </w:tc>
        <w:tc>
          <w:tcPr>
            <w:tcW w:w="1881" w:type="pct"/>
            <w:gridSpan w:val="6"/>
            <w:tcBorders>
              <w:top w:val="single" w:sz="8" w:space="0" w:color="auto"/>
              <w:left w:val="nil"/>
              <w:bottom w:val="single" w:sz="8" w:space="0" w:color="auto"/>
              <w:right w:val="nil"/>
            </w:tcBorders>
            <w:vAlign w:val="center"/>
            <w:hideMark/>
          </w:tcPr>
          <w:p w14:paraId="350ED710" w14:textId="77777777" w:rsidR="001506D3" w:rsidRPr="002926D7" w:rsidRDefault="001506D3" w:rsidP="002926D7">
            <w:pPr>
              <w:ind w:right="-8"/>
              <w:contextualSpacing/>
              <w:rPr>
                <w:rFonts w:eastAsia="Times New Roman" w:cs="Calibri"/>
                <w:i/>
                <w:iCs/>
                <w:color w:val="000000"/>
                <w:sz w:val="14"/>
                <w:szCs w:val="14"/>
              </w:rPr>
            </w:pPr>
            <w:r w:rsidRPr="002926D7">
              <w:rPr>
                <w:rFonts w:eastAsia="Times New Roman" w:cs="Calibri"/>
                <w:i/>
                <w:iCs/>
                <w:color w:val="000000"/>
                <w:sz w:val="14"/>
                <w:szCs w:val="14"/>
              </w:rPr>
              <w:t>Total Output 3.1.1</w:t>
            </w:r>
          </w:p>
        </w:tc>
        <w:tc>
          <w:tcPr>
            <w:tcW w:w="363" w:type="pct"/>
            <w:tcBorders>
              <w:top w:val="nil"/>
              <w:left w:val="nil"/>
              <w:bottom w:val="single" w:sz="8" w:space="0" w:color="auto"/>
              <w:right w:val="single" w:sz="8" w:space="0" w:color="auto"/>
            </w:tcBorders>
            <w:noWrap/>
            <w:vAlign w:val="center"/>
            <w:hideMark/>
          </w:tcPr>
          <w:p w14:paraId="155D50FD"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$426,387 </w:t>
            </w:r>
          </w:p>
        </w:tc>
        <w:tc>
          <w:tcPr>
            <w:tcW w:w="364" w:type="pct"/>
            <w:tcBorders>
              <w:top w:val="nil"/>
              <w:left w:val="nil"/>
              <w:bottom w:val="single" w:sz="8" w:space="0" w:color="auto"/>
              <w:right w:val="single" w:sz="8" w:space="0" w:color="auto"/>
            </w:tcBorders>
            <w:noWrap/>
            <w:vAlign w:val="center"/>
            <w:hideMark/>
          </w:tcPr>
          <w:p w14:paraId="37F8BB06"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$577,683 </w:t>
            </w:r>
          </w:p>
        </w:tc>
        <w:tc>
          <w:tcPr>
            <w:tcW w:w="333" w:type="pct"/>
            <w:tcBorders>
              <w:top w:val="nil"/>
              <w:left w:val="nil"/>
              <w:bottom w:val="single" w:sz="8" w:space="0" w:color="auto"/>
              <w:right w:val="single" w:sz="8" w:space="0" w:color="auto"/>
            </w:tcBorders>
            <w:noWrap/>
            <w:vAlign w:val="center"/>
            <w:hideMark/>
          </w:tcPr>
          <w:p w14:paraId="5C2BA919"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$261,333 </w:t>
            </w:r>
          </w:p>
        </w:tc>
        <w:tc>
          <w:tcPr>
            <w:tcW w:w="334" w:type="pct"/>
            <w:tcBorders>
              <w:top w:val="nil"/>
              <w:left w:val="nil"/>
              <w:bottom w:val="single" w:sz="8" w:space="0" w:color="auto"/>
              <w:right w:val="single" w:sz="8" w:space="0" w:color="auto"/>
            </w:tcBorders>
            <w:noWrap/>
            <w:vAlign w:val="center"/>
            <w:hideMark/>
          </w:tcPr>
          <w:p w14:paraId="12030EB5"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$68,771 </w:t>
            </w:r>
          </w:p>
        </w:tc>
        <w:tc>
          <w:tcPr>
            <w:tcW w:w="276" w:type="pct"/>
            <w:tcBorders>
              <w:top w:val="nil"/>
              <w:left w:val="nil"/>
              <w:bottom w:val="single" w:sz="8" w:space="0" w:color="auto"/>
              <w:right w:val="single" w:sz="8" w:space="0" w:color="auto"/>
            </w:tcBorders>
            <w:noWrap/>
            <w:vAlign w:val="center"/>
            <w:hideMark/>
          </w:tcPr>
          <w:p w14:paraId="1A57FB71"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$41,260 </w:t>
            </w:r>
          </w:p>
        </w:tc>
        <w:tc>
          <w:tcPr>
            <w:tcW w:w="391" w:type="pct"/>
            <w:gridSpan w:val="2"/>
            <w:tcBorders>
              <w:top w:val="nil"/>
              <w:left w:val="nil"/>
              <w:bottom w:val="single" w:sz="8" w:space="0" w:color="auto"/>
              <w:right w:val="single" w:sz="8" w:space="0" w:color="auto"/>
            </w:tcBorders>
            <w:noWrap/>
            <w:vAlign w:val="center"/>
            <w:hideMark/>
          </w:tcPr>
          <w:p w14:paraId="3C55CEAE"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$1,375,434 </w:t>
            </w:r>
          </w:p>
        </w:tc>
        <w:tc>
          <w:tcPr>
            <w:tcW w:w="181" w:type="pct"/>
            <w:tcBorders>
              <w:top w:val="nil"/>
              <w:left w:val="nil"/>
              <w:bottom w:val="single" w:sz="8" w:space="0" w:color="auto"/>
              <w:right w:val="single" w:sz="8" w:space="0" w:color="auto"/>
            </w:tcBorders>
            <w:noWrap/>
            <w:vAlign w:val="center"/>
            <w:hideMark/>
          </w:tcPr>
          <w:p w14:paraId="42E6BEA1"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337214A9" w14:textId="77777777" w:rsidTr="00170617">
        <w:trPr>
          <w:trHeight w:val="288"/>
          <w:jc w:val="center"/>
        </w:trPr>
        <w:tc>
          <w:tcPr>
            <w:tcW w:w="423" w:type="pct"/>
            <w:vMerge/>
            <w:tcBorders>
              <w:left w:val="single" w:sz="8" w:space="0" w:color="auto"/>
              <w:right w:val="single" w:sz="8" w:space="0" w:color="auto"/>
            </w:tcBorders>
            <w:vAlign w:val="center"/>
          </w:tcPr>
          <w:p w14:paraId="187CE389" w14:textId="234643F4"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0A31B6E5" w14:textId="7BE7A0B5" w:rsidR="001506D3" w:rsidRPr="002926D7" w:rsidRDefault="001506D3" w:rsidP="002926D7">
            <w:pPr>
              <w:contextualSpacing/>
              <w:jc w:val="left"/>
              <w:rPr>
                <w:rFonts w:eastAsia="Times New Roman" w:cs="Calibri"/>
                <w:i/>
                <w:iCs/>
                <w:color w:val="000000"/>
                <w:sz w:val="14"/>
                <w:szCs w:val="14"/>
              </w:rPr>
            </w:pPr>
          </w:p>
        </w:tc>
        <w:tc>
          <w:tcPr>
            <w:tcW w:w="454" w:type="pct"/>
            <w:vMerge w:val="restart"/>
            <w:tcBorders>
              <w:top w:val="nil"/>
              <w:left w:val="single" w:sz="8" w:space="0" w:color="auto"/>
              <w:bottom w:val="single" w:sz="8" w:space="0" w:color="000000"/>
              <w:right w:val="single" w:sz="8" w:space="0" w:color="auto"/>
            </w:tcBorders>
            <w:vAlign w:val="center"/>
            <w:hideMark/>
          </w:tcPr>
          <w:p w14:paraId="3042248B" w14:textId="77777777" w:rsidR="001506D3" w:rsidRPr="002926D7" w:rsidRDefault="001506D3"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Output 3.1.2. Knowledge transfer and replication of appropriate technologies, tools, and approaches on global environmental issues, including through South-South exchanges across countries.</w:t>
            </w:r>
          </w:p>
        </w:tc>
        <w:tc>
          <w:tcPr>
            <w:tcW w:w="273" w:type="pct"/>
            <w:vMerge w:val="restart"/>
            <w:tcBorders>
              <w:top w:val="nil"/>
              <w:left w:val="single" w:sz="8" w:space="0" w:color="auto"/>
              <w:bottom w:val="single" w:sz="8" w:space="0" w:color="000000"/>
              <w:right w:val="single" w:sz="8" w:space="0" w:color="auto"/>
            </w:tcBorders>
            <w:vAlign w:val="center"/>
            <w:hideMark/>
          </w:tcPr>
          <w:p w14:paraId="7480A88F" w14:textId="77777777" w:rsidR="001506D3" w:rsidRPr="002926D7" w:rsidRDefault="001506D3"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UNDP</w:t>
            </w:r>
          </w:p>
        </w:tc>
        <w:tc>
          <w:tcPr>
            <w:tcW w:w="273" w:type="pct"/>
            <w:vMerge w:val="restart"/>
            <w:tcBorders>
              <w:top w:val="nil"/>
              <w:left w:val="single" w:sz="8" w:space="0" w:color="auto"/>
              <w:bottom w:val="single" w:sz="8" w:space="0" w:color="000000"/>
              <w:right w:val="single" w:sz="8" w:space="0" w:color="auto"/>
            </w:tcBorders>
            <w:vAlign w:val="center"/>
            <w:hideMark/>
          </w:tcPr>
          <w:p w14:paraId="06CF5B68"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62000</w:t>
            </w:r>
          </w:p>
        </w:tc>
        <w:tc>
          <w:tcPr>
            <w:tcW w:w="273" w:type="pct"/>
            <w:vMerge w:val="restart"/>
            <w:tcBorders>
              <w:top w:val="nil"/>
              <w:left w:val="single" w:sz="8" w:space="0" w:color="auto"/>
              <w:bottom w:val="single" w:sz="8" w:space="0" w:color="000000"/>
              <w:right w:val="single" w:sz="8" w:space="0" w:color="auto"/>
            </w:tcBorders>
            <w:vAlign w:val="center"/>
            <w:hideMark/>
          </w:tcPr>
          <w:p w14:paraId="5BF25628" w14:textId="77777777" w:rsidR="001506D3" w:rsidRPr="002926D7" w:rsidRDefault="001506D3" w:rsidP="002926D7">
            <w:pPr>
              <w:ind w:right="-8"/>
              <w:contextualSpacing/>
              <w:jc w:val="center"/>
              <w:rPr>
                <w:rFonts w:eastAsia="Times New Roman" w:cs="Calibri"/>
                <w:i/>
                <w:iCs/>
                <w:color w:val="000000"/>
                <w:sz w:val="14"/>
                <w:szCs w:val="14"/>
              </w:rPr>
            </w:pPr>
            <w:r w:rsidRPr="002926D7">
              <w:rPr>
                <w:rFonts w:eastAsia="Times New Roman" w:cs="Calibri"/>
                <w:i/>
                <w:iCs/>
                <w:color w:val="000000"/>
                <w:sz w:val="14"/>
                <w:szCs w:val="14"/>
              </w:rPr>
              <w:t>10003</w:t>
            </w:r>
          </w:p>
        </w:tc>
        <w:tc>
          <w:tcPr>
            <w:tcW w:w="275" w:type="pct"/>
            <w:tcBorders>
              <w:top w:val="nil"/>
              <w:left w:val="nil"/>
              <w:bottom w:val="single" w:sz="8" w:space="0" w:color="auto"/>
              <w:right w:val="single" w:sz="8" w:space="0" w:color="auto"/>
            </w:tcBorders>
            <w:vAlign w:val="center"/>
            <w:hideMark/>
          </w:tcPr>
          <w:p w14:paraId="7AE03144"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71200</w:t>
            </w:r>
          </w:p>
        </w:tc>
        <w:tc>
          <w:tcPr>
            <w:tcW w:w="334" w:type="pct"/>
            <w:tcBorders>
              <w:top w:val="nil"/>
              <w:left w:val="nil"/>
              <w:bottom w:val="single" w:sz="8" w:space="0" w:color="auto"/>
              <w:right w:val="single" w:sz="8" w:space="0" w:color="auto"/>
            </w:tcBorders>
            <w:vAlign w:val="center"/>
            <w:hideMark/>
          </w:tcPr>
          <w:p w14:paraId="05CEFDC2"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International Consultants</w:t>
            </w:r>
          </w:p>
        </w:tc>
        <w:tc>
          <w:tcPr>
            <w:tcW w:w="363" w:type="pct"/>
            <w:tcBorders>
              <w:top w:val="nil"/>
              <w:left w:val="nil"/>
              <w:bottom w:val="single" w:sz="8" w:space="0" w:color="auto"/>
              <w:right w:val="single" w:sz="8" w:space="0" w:color="auto"/>
            </w:tcBorders>
            <w:noWrap/>
            <w:vAlign w:val="center"/>
            <w:hideMark/>
          </w:tcPr>
          <w:p w14:paraId="70E9BF49"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$3,868 </w:t>
            </w:r>
          </w:p>
        </w:tc>
        <w:tc>
          <w:tcPr>
            <w:tcW w:w="364" w:type="pct"/>
            <w:tcBorders>
              <w:top w:val="nil"/>
              <w:left w:val="nil"/>
              <w:bottom w:val="single" w:sz="8" w:space="0" w:color="auto"/>
              <w:right w:val="single" w:sz="8" w:space="0" w:color="auto"/>
            </w:tcBorders>
            <w:noWrap/>
            <w:vAlign w:val="center"/>
            <w:hideMark/>
          </w:tcPr>
          <w:p w14:paraId="525C3C1E"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$5,241 </w:t>
            </w:r>
          </w:p>
        </w:tc>
        <w:tc>
          <w:tcPr>
            <w:tcW w:w="333" w:type="pct"/>
            <w:tcBorders>
              <w:top w:val="nil"/>
              <w:left w:val="nil"/>
              <w:bottom w:val="single" w:sz="8" w:space="0" w:color="auto"/>
              <w:right w:val="single" w:sz="8" w:space="0" w:color="auto"/>
            </w:tcBorders>
            <w:noWrap/>
            <w:vAlign w:val="center"/>
            <w:hideMark/>
          </w:tcPr>
          <w:p w14:paraId="377B3A9E"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$2,371 </w:t>
            </w:r>
          </w:p>
        </w:tc>
        <w:tc>
          <w:tcPr>
            <w:tcW w:w="334" w:type="pct"/>
            <w:tcBorders>
              <w:top w:val="nil"/>
              <w:left w:val="nil"/>
              <w:bottom w:val="single" w:sz="8" w:space="0" w:color="auto"/>
              <w:right w:val="single" w:sz="8" w:space="0" w:color="auto"/>
            </w:tcBorders>
            <w:noWrap/>
            <w:vAlign w:val="center"/>
            <w:hideMark/>
          </w:tcPr>
          <w:p w14:paraId="0D84929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$624 </w:t>
            </w:r>
          </w:p>
        </w:tc>
        <w:tc>
          <w:tcPr>
            <w:tcW w:w="276" w:type="pct"/>
            <w:tcBorders>
              <w:top w:val="nil"/>
              <w:left w:val="nil"/>
              <w:bottom w:val="single" w:sz="8" w:space="0" w:color="auto"/>
              <w:right w:val="single" w:sz="8" w:space="0" w:color="auto"/>
            </w:tcBorders>
            <w:vAlign w:val="center"/>
            <w:hideMark/>
          </w:tcPr>
          <w:p w14:paraId="31F7B658"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$374 </w:t>
            </w:r>
          </w:p>
        </w:tc>
        <w:tc>
          <w:tcPr>
            <w:tcW w:w="391" w:type="pct"/>
            <w:gridSpan w:val="2"/>
            <w:tcBorders>
              <w:top w:val="nil"/>
              <w:left w:val="nil"/>
              <w:bottom w:val="single" w:sz="8" w:space="0" w:color="auto"/>
              <w:right w:val="single" w:sz="8" w:space="0" w:color="auto"/>
            </w:tcBorders>
            <w:noWrap/>
            <w:vAlign w:val="center"/>
            <w:hideMark/>
          </w:tcPr>
          <w:p w14:paraId="071B168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$12,478 </w:t>
            </w:r>
          </w:p>
        </w:tc>
        <w:tc>
          <w:tcPr>
            <w:tcW w:w="181" w:type="pct"/>
            <w:tcBorders>
              <w:top w:val="nil"/>
              <w:left w:val="nil"/>
              <w:bottom w:val="single" w:sz="8" w:space="0" w:color="auto"/>
              <w:right w:val="single" w:sz="8" w:space="0" w:color="auto"/>
            </w:tcBorders>
            <w:noWrap/>
            <w:vAlign w:val="center"/>
            <w:hideMark/>
          </w:tcPr>
          <w:p w14:paraId="353AFFBF"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2</w:t>
            </w:r>
          </w:p>
        </w:tc>
      </w:tr>
      <w:tr w:rsidR="00170617" w:rsidRPr="002926D7" w14:paraId="38F6D055" w14:textId="77777777" w:rsidTr="00170617">
        <w:trPr>
          <w:trHeight w:val="288"/>
          <w:jc w:val="center"/>
        </w:trPr>
        <w:tc>
          <w:tcPr>
            <w:tcW w:w="423" w:type="pct"/>
            <w:vMerge/>
            <w:tcBorders>
              <w:left w:val="single" w:sz="8" w:space="0" w:color="auto"/>
              <w:right w:val="single" w:sz="8" w:space="0" w:color="auto"/>
            </w:tcBorders>
            <w:vAlign w:val="center"/>
          </w:tcPr>
          <w:p w14:paraId="3A8F5BCE" w14:textId="2C2D041A"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28C1C175" w14:textId="40F1DE8B"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2C277441"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0A3B7C9"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23CE4927"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BD91A50"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12D3366F"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71300</w:t>
            </w:r>
          </w:p>
        </w:tc>
        <w:tc>
          <w:tcPr>
            <w:tcW w:w="334" w:type="pct"/>
            <w:tcBorders>
              <w:top w:val="nil"/>
              <w:left w:val="nil"/>
              <w:bottom w:val="single" w:sz="8" w:space="0" w:color="auto"/>
              <w:right w:val="single" w:sz="8" w:space="0" w:color="auto"/>
            </w:tcBorders>
            <w:vAlign w:val="center"/>
            <w:hideMark/>
          </w:tcPr>
          <w:p w14:paraId="4BDC0781"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Local Consultants</w:t>
            </w:r>
          </w:p>
        </w:tc>
        <w:tc>
          <w:tcPr>
            <w:tcW w:w="363" w:type="pct"/>
            <w:tcBorders>
              <w:top w:val="nil"/>
              <w:left w:val="nil"/>
              <w:bottom w:val="single" w:sz="8" w:space="0" w:color="auto"/>
              <w:right w:val="single" w:sz="8" w:space="0" w:color="auto"/>
            </w:tcBorders>
            <w:noWrap/>
            <w:vAlign w:val="center"/>
            <w:hideMark/>
          </w:tcPr>
          <w:p w14:paraId="5318CF2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$15,490 </w:t>
            </w:r>
          </w:p>
        </w:tc>
        <w:tc>
          <w:tcPr>
            <w:tcW w:w="364" w:type="pct"/>
            <w:tcBorders>
              <w:top w:val="nil"/>
              <w:left w:val="nil"/>
              <w:bottom w:val="single" w:sz="8" w:space="0" w:color="auto"/>
              <w:right w:val="single" w:sz="8" w:space="0" w:color="auto"/>
            </w:tcBorders>
            <w:noWrap/>
            <w:vAlign w:val="center"/>
            <w:hideMark/>
          </w:tcPr>
          <w:p w14:paraId="79CF1B1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$20,987 </w:t>
            </w:r>
          </w:p>
        </w:tc>
        <w:tc>
          <w:tcPr>
            <w:tcW w:w="333" w:type="pct"/>
            <w:tcBorders>
              <w:top w:val="nil"/>
              <w:left w:val="nil"/>
              <w:bottom w:val="single" w:sz="8" w:space="0" w:color="auto"/>
              <w:right w:val="single" w:sz="8" w:space="0" w:color="auto"/>
            </w:tcBorders>
            <w:noWrap/>
            <w:vAlign w:val="center"/>
            <w:hideMark/>
          </w:tcPr>
          <w:p w14:paraId="194E8BEF"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$9,494 </w:t>
            </w:r>
          </w:p>
        </w:tc>
        <w:tc>
          <w:tcPr>
            <w:tcW w:w="334" w:type="pct"/>
            <w:tcBorders>
              <w:top w:val="nil"/>
              <w:left w:val="nil"/>
              <w:bottom w:val="single" w:sz="8" w:space="0" w:color="auto"/>
              <w:right w:val="single" w:sz="8" w:space="0" w:color="auto"/>
            </w:tcBorders>
            <w:noWrap/>
            <w:vAlign w:val="center"/>
            <w:hideMark/>
          </w:tcPr>
          <w:p w14:paraId="755B162E"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$2,498 </w:t>
            </w:r>
          </w:p>
        </w:tc>
        <w:tc>
          <w:tcPr>
            <w:tcW w:w="276" w:type="pct"/>
            <w:tcBorders>
              <w:top w:val="nil"/>
              <w:left w:val="nil"/>
              <w:bottom w:val="single" w:sz="8" w:space="0" w:color="auto"/>
              <w:right w:val="single" w:sz="8" w:space="0" w:color="auto"/>
            </w:tcBorders>
            <w:vAlign w:val="center"/>
            <w:hideMark/>
          </w:tcPr>
          <w:p w14:paraId="426ED20E"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$1,499 </w:t>
            </w:r>
          </w:p>
        </w:tc>
        <w:tc>
          <w:tcPr>
            <w:tcW w:w="391" w:type="pct"/>
            <w:gridSpan w:val="2"/>
            <w:tcBorders>
              <w:top w:val="nil"/>
              <w:left w:val="nil"/>
              <w:bottom w:val="single" w:sz="8" w:space="0" w:color="auto"/>
              <w:right w:val="single" w:sz="8" w:space="0" w:color="auto"/>
            </w:tcBorders>
            <w:noWrap/>
            <w:vAlign w:val="center"/>
            <w:hideMark/>
          </w:tcPr>
          <w:p w14:paraId="307D39EE"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$49,968 </w:t>
            </w:r>
          </w:p>
        </w:tc>
        <w:tc>
          <w:tcPr>
            <w:tcW w:w="181" w:type="pct"/>
            <w:tcBorders>
              <w:top w:val="nil"/>
              <w:left w:val="nil"/>
              <w:bottom w:val="single" w:sz="8" w:space="0" w:color="auto"/>
              <w:right w:val="single" w:sz="8" w:space="0" w:color="auto"/>
            </w:tcBorders>
            <w:noWrap/>
            <w:vAlign w:val="center"/>
            <w:hideMark/>
          </w:tcPr>
          <w:p w14:paraId="4F2426F1"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3</w:t>
            </w:r>
          </w:p>
        </w:tc>
      </w:tr>
      <w:tr w:rsidR="00170617" w:rsidRPr="002926D7" w14:paraId="24F9A4B4" w14:textId="77777777" w:rsidTr="00170617">
        <w:trPr>
          <w:trHeight w:val="288"/>
          <w:jc w:val="center"/>
        </w:trPr>
        <w:tc>
          <w:tcPr>
            <w:tcW w:w="423" w:type="pct"/>
            <w:vMerge/>
            <w:tcBorders>
              <w:left w:val="single" w:sz="8" w:space="0" w:color="auto"/>
              <w:right w:val="single" w:sz="8" w:space="0" w:color="auto"/>
            </w:tcBorders>
            <w:vAlign w:val="center"/>
          </w:tcPr>
          <w:p w14:paraId="6FA30C1E" w14:textId="5480C66F"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5D14C06D" w14:textId="3AE01442"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0026F43C"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1746514"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956B4D1"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2E63843A"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3AD477CB"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71400</w:t>
            </w:r>
          </w:p>
        </w:tc>
        <w:tc>
          <w:tcPr>
            <w:tcW w:w="334" w:type="pct"/>
            <w:tcBorders>
              <w:top w:val="nil"/>
              <w:left w:val="nil"/>
              <w:bottom w:val="single" w:sz="8" w:space="0" w:color="auto"/>
              <w:right w:val="single" w:sz="8" w:space="0" w:color="auto"/>
            </w:tcBorders>
            <w:vAlign w:val="center"/>
            <w:hideMark/>
          </w:tcPr>
          <w:p w14:paraId="04046E9B"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Contractual Services - Individ</w:t>
            </w:r>
          </w:p>
        </w:tc>
        <w:tc>
          <w:tcPr>
            <w:tcW w:w="363" w:type="pct"/>
            <w:tcBorders>
              <w:top w:val="nil"/>
              <w:left w:val="nil"/>
              <w:bottom w:val="single" w:sz="8" w:space="0" w:color="auto"/>
              <w:right w:val="single" w:sz="8" w:space="0" w:color="auto"/>
            </w:tcBorders>
            <w:noWrap/>
            <w:vAlign w:val="center"/>
            <w:hideMark/>
          </w:tcPr>
          <w:p w14:paraId="3913EB3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$233,269 </w:t>
            </w:r>
          </w:p>
        </w:tc>
        <w:tc>
          <w:tcPr>
            <w:tcW w:w="364" w:type="pct"/>
            <w:tcBorders>
              <w:top w:val="nil"/>
              <w:left w:val="nil"/>
              <w:bottom w:val="single" w:sz="8" w:space="0" w:color="auto"/>
              <w:right w:val="single" w:sz="8" w:space="0" w:color="auto"/>
            </w:tcBorders>
            <w:noWrap/>
            <w:vAlign w:val="center"/>
            <w:hideMark/>
          </w:tcPr>
          <w:p w14:paraId="4C32FAE3"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$316,042 </w:t>
            </w:r>
          </w:p>
        </w:tc>
        <w:tc>
          <w:tcPr>
            <w:tcW w:w="333" w:type="pct"/>
            <w:tcBorders>
              <w:top w:val="nil"/>
              <w:left w:val="nil"/>
              <w:bottom w:val="single" w:sz="8" w:space="0" w:color="auto"/>
              <w:right w:val="single" w:sz="8" w:space="0" w:color="auto"/>
            </w:tcBorders>
            <w:noWrap/>
            <w:vAlign w:val="center"/>
            <w:hideMark/>
          </w:tcPr>
          <w:p w14:paraId="5ACFBDDD"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$142,972 </w:t>
            </w:r>
          </w:p>
        </w:tc>
        <w:tc>
          <w:tcPr>
            <w:tcW w:w="334" w:type="pct"/>
            <w:tcBorders>
              <w:top w:val="nil"/>
              <w:left w:val="nil"/>
              <w:bottom w:val="single" w:sz="8" w:space="0" w:color="auto"/>
              <w:right w:val="single" w:sz="8" w:space="0" w:color="auto"/>
            </w:tcBorders>
            <w:noWrap/>
            <w:vAlign w:val="center"/>
            <w:hideMark/>
          </w:tcPr>
          <w:p w14:paraId="6EB3BA99"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$37,624 </w:t>
            </w:r>
          </w:p>
        </w:tc>
        <w:tc>
          <w:tcPr>
            <w:tcW w:w="276" w:type="pct"/>
            <w:tcBorders>
              <w:top w:val="nil"/>
              <w:left w:val="nil"/>
              <w:bottom w:val="single" w:sz="8" w:space="0" w:color="auto"/>
              <w:right w:val="single" w:sz="8" w:space="0" w:color="auto"/>
            </w:tcBorders>
            <w:vAlign w:val="center"/>
            <w:hideMark/>
          </w:tcPr>
          <w:p w14:paraId="000A6E55"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$22,574 </w:t>
            </w:r>
          </w:p>
        </w:tc>
        <w:tc>
          <w:tcPr>
            <w:tcW w:w="391" w:type="pct"/>
            <w:gridSpan w:val="2"/>
            <w:tcBorders>
              <w:top w:val="nil"/>
              <w:left w:val="nil"/>
              <w:bottom w:val="single" w:sz="8" w:space="0" w:color="auto"/>
              <w:right w:val="single" w:sz="8" w:space="0" w:color="auto"/>
            </w:tcBorders>
            <w:noWrap/>
            <w:vAlign w:val="center"/>
            <w:hideMark/>
          </w:tcPr>
          <w:p w14:paraId="2B3751FA"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$752,481 </w:t>
            </w:r>
          </w:p>
        </w:tc>
        <w:tc>
          <w:tcPr>
            <w:tcW w:w="181" w:type="pct"/>
            <w:tcBorders>
              <w:top w:val="nil"/>
              <w:left w:val="nil"/>
              <w:bottom w:val="single" w:sz="8" w:space="0" w:color="auto"/>
              <w:right w:val="single" w:sz="8" w:space="0" w:color="auto"/>
            </w:tcBorders>
            <w:noWrap/>
            <w:vAlign w:val="center"/>
            <w:hideMark/>
          </w:tcPr>
          <w:p w14:paraId="0450A5EA"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5</w:t>
            </w:r>
          </w:p>
        </w:tc>
      </w:tr>
      <w:tr w:rsidR="00170617" w:rsidRPr="002926D7" w14:paraId="5999DE4F" w14:textId="77777777" w:rsidTr="00170617">
        <w:trPr>
          <w:trHeight w:val="288"/>
          <w:jc w:val="center"/>
        </w:trPr>
        <w:tc>
          <w:tcPr>
            <w:tcW w:w="423" w:type="pct"/>
            <w:vMerge/>
            <w:tcBorders>
              <w:left w:val="single" w:sz="8" w:space="0" w:color="auto"/>
              <w:right w:val="single" w:sz="8" w:space="0" w:color="auto"/>
            </w:tcBorders>
            <w:vAlign w:val="center"/>
          </w:tcPr>
          <w:p w14:paraId="183044B1" w14:textId="6B7D5157"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0EC7EFBA" w14:textId="5EA25730"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2744799B"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8F9EA48"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69D7DC1"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2EE5EC2"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5DB605E0"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71600</w:t>
            </w:r>
          </w:p>
        </w:tc>
        <w:tc>
          <w:tcPr>
            <w:tcW w:w="334" w:type="pct"/>
            <w:tcBorders>
              <w:top w:val="nil"/>
              <w:left w:val="nil"/>
              <w:bottom w:val="single" w:sz="8" w:space="0" w:color="auto"/>
              <w:right w:val="single" w:sz="8" w:space="0" w:color="auto"/>
            </w:tcBorders>
            <w:vAlign w:val="center"/>
            <w:hideMark/>
          </w:tcPr>
          <w:p w14:paraId="2B0C5491"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Travel</w:t>
            </w:r>
          </w:p>
        </w:tc>
        <w:tc>
          <w:tcPr>
            <w:tcW w:w="363" w:type="pct"/>
            <w:tcBorders>
              <w:top w:val="nil"/>
              <w:left w:val="nil"/>
              <w:bottom w:val="single" w:sz="8" w:space="0" w:color="auto"/>
              <w:right w:val="single" w:sz="8" w:space="0" w:color="auto"/>
            </w:tcBorders>
            <w:noWrap/>
            <w:vAlign w:val="center"/>
            <w:hideMark/>
          </w:tcPr>
          <w:p w14:paraId="131511A0"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$77,587 </w:t>
            </w:r>
          </w:p>
        </w:tc>
        <w:tc>
          <w:tcPr>
            <w:tcW w:w="364" w:type="pct"/>
            <w:tcBorders>
              <w:top w:val="nil"/>
              <w:left w:val="nil"/>
              <w:bottom w:val="single" w:sz="8" w:space="0" w:color="auto"/>
              <w:right w:val="single" w:sz="8" w:space="0" w:color="auto"/>
            </w:tcBorders>
            <w:noWrap/>
            <w:vAlign w:val="center"/>
            <w:hideMark/>
          </w:tcPr>
          <w:p w14:paraId="2A51DD86"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$105,118 </w:t>
            </w:r>
          </w:p>
        </w:tc>
        <w:tc>
          <w:tcPr>
            <w:tcW w:w="333" w:type="pct"/>
            <w:tcBorders>
              <w:top w:val="nil"/>
              <w:left w:val="nil"/>
              <w:bottom w:val="single" w:sz="8" w:space="0" w:color="auto"/>
              <w:right w:val="single" w:sz="8" w:space="0" w:color="auto"/>
            </w:tcBorders>
            <w:noWrap/>
            <w:vAlign w:val="center"/>
            <w:hideMark/>
          </w:tcPr>
          <w:p w14:paraId="21AC3293"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$47,554 </w:t>
            </w:r>
          </w:p>
        </w:tc>
        <w:tc>
          <w:tcPr>
            <w:tcW w:w="334" w:type="pct"/>
            <w:tcBorders>
              <w:top w:val="nil"/>
              <w:left w:val="nil"/>
              <w:bottom w:val="single" w:sz="8" w:space="0" w:color="auto"/>
              <w:right w:val="single" w:sz="8" w:space="0" w:color="auto"/>
            </w:tcBorders>
            <w:noWrap/>
            <w:vAlign w:val="center"/>
            <w:hideMark/>
          </w:tcPr>
          <w:p w14:paraId="661D0386"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$12,514 </w:t>
            </w:r>
          </w:p>
        </w:tc>
        <w:tc>
          <w:tcPr>
            <w:tcW w:w="276" w:type="pct"/>
            <w:tcBorders>
              <w:top w:val="nil"/>
              <w:left w:val="nil"/>
              <w:bottom w:val="single" w:sz="8" w:space="0" w:color="auto"/>
              <w:right w:val="single" w:sz="8" w:space="0" w:color="auto"/>
            </w:tcBorders>
            <w:vAlign w:val="center"/>
            <w:hideMark/>
          </w:tcPr>
          <w:p w14:paraId="021D0885"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$7,508 </w:t>
            </w:r>
          </w:p>
        </w:tc>
        <w:tc>
          <w:tcPr>
            <w:tcW w:w="391" w:type="pct"/>
            <w:gridSpan w:val="2"/>
            <w:tcBorders>
              <w:top w:val="nil"/>
              <w:left w:val="nil"/>
              <w:bottom w:val="single" w:sz="8" w:space="0" w:color="auto"/>
              <w:right w:val="single" w:sz="8" w:space="0" w:color="auto"/>
            </w:tcBorders>
            <w:noWrap/>
            <w:vAlign w:val="center"/>
            <w:hideMark/>
          </w:tcPr>
          <w:p w14:paraId="2EDC8BD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$250,281 </w:t>
            </w:r>
          </w:p>
        </w:tc>
        <w:tc>
          <w:tcPr>
            <w:tcW w:w="181" w:type="pct"/>
            <w:tcBorders>
              <w:top w:val="nil"/>
              <w:left w:val="nil"/>
              <w:bottom w:val="single" w:sz="8" w:space="0" w:color="auto"/>
              <w:right w:val="single" w:sz="8" w:space="0" w:color="auto"/>
            </w:tcBorders>
            <w:noWrap/>
            <w:vAlign w:val="center"/>
            <w:hideMark/>
          </w:tcPr>
          <w:p w14:paraId="5DEC9EED"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7</w:t>
            </w:r>
          </w:p>
        </w:tc>
      </w:tr>
      <w:tr w:rsidR="00170617" w:rsidRPr="002926D7" w14:paraId="6DB30BBC" w14:textId="77777777" w:rsidTr="00170617">
        <w:trPr>
          <w:trHeight w:val="288"/>
          <w:jc w:val="center"/>
        </w:trPr>
        <w:tc>
          <w:tcPr>
            <w:tcW w:w="423" w:type="pct"/>
            <w:vMerge/>
            <w:tcBorders>
              <w:left w:val="single" w:sz="8" w:space="0" w:color="auto"/>
              <w:right w:val="single" w:sz="8" w:space="0" w:color="auto"/>
            </w:tcBorders>
            <w:vAlign w:val="center"/>
          </w:tcPr>
          <w:p w14:paraId="7EF27255" w14:textId="28D66D07"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36192DD3" w14:textId="77C501DC"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7EFFD6BC"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7DDD765"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49D0326"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268EB142"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4B32EC65"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72500</w:t>
            </w:r>
          </w:p>
        </w:tc>
        <w:tc>
          <w:tcPr>
            <w:tcW w:w="334" w:type="pct"/>
            <w:tcBorders>
              <w:top w:val="nil"/>
              <w:left w:val="nil"/>
              <w:bottom w:val="single" w:sz="8" w:space="0" w:color="auto"/>
              <w:right w:val="single" w:sz="8" w:space="0" w:color="auto"/>
            </w:tcBorders>
            <w:vAlign w:val="center"/>
            <w:hideMark/>
          </w:tcPr>
          <w:p w14:paraId="7BA3BA1A"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Supplies</w:t>
            </w:r>
          </w:p>
        </w:tc>
        <w:tc>
          <w:tcPr>
            <w:tcW w:w="363" w:type="pct"/>
            <w:tcBorders>
              <w:top w:val="nil"/>
              <w:left w:val="nil"/>
              <w:bottom w:val="single" w:sz="8" w:space="0" w:color="auto"/>
              <w:right w:val="single" w:sz="8" w:space="0" w:color="auto"/>
            </w:tcBorders>
            <w:noWrap/>
            <w:vAlign w:val="center"/>
            <w:hideMark/>
          </w:tcPr>
          <w:p w14:paraId="5327685D"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$978 </w:t>
            </w:r>
          </w:p>
        </w:tc>
        <w:tc>
          <w:tcPr>
            <w:tcW w:w="364" w:type="pct"/>
            <w:tcBorders>
              <w:top w:val="nil"/>
              <w:left w:val="nil"/>
              <w:bottom w:val="single" w:sz="8" w:space="0" w:color="auto"/>
              <w:right w:val="single" w:sz="8" w:space="0" w:color="auto"/>
            </w:tcBorders>
            <w:noWrap/>
            <w:vAlign w:val="center"/>
            <w:hideMark/>
          </w:tcPr>
          <w:p w14:paraId="29DB8770"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$1,325 </w:t>
            </w:r>
          </w:p>
        </w:tc>
        <w:tc>
          <w:tcPr>
            <w:tcW w:w="333" w:type="pct"/>
            <w:tcBorders>
              <w:top w:val="nil"/>
              <w:left w:val="nil"/>
              <w:bottom w:val="single" w:sz="8" w:space="0" w:color="auto"/>
              <w:right w:val="single" w:sz="8" w:space="0" w:color="auto"/>
            </w:tcBorders>
            <w:noWrap/>
            <w:vAlign w:val="center"/>
            <w:hideMark/>
          </w:tcPr>
          <w:p w14:paraId="65E78A6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$599 </w:t>
            </w:r>
          </w:p>
        </w:tc>
        <w:tc>
          <w:tcPr>
            <w:tcW w:w="334" w:type="pct"/>
            <w:tcBorders>
              <w:top w:val="nil"/>
              <w:left w:val="nil"/>
              <w:bottom w:val="single" w:sz="8" w:space="0" w:color="auto"/>
              <w:right w:val="single" w:sz="8" w:space="0" w:color="auto"/>
            </w:tcBorders>
            <w:noWrap/>
            <w:vAlign w:val="center"/>
            <w:hideMark/>
          </w:tcPr>
          <w:p w14:paraId="7EB4C25D"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$158 </w:t>
            </w:r>
          </w:p>
        </w:tc>
        <w:tc>
          <w:tcPr>
            <w:tcW w:w="276" w:type="pct"/>
            <w:tcBorders>
              <w:top w:val="nil"/>
              <w:left w:val="nil"/>
              <w:bottom w:val="single" w:sz="8" w:space="0" w:color="auto"/>
              <w:right w:val="single" w:sz="8" w:space="0" w:color="auto"/>
            </w:tcBorders>
            <w:vAlign w:val="center"/>
            <w:hideMark/>
          </w:tcPr>
          <w:p w14:paraId="77917825"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$95 </w:t>
            </w:r>
          </w:p>
        </w:tc>
        <w:tc>
          <w:tcPr>
            <w:tcW w:w="391" w:type="pct"/>
            <w:gridSpan w:val="2"/>
            <w:tcBorders>
              <w:top w:val="nil"/>
              <w:left w:val="nil"/>
              <w:bottom w:val="single" w:sz="8" w:space="0" w:color="auto"/>
              <w:right w:val="single" w:sz="8" w:space="0" w:color="auto"/>
            </w:tcBorders>
            <w:noWrap/>
            <w:vAlign w:val="center"/>
            <w:hideMark/>
          </w:tcPr>
          <w:p w14:paraId="22BB282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$3,155 </w:t>
            </w:r>
          </w:p>
        </w:tc>
        <w:tc>
          <w:tcPr>
            <w:tcW w:w="181" w:type="pct"/>
            <w:tcBorders>
              <w:top w:val="nil"/>
              <w:left w:val="nil"/>
              <w:bottom w:val="single" w:sz="8" w:space="0" w:color="auto"/>
              <w:right w:val="single" w:sz="8" w:space="0" w:color="auto"/>
            </w:tcBorders>
            <w:noWrap/>
            <w:vAlign w:val="center"/>
            <w:hideMark/>
          </w:tcPr>
          <w:p w14:paraId="00FFBAEF"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10</w:t>
            </w:r>
          </w:p>
        </w:tc>
      </w:tr>
      <w:tr w:rsidR="00170617" w:rsidRPr="002926D7" w14:paraId="20E0C0EB" w14:textId="77777777" w:rsidTr="00170617">
        <w:trPr>
          <w:trHeight w:val="288"/>
          <w:jc w:val="center"/>
        </w:trPr>
        <w:tc>
          <w:tcPr>
            <w:tcW w:w="423" w:type="pct"/>
            <w:vMerge/>
            <w:tcBorders>
              <w:left w:val="single" w:sz="8" w:space="0" w:color="auto"/>
              <w:right w:val="single" w:sz="8" w:space="0" w:color="auto"/>
            </w:tcBorders>
            <w:vAlign w:val="center"/>
          </w:tcPr>
          <w:p w14:paraId="08D60BE2" w14:textId="7CFE5DD1"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1692A15D" w14:textId="0E62842B"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12453279"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3ADFC97"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44BFDBE9"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F64562F"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174B0911"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74500</w:t>
            </w:r>
          </w:p>
        </w:tc>
        <w:tc>
          <w:tcPr>
            <w:tcW w:w="334" w:type="pct"/>
            <w:tcBorders>
              <w:top w:val="nil"/>
              <w:left w:val="nil"/>
              <w:bottom w:val="single" w:sz="8" w:space="0" w:color="auto"/>
              <w:right w:val="single" w:sz="8" w:space="0" w:color="auto"/>
            </w:tcBorders>
            <w:vAlign w:val="center"/>
            <w:hideMark/>
          </w:tcPr>
          <w:p w14:paraId="34A7894C"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Miscellaneous Expenses</w:t>
            </w:r>
          </w:p>
        </w:tc>
        <w:tc>
          <w:tcPr>
            <w:tcW w:w="363" w:type="pct"/>
            <w:tcBorders>
              <w:top w:val="nil"/>
              <w:left w:val="nil"/>
              <w:bottom w:val="single" w:sz="8" w:space="0" w:color="auto"/>
              <w:right w:val="single" w:sz="8" w:space="0" w:color="auto"/>
            </w:tcBorders>
            <w:noWrap/>
            <w:vAlign w:val="center"/>
            <w:hideMark/>
          </w:tcPr>
          <w:p w14:paraId="1A4B0453"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$1,018 </w:t>
            </w:r>
          </w:p>
        </w:tc>
        <w:tc>
          <w:tcPr>
            <w:tcW w:w="364" w:type="pct"/>
            <w:tcBorders>
              <w:top w:val="nil"/>
              <w:left w:val="nil"/>
              <w:bottom w:val="single" w:sz="8" w:space="0" w:color="auto"/>
              <w:right w:val="single" w:sz="8" w:space="0" w:color="auto"/>
            </w:tcBorders>
            <w:noWrap/>
            <w:vAlign w:val="center"/>
            <w:hideMark/>
          </w:tcPr>
          <w:p w14:paraId="4AF1A437"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$1,380 </w:t>
            </w:r>
          </w:p>
        </w:tc>
        <w:tc>
          <w:tcPr>
            <w:tcW w:w="333" w:type="pct"/>
            <w:tcBorders>
              <w:top w:val="nil"/>
              <w:left w:val="nil"/>
              <w:bottom w:val="single" w:sz="8" w:space="0" w:color="auto"/>
              <w:right w:val="single" w:sz="8" w:space="0" w:color="auto"/>
            </w:tcBorders>
            <w:noWrap/>
            <w:vAlign w:val="center"/>
            <w:hideMark/>
          </w:tcPr>
          <w:p w14:paraId="3335B76F"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$624 </w:t>
            </w:r>
          </w:p>
        </w:tc>
        <w:tc>
          <w:tcPr>
            <w:tcW w:w="334" w:type="pct"/>
            <w:tcBorders>
              <w:top w:val="nil"/>
              <w:left w:val="nil"/>
              <w:bottom w:val="single" w:sz="8" w:space="0" w:color="auto"/>
              <w:right w:val="single" w:sz="8" w:space="0" w:color="auto"/>
            </w:tcBorders>
            <w:noWrap/>
            <w:vAlign w:val="center"/>
            <w:hideMark/>
          </w:tcPr>
          <w:p w14:paraId="2ECAF4EB"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$164 </w:t>
            </w:r>
          </w:p>
        </w:tc>
        <w:tc>
          <w:tcPr>
            <w:tcW w:w="276" w:type="pct"/>
            <w:tcBorders>
              <w:top w:val="nil"/>
              <w:left w:val="nil"/>
              <w:bottom w:val="single" w:sz="8" w:space="0" w:color="auto"/>
              <w:right w:val="single" w:sz="8" w:space="0" w:color="auto"/>
            </w:tcBorders>
            <w:vAlign w:val="center"/>
            <w:hideMark/>
          </w:tcPr>
          <w:p w14:paraId="3B229BCF"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$99 </w:t>
            </w:r>
          </w:p>
        </w:tc>
        <w:tc>
          <w:tcPr>
            <w:tcW w:w="391" w:type="pct"/>
            <w:gridSpan w:val="2"/>
            <w:tcBorders>
              <w:top w:val="nil"/>
              <w:left w:val="nil"/>
              <w:bottom w:val="single" w:sz="8" w:space="0" w:color="auto"/>
              <w:right w:val="single" w:sz="8" w:space="0" w:color="auto"/>
            </w:tcBorders>
            <w:noWrap/>
            <w:vAlign w:val="center"/>
            <w:hideMark/>
          </w:tcPr>
          <w:p w14:paraId="39C0362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$3,285 </w:t>
            </w:r>
          </w:p>
        </w:tc>
        <w:tc>
          <w:tcPr>
            <w:tcW w:w="181" w:type="pct"/>
            <w:tcBorders>
              <w:top w:val="nil"/>
              <w:left w:val="nil"/>
              <w:bottom w:val="single" w:sz="8" w:space="0" w:color="auto"/>
              <w:right w:val="single" w:sz="8" w:space="0" w:color="auto"/>
            </w:tcBorders>
            <w:noWrap/>
            <w:vAlign w:val="center"/>
            <w:hideMark/>
          </w:tcPr>
          <w:p w14:paraId="1DE97957"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11</w:t>
            </w:r>
          </w:p>
        </w:tc>
      </w:tr>
      <w:tr w:rsidR="00170617" w:rsidRPr="002926D7" w14:paraId="6E88C3CF" w14:textId="77777777" w:rsidTr="00170617">
        <w:trPr>
          <w:trHeight w:val="288"/>
          <w:jc w:val="center"/>
        </w:trPr>
        <w:tc>
          <w:tcPr>
            <w:tcW w:w="423" w:type="pct"/>
            <w:vMerge/>
            <w:tcBorders>
              <w:left w:val="single" w:sz="8" w:space="0" w:color="auto"/>
              <w:right w:val="single" w:sz="8" w:space="0" w:color="auto"/>
            </w:tcBorders>
            <w:vAlign w:val="center"/>
          </w:tcPr>
          <w:p w14:paraId="6955C7B1" w14:textId="4C7C246D"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1ADAC6B7" w14:textId="19D07B45"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56062628"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44F2B7E7"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2E85FDEC"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56B1AE0"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58F302E7"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75700</w:t>
            </w:r>
          </w:p>
        </w:tc>
        <w:tc>
          <w:tcPr>
            <w:tcW w:w="334" w:type="pct"/>
            <w:tcBorders>
              <w:top w:val="nil"/>
              <w:left w:val="nil"/>
              <w:bottom w:val="single" w:sz="8" w:space="0" w:color="auto"/>
              <w:right w:val="single" w:sz="8" w:space="0" w:color="auto"/>
            </w:tcBorders>
            <w:vAlign w:val="center"/>
            <w:hideMark/>
          </w:tcPr>
          <w:p w14:paraId="7DC33799"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Training, Workshops and Confer</w:t>
            </w:r>
          </w:p>
        </w:tc>
        <w:tc>
          <w:tcPr>
            <w:tcW w:w="363" w:type="pct"/>
            <w:tcBorders>
              <w:top w:val="nil"/>
              <w:left w:val="nil"/>
              <w:bottom w:val="single" w:sz="8" w:space="0" w:color="auto"/>
              <w:right w:val="single" w:sz="8" w:space="0" w:color="auto"/>
            </w:tcBorders>
            <w:noWrap/>
            <w:vAlign w:val="center"/>
            <w:hideMark/>
          </w:tcPr>
          <w:p w14:paraId="4538E710"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$4,951 </w:t>
            </w:r>
          </w:p>
        </w:tc>
        <w:tc>
          <w:tcPr>
            <w:tcW w:w="364" w:type="pct"/>
            <w:tcBorders>
              <w:top w:val="nil"/>
              <w:left w:val="nil"/>
              <w:bottom w:val="single" w:sz="8" w:space="0" w:color="auto"/>
              <w:right w:val="single" w:sz="8" w:space="0" w:color="auto"/>
            </w:tcBorders>
            <w:noWrap/>
            <w:vAlign w:val="center"/>
            <w:hideMark/>
          </w:tcPr>
          <w:p w14:paraId="33051BAB"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$6,708 </w:t>
            </w:r>
          </w:p>
        </w:tc>
        <w:tc>
          <w:tcPr>
            <w:tcW w:w="333" w:type="pct"/>
            <w:tcBorders>
              <w:top w:val="nil"/>
              <w:left w:val="nil"/>
              <w:bottom w:val="single" w:sz="8" w:space="0" w:color="auto"/>
              <w:right w:val="single" w:sz="8" w:space="0" w:color="auto"/>
            </w:tcBorders>
            <w:noWrap/>
            <w:vAlign w:val="center"/>
            <w:hideMark/>
          </w:tcPr>
          <w:p w14:paraId="6603343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$3,035 </w:t>
            </w:r>
          </w:p>
        </w:tc>
        <w:tc>
          <w:tcPr>
            <w:tcW w:w="334" w:type="pct"/>
            <w:tcBorders>
              <w:top w:val="nil"/>
              <w:left w:val="nil"/>
              <w:bottom w:val="single" w:sz="8" w:space="0" w:color="auto"/>
              <w:right w:val="single" w:sz="8" w:space="0" w:color="auto"/>
            </w:tcBorders>
            <w:noWrap/>
            <w:vAlign w:val="center"/>
            <w:hideMark/>
          </w:tcPr>
          <w:p w14:paraId="23F69ADD"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$799 </w:t>
            </w:r>
          </w:p>
        </w:tc>
        <w:tc>
          <w:tcPr>
            <w:tcW w:w="276" w:type="pct"/>
            <w:tcBorders>
              <w:top w:val="nil"/>
              <w:left w:val="nil"/>
              <w:bottom w:val="single" w:sz="8" w:space="0" w:color="auto"/>
              <w:right w:val="single" w:sz="8" w:space="0" w:color="auto"/>
            </w:tcBorders>
            <w:vAlign w:val="center"/>
            <w:hideMark/>
          </w:tcPr>
          <w:p w14:paraId="469FE04F"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$479 </w:t>
            </w:r>
          </w:p>
        </w:tc>
        <w:tc>
          <w:tcPr>
            <w:tcW w:w="391" w:type="pct"/>
            <w:gridSpan w:val="2"/>
            <w:tcBorders>
              <w:top w:val="nil"/>
              <w:left w:val="nil"/>
              <w:bottom w:val="single" w:sz="8" w:space="0" w:color="auto"/>
              <w:right w:val="single" w:sz="8" w:space="0" w:color="auto"/>
            </w:tcBorders>
            <w:noWrap/>
            <w:vAlign w:val="center"/>
            <w:hideMark/>
          </w:tcPr>
          <w:p w14:paraId="7E6D103C"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$15,972 </w:t>
            </w:r>
          </w:p>
        </w:tc>
        <w:tc>
          <w:tcPr>
            <w:tcW w:w="181" w:type="pct"/>
            <w:tcBorders>
              <w:top w:val="nil"/>
              <w:left w:val="nil"/>
              <w:bottom w:val="single" w:sz="8" w:space="0" w:color="auto"/>
              <w:right w:val="single" w:sz="8" w:space="0" w:color="auto"/>
            </w:tcBorders>
            <w:noWrap/>
            <w:vAlign w:val="center"/>
            <w:hideMark/>
          </w:tcPr>
          <w:p w14:paraId="3914D053"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6</w:t>
            </w:r>
          </w:p>
        </w:tc>
      </w:tr>
      <w:tr w:rsidR="00170617" w:rsidRPr="002926D7" w14:paraId="04DFEB45" w14:textId="77777777" w:rsidTr="00170617">
        <w:trPr>
          <w:trHeight w:val="288"/>
          <w:jc w:val="center"/>
        </w:trPr>
        <w:tc>
          <w:tcPr>
            <w:tcW w:w="423" w:type="pct"/>
            <w:vMerge/>
            <w:tcBorders>
              <w:left w:val="single" w:sz="8" w:space="0" w:color="auto"/>
              <w:right w:val="single" w:sz="8" w:space="0" w:color="auto"/>
            </w:tcBorders>
            <w:vAlign w:val="center"/>
          </w:tcPr>
          <w:p w14:paraId="0FCCDD3B" w14:textId="5FF57F19"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414FCBD1" w14:textId="1339B306"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2D4AF149"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2F1747A0"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2B239141"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E883313"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1A1C05D2"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61200</w:t>
            </w:r>
          </w:p>
        </w:tc>
        <w:tc>
          <w:tcPr>
            <w:tcW w:w="334" w:type="pct"/>
            <w:tcBorders>
              <w:top w:val="nil"/>
              <w:left w:val="nil"/>
              <w:bottom w:val="single" w:sz="8" w:space="0" w:color="auto"/>
              <w:right w:val="single" w:sz="8" w:space="0" w:color="auto"/>
            </w:tcBorders>
            <w:vAlign w:val="center"/>
            <w:hideMark/>
          </w:tcPr>
          <w:p w14:paraId="4017F952"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Salaries Costs - GS Staff</w:t>
            </w:r>
          </w:p>
        </w:tc>
        <w:tc>
          <w:tcPr>
            <w:tcW w:w="363" w:type="pct"/>
            <w:tcBorders>
              <w:top w:val="nil"/>
              <w:left w:val="nil"/>
              <w:bottom w:val="single" w:sz="8" w:space="0" w:color="auto"/>
              <w:right w:val="single" w:sz="8" w:space="0" w:color="auto"/>
            </w:tcBorders>
            <w:noWrap/>
            <w:vAlign w:val="center"/>
            <w:hideMark/>
          </w:tcPr>
          <w:p w14:paraId="72C482D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$31,545 </w:t>
            </w:r>
          </w:p>
        </w:tc>
        <w:tc>
          <w:tcPr>
            <w:tcW w:w="364" w:type="pct"/>
            <w:tcBorders>
              <w:top w:val="nil"/>
              <w:left w:val="nil"/>
              <w:bottom w:val="single" w:sz="8" w:space="0" w:color="auto"/>
              <w:right w:val="single" w:sz="8" w:space="0" w:color="auto"/>
            </w:tcBorders>
            <w:noWrap/>
            <w:vAlign w:val="center"/>
            <w:hideMark/>
          </w:tcPr>
          <w:p w14:paraId="77DBAFCA"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$42,739 </w:t>
            </w:r>
          </w:p>
        </w:tc>
        <w:tc>
          <w:tcPr>
            <w:tcW w:w="333" w:type="pct"/>
            <w:tcBorders>
              <w:top w:val="nil"/>
              <w:left w:val="nil"/>
              <w:bottom w:val="single" w:sz="8" w:space="0" w:color="auto"/>
              <w:right w:val="single" w:sz="8" w:space="0" w:color="auto"/>
            </w:tcBorders>
            <w:noWrap/>
            <w:vAlign w:val="center"/>
            <w:hideMark/>
          </w:tcPr>
          <w:p w14:paraId="41F3E22D"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$19,334 </w:t>
            </w:r>
          </w:p>
        </w:tc>
        <w:tc>
          <w:tcPr>
            <w:tcW w:w="334" w:type="pct"/>
            <w:tcBorders>
              <w:top w:val="nil"/>
              <w:left w:val="nil"/>
              <w:bottom w:val="single" w:sz="8" w:space="0" w:color="auto"/>
              <w:right w:val="single" w:sz="8" w:space="0" w:color="auto"/>
            </w:tcBorders>
            <w:noWrap/>
            <w:vAlign w:val="center"/>
            <w:hideMark/>
          </w:tcPr>
          <w:p w14:paraId="4438B3AF"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$5,088 </w:t>
            </w:r>
          </w:p>
        </w:tc>
        <w:tc>
          <w:tcPr>
            <w:tcW w:w="276" w:type="pct"/>
            <w:tcBorders>
              <w:top w:val="nil"/>
              <w:left w:val="nil"/>
              <w:bottom w:val="single" w:sz="8" w:space="0" w:color="auto"/>
              <w:right w:val="single" w:sz="8" w:space="0" w:color="auto"/>
            </w:tcBorders>
            <w:vAlign w:val="center"/>
            <w:hideMark/>
          </w:tcPr>
          <w:p w14:paraId="4E522A86"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$3,053 </w:t>
            </w:r>
          </w:p>
        </w:tc>
        <w:tc>
          <w:tcPr>
            <w:tcW w:w="391" w:type="pct"/>
            <w:gridSpan w:val="2"/>
            <w:tcBorders>
              <w:top w:val="nil"/>
              <w:left w:val="nil"/>
              <w:bottom w:val="single" w:sz="8" w:space="0" w:color="auto"/>
              <w:right w:val="single" w:sz="8" w:space="0" w:color="auto"/>
            </w:tcBorders>
            <w:noWrap/>
            <w:vAlign w:val="center"/>
            <w:hideMark/>
          </w:tcPr>
          <w:p w14:paraId="41362A60"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$101,759 </w:t>
            </w:r>
          </w:p>
        </w:tc>
        <w:tc>
          <w:tcPr>
            <w:tcW w:w="181" w:type="pct"/>
            <w:tcBorders>
              <w:top w:val="nil"/>
              <w:left w:val="nil"/>
              <w:bottom w:val="single" w:sz="8" w:space="0" w:color="auto"/>
              <w:right w:val="single" w:sz="8" w:space="0" w:color="auto"/>
            </w:tcBorders>
            <w:noWrap/>
            <w:vAlign w:val="center"/>
            <w:hideMark/>
          </w:tcPr>
          <w:p w14:paraId="56047A98"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4</w:t>
            </w:r>
          </w:p>
        </w:tc>
      </w:tr>
      <w:tr w:rsidR="00170617" w:rsidRPr="002926D7" w14:paraId="30B8B09F" w14:textId="77777777" w:rsidTr="00170617">
        <w:trPr>
          <w:trHeight w:val="288"/>
          <w:jc w:val="center"/>
        </w:trPr>
        <w:tc>
          <w:tcPr>
            <w:tcW w:w="423" w:type="pct"/>
            <w:vMerge/>
            <w:tcBorders>
              <w:left w:val="single" w:sz="8" w:space="0" w:color="auto"/>
              <w:right w:val="single" w:sz="8" w:space="0" w:color="auto"/>
            </w:tcBorders>
            <w:vAlign w:val="center"/>
          </w:tcPr>
          <w:p w14:paraId="1D516593" w14:textId="6F013D49"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56B27205" w14:textId="5F5C2FF4"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16CD1DCF"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5FD4891"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0D5CF9E"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58AE4A5"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4C727EB5"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61300</w:t>
            </w:r>
          </w:p>
        </w:tc>
        <w:tc>
          <w:tcPr>
            <w:tcW w:w="334" w:type="pct"/>
            <w:tcBorders>
              <w:top w:val="nil"/>
              <w:left w:val="nil"/>
              <w:bottom w:val="single" w:sz="8" w:space="0" w:color="auto"/>
              <w:right w:val="single" w:sz="8" w:space="0" w:color="auto"/>
            </w:tcBorders>
            <w:vAlign w:val="center"/>
            <w:hideMark/>
          </w:tcPr>
          <w:p w14:paraId="5F73CDC1"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 xml:space="preserve"> Salary &amp; Post Adj Cst-IP Staff</w:t>
            </w:r>
          </w:p>
        </w:tc>
        <w:tc>
          <w:tcPr>
            <w:tcW w:w="363" w:type="pct"/>
            <w:tcBorders>
              <w:top w:val="nil"/>
              <w:left w:val="nil"/>
              <w:bottom w:val="single" w:sz="8" w:space="0" w:color="auto"/>
              <w:right w:val="single" w:sz="8" w:space="0" w:color="auto"/>
            </w:tcBorders>
            <w:noWrap/>
            <w:vAlign w:val="center"/>
            <w:hideMark/>
          </w:tcPr>
          <w:p w14:paraId="78A9437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$57,677 </w:t>
            </w:r>
          </w:p>
        </w:tc>
        <w:tc>
          <w:tcPr>
            <w:tcW w:w="364" w:type="pct"/>
            <w:tcBorders>
              <w:top w:val="nil"/>
              <w:left w:val="nil"/>
              <w:bottom w:val="single" w:sz="8" w:space="0" w:color="auto"/>
              <w:right w:val="single" w:sz="8" w:space="0" w:color="auto"/>
            </w:tcBorders>
            <w:noWrap/>
            <w:vAlign w:val="center"/>
            <w:hideMark/>
          </w:tcPr>
          <w:p w14:paraId="108D608E"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$78,143 </w:t>
            </w:r>
          </w:p>
        </w:tc>
        <w:tc>
          <w:tcPr>
            <w:tcW w:w="333" w:type="pct"/>
            <w:tcBorders>
              <w:top w:val="nil"/>
              <w:left w:val="nil"/>
              <w:bottom w:val="single" w:sz="8" w:space="0" w:color="auto"/>
              <w:right w:val="single" w:sz="8" w:space="0" w:color="auto"/>
            </w:tcBorders>
            <w:noWrap/>
            <w:vAlign w:val="center"/>
            <w:hideMark/>
          </w:tcPr>
          <w:p w14:paraId="1ABDF00B"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$35,350 </w:t>
            </w:r>
          </w:p>
        </w:tc>
        <w:tc>
          <w:tcPr>
            <w:tcW w:w="334" w:type="pct"/>
            <w:tcBorders>
              <w:top w:val="nil"/>
              <w:left w:val="nil"/>
              <w:bottom w:val="single" w:sz="8" w:space="0" w:color="auto"/>
              <w:right w:val="single" w:sz="8" w:space="0" w:color="auto"/>
            </w:tcBorders>
            <w:noWrap/>
            <w:vAlign w:val="center"/>
            <w:hideMark/>
          </w:tcPr>
          <w:p w14:paraId="03AEA247"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$9,303 </w:t>
            </w:r>
          </w:p>
        </w:tc>
        <w:tc>
          <w:tcPr>
            <w:tcW w:w="276" w:type="pct"/>
            <w:tcBorders>
              <w:top w:val="nil"/>
              <w:left w:val="nil"/>
              <w:bottom w:val="single" w:sz="8" w:space="0" w:color="auto"/>
              <w:right w:val="single" w:sz="8" w:space="0" w:color="auto"/>
            </w:tcBorders>
            <w:vAlign w:val="center"/>
            <w:hideMark/>
          </w:tcPr>
          <w:p w14:paraId="5D942DD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$5,582 </w:t>
            </w:r>
          </w:p>
        </w:tc>
        <w:tc>
          <w:tcPr>
            <w:tcW w:w="391" w:type="pct"/>
            <w:gridSpan w:val="2"/>
            <w:tcBorders>
              <w:top w:val="nil"/>
              <w:left w:val="nil"/>
              <w:bottom w:val="single" w:sz="8" w:space="0" w:color="auto"/>
              <w:right w:val="single" w:sz="8" w:space="0" w:color="auto"/>
            </w:tcBorders>
            <w:noWrap/>
            <w:vAlign w:val="center"/>
            <w:hideMark/>
          </w:tcPr>
          <w:p w14:paraId="18AEBBB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$186,055 </w:t>
            </w:r>
          </w:p>
        </w:tc>
        <w:tc>
          <w:tcPr>
            <w:tcW w:w="181" w:type="pct"/>
            <w:tcBorders>
              <w:top w:val="nil"/>
              <w:left w:val="nil"/>
              <w:bottom w:val="single" w:sz="8" w:space="0" w:color="auto"/>
              <w:right w:val="single" w:sz="8" w:space="0" w:color="auto"/>
            </w:tcBorders>
            <w:noWrap/>
            <w:vAlign w:val="center"/>
            <w:hideMark/>
          </w:tcPr>
          <w:p w14:paraId="02632615"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4</w:t>
            </w:r>
          </w:p>
        </w:tc>
      </w:tr>
      <w:tr w:rsidR="00170617" w:rsidRPr="002926D7" w14:paraId="565503E3" w14:textId="77777777" w:rsidTr="00170617">
        <w:trPr>
          <w:trHeight w:val="288"/>
          <w:jc w:val="center"/>
        </w:trPr>
        <w:tc>
          <w:tcPr>
            <w:tcW w:w="423" w:type="pct"/>
            <w:vMerge/>
            <w:tcBorders>
              <w:left w:val="single" w:sz="8" w:space="0" w:color="auto"/>
              <w:right w:val="single" w:sz="8" w:space="0" w:color="auto"/>
            </w:tcBorders>
            <w:vAlign w:val="center"/>
          </w:tcPr>
          <w:p w14:paraId="385C980F" w14:textId="3514AA01"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53424F30" w14:textId="4EDEC1C4"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31E4D92D" w14:textId="77777777" w:rsidR="001506D3" w:rsidRPr="002926D7" w:rsidRDefault="001506D3" w:rsidP="002926D7">
            <w:pPr>
              <w:contextualSpacing/>
              <w:jc w:val="left"/>
              <w:rPr>
                <w:rFonts w:eastAsia="Times New Roman" w:cs="Calibri"/>
                <w:i/>
                <w:iCs/>
                <w:color w:val="000000"/>
                <w:sz w:val="14"/>
                <w:szCs w:val="14"/>
              </w:rPr>
            </w:pPr>
          </w:p>
        </w:tc>
        <w:tc>
          <w:tcPr>
            <w:tcW w:w="1428" w:type="pct"/>
            <w:gridSpan w:val="5"/>
            <w:tcBorders>
              <w:top w:val="single" w:sz="8" w:space="0" w:color="auto"/>
              <w:left w:val="nil"/>
              <w:bottom w:val="single" w:sz="8" w:space="0" w:color="auto"/>
              <w:right w:val="nil"/>
            </w:tcBorders>
            <w:vAlign w:val="center"/>
            <w:hideMark/>
          </w:tcPr>
          <w:p w14:paraId="336C6D0A" w14:textId="77777777" w:rsidR="001506D3" w:rsidRPr="002926D7" w:rsidRDefault="001506D3" w:rsidP="002926D7">
            <w:pPr>
              <w:ind w:right="-8"/>
              <w:contextualSpacing/>
              <w:rPr>
                <w:rFonts w:eastAsia="Times New Roman" w:cs="Calibri"/>
                <w:b/>
                <w:bCs/>
                <w:i/>
                <w:iCs/>
                <w:color w:val="000000"/>
                <w:sz w:val="14"/>
                <w:szCs w:val="14"/>
              </w:rPr>
            </w:pPr>
            <w:r w:rsidRPr="002926D7">
              <w:rPr>
                <w:rFonts w:eastAsia="Times New Roman" w:cs="Calibri"/>
                <w:b/>
                <w:bCs/>
                <w:i/>
                <w:iCs/>
                <w:color w:val="000000"/>
                <w:sz w:val="14"/>
                <w:szCs w:val="14"/>
              </w:rPr>
              <w:t>Total UNDP</w:t>
            </w:r>
          </w:p>
        </w:tc>
        <w:tc>
          <w:tcPr>
            <w:tcW w:w="363" w:type="pct"/>
            <w:tcBorders>
              <w:top w:val="nil"/>
              <w:left w:val="nil"/>
              <w:bottom w:val="single" w:sz="8" w:space="0" w:color="auto"/>
              <w:right w:val="single" w:sz="8" w:space="0" w:color="auto"/>
            </w:tcBorders>
            <w:noWrap/>
            <w:vAlign w:val="center"/>
            <w:hideMark/>
          </w:tcPr>
          <w:p w14:paraId="619FDC5E"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$426,383 </w:t>
            </w:r>
          </w:p>
        </w:tc>
        <w:tc>
          <w:tcPr>
            <w:tcW w:w="364" w:type="pct"/>
            <w:tcBorders>
              <w:top w:val="nil"/>
              <w:left w:val="nil"/>
              <w:bottom w:val="single" w:sz="8" w:space="0" w:color="auto"/>
              <w:right w:val="single" w:sz="8" w:space="0" w:color="auto"/>
            </w:tcBorders>
            <w:noWrap/>
            <w:vAlign w:val="center"/>
            <w:hideMark/>
          </w:tcPr>
          <w:p w14:paraId="4CD5E3C8"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$577,683 </w:t>
            </w:r>
          </w:p>
        </w:tc>
        <w:tc>
          <w:tcPr>
            <w:tcW w:w="333" w:type="pct"/>
            <w:tcBorders>
              <w:top w:val="nil"/>
              <w:left w:val="nil"/>
              <w:bottom w:val="single" w:sz="8" w:space="0" w:color="auto"/>
              <w:right w:val="single" w:sz="8" w:space="0" w:color="auto"/>
            </w:tcBorders>
            <w:noWrap/>
            <w:vAlign w:val="center"/>
            <w:hideMark/>
          </w:tcPr>
          <w:p w14:paraId="44903D22"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$261,333 </w:t>
            </w:r>
          </w:p>
        </w:tc>
        <w:tc>
          <w:tcPr>
            <w:tcW w:w="334" w:type="pct"/>
            <w:tcBorders>
              <w:top w:val="nil"/>
              <w:left w:val="nil"/>
              <w:bottom w:val="single" w:sz="8" w:space="0" w:color="auto"/>
              <w:right w:val="single" w:sz="8" w:space="0" w:color="auto"/>
            </w:tcBorders>
            <w:noWrap/>
            <w:vAlign w:val="center"/>
            <w:hideMark/>
          </w:tcPr>
          <w:p w14:paraId="6C861425"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$68,772 </w:t>
            </w:r>
          </w:p>
        </w:tc>
        <w:tc>
          <w:tcPr>
            <w:tcW w:w="276" w:type="pct"/>
            <w:tcBorders>
              <w:top w:val="nil"/>
              <w:left w:val="nil"/>
              <w:bottom w:val="single" w:sz="8" w:space="0" w:color="auto"/>
              <w:right w:val="single" w:sz="8" w:space="0" w:color="auto"/>
            </w:tcBorders>
            <w:noWrap/>
            <w:vAlign w:val="center"/>
            <w:hideMark/>
          </w:tcPr>
          <w:p w14:paraId="6EBFC4A0"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$41,263 </w:t>
            </w:r>
          </w:p>
        </w:tc>
        <w:tc>
          <w:tcPr>
            <w:tcW w:w="391" w:type="pct"/>
            <w:gridSpan w:val="2"/>
            <w:tcBorders>
              <w:top w:val="nil"/>
              <w:left w:val="nil"/>
              <w:bottom w:val="single" w:sz="8" w:space="0" w:color="auto"/>
              <w:right w:val="single" w:sz="8" w:space="0" w:color="auto"/>
            </w:tcBorders>
            <w:noWrap/>
            <w:vAlign w:val="center"/>
            <w:hideMark/>
          </w:tcPr>
          <w:p w14:paraId="4DE731A0"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$1,375,434 </w:t>
            </w:r>
          </w:p>
        </w:tc>
        <w:tc>
          <w:tcPr>
            <w:tcW w:w="181" w:type="pct"/>
            <w:tcBorders>
              <w:top w:val="nil"/>
              <w:left w:val="nil"/>
              <w:bottom w:val="single" w:sz="8" w:space="0" w:color="auto"/>
              <w:right w:val="single" w:sz="8" w:space="0" w:color="auto"/>
            </w:tcBorders>
            <w:noWrap/>
            <w:vAlign w:val="center"/>
            <w:hideMark/>
          </w:tcPr>
          <w:p w14:paraId="39679893"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57846BE4" w14:textId="77777777" w:rsidTr="00170617">
        <w:trPr>
          <w:trHeight w:val="288"/>
          <w:jc w:val="center"/>
        </w:trPr>
        <w:tc>
          <w:tcPr>
            <w:tcW w:w="423" w:type="pct"/>
            <w:vMerge/>
            <w:tcBorders>
              <w:left w:val="single" w:sz="8" w:space="0" w:color="auto"/>
              <w:right w:val="single" w:sz="8" w:space="0" w:color="auto"/>
            </w:tcBorders>
            <w:vAlign w:val="center"/>
          </w:tcPr>
          <w:p w14:paraId="1682F60E" w14:textId="1F658E79"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392641B7" w14:textId="4224851C" w:rsidR="001506D3" w:rsidRPr="002926D7" w:rsidRDefault="001506D3" w:rsidP="002926D7">
            <w:pPr>
              <w:contextualSpacing/>
              <w:jc w:val="left"/>
              <w:rPr>
                <w:rFonts w:eastAsia="Times New Roman" w:cs="Calibri"/>
                <w:i/>
                <w:iCs/>
                <w:color w:val="000000"/>
                <w:sz w:val="14"/>
                <w:szCs w:val="14"/>
              </w:rPr>
            </w:pPr>
          </w:p>
        </w:tc>
        <w:tc>
          <w:tcPr>
            <w:tcW w:w="1881" w:type="pct"/>
            <w:gridSpan w:val="6"/>
            <w:tcBorders>
              <w:top w:val="single" w:sz="8" w:space="0" w:color="auto"/>
              <w:left w:val="nil"/>
              <w:bottom w:val="single" w:sz="8" w:space="0" w:color="auto"/>
              <w:right w:val="nil"/>
            </w:tcBorders>
            <w:vAlign w:val="center"/>
            <w:hideMark/>
          </w:tcPr>
          <w:p w14:paraId="0BB3E007" w14:textId="77777777" w:rsidR="001506D3" w:rsidRPr="002926D7" w:rsidRDefault="001506D3" w:rsidP="002926D7">
            <w:pPr>
              <w:ind w:right="-8"/>
              <w:contextualSpacing/>
              <w:rPr>
                <w:rFonts w:eastAsia="Times New Roman" w:cs="Calibri"/>
                <w:i/>
                <w:iCs/>
                <w:color w:val="000000"/>
                <w:sz w:val="14"/>
                <w:szCs w:val="14"/>
              </w:rPr>
            </w:pPr>
            <w:r w:rsidRPr="002926D7">
              <w:rPr>
                <w:rFonts w:eastAsia="Times New Roman" w:cs="Calibri"/>
                <w:i/>
                <w:iCs/>
                <w:color w:val="000000"/>
                <w:sz w:val="14"/>
                <w:szCs w:val="14"/>
              </w:rPr>
              <w:t>Total Output 3.1.2</w:t>
            </w:r>
          </w:p>
        </w:tc>
        <w:tc>
          <w:tcPr>
            <w:tcW w:w="363" w:type="pct"/>
            <w:tcBorders>
              <w:top w:val="nil"/>
              <w:left w:val="nil"/>
              <w:bottom w:val="single" w:sz="8" w:space="0" w:color="auto"/>
              <w:right w:val="single" w:sz="8" w:space="0" w:color="auto"/>
            </w:tcBorders>
            <w:noWrap/>
            <w:vAlign w:val="center"/>
            <w:hideMark/>
          </w:tcPr>
          <w:p w14:paraId="0EA61828"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$426,383 </w:t>
            </w:r>
          </w:p>
        </w:tc>
        <w:tc>
          <w:tcPr>
            <w:tcW w:w="364" w:type="pct"/>
            <w:tcBorders>
              <w:top w:val="nil"/>
              <w:left w:val="nil"/>
              <w:bottom w:val="single" w:sz="8" w:space="0" w:color="auto"/>
              <w:right w:val="single" w:sz="8" w:space="0" w:color="auto"/>
            </w:tcBorders>
            <w:noWrap/>
            <w:vAlign w:val="center"/>
            <w:hideMark/>
          </w:tcPr>
          <w:p w14:paraId="14F95F12"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$577,683 </w:t>
            </w:r>
          </w:p>
        </w:tc>
        <w:tc>
          <w:tcPr>
            <w:tcW w:w="333" w:type="pct"/>
            <w:tcBorders>
              <w:top w:val="nil"/>
              <w:left w:val="nil"/>
              <w:bottom w:val="single" w:sz="8" w:space="0" w:color="auto"/>
              <w:right w:val="single" w:sz="8" w:space="0" w:color="auto"/>
            </w:tcBorders>
            <w:noWrap/>
            <w:vAlign w:val="center"/>
            <w:hideMark/>
          </w:tcPr>
          <w:p w14:paraId="3DC0F348"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$261,333 </w:t>
            </w:r>
          </w:p>
        </w:tc>
        <w:tc>
          <w:tcPr>
            <w:tcW w:w="334" w:type="pct"/>
            <w:tcBorders>
              <w:top w:val="nil"/>
              <w:left w:val="nil"/>
              <w:bottom w:val="single" w:sz="8" w:space="0" w:color="auto"/>
              <w:right w:val="single" w:sz="8" w:space="0" w:color="auto"/>
            </w:tcBorders>
            <w:noWrap/>
            <w:vAlign w:val="center"/>
            <w:hideMark/>
          </w:tcPr>
          <w:p w14:paraId="2E41DE69"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$68,772 </w:t>
            </w:r>
          </w:p>
        </w:tc>
        <w:tc>
          <w:tcPr>
            <w:tcW w:w="276" w:type="pct"/>
            <w:tcBorders>
              <w:top w:val="nil"/>
              <w:left w:val="nil"/>
              <w:bottom w:val="single" w:sz="8" w:space="0" w:color="auto"/>
              <w:right w:val="single" w:sz="8" w:space="0" w:color="auto"/>
            </w:tcBorders>
            <w:noWrap/>
            <w:vAlign w:val="center"/>
            <w:hideMark/>
          </w:tcPr>
          <w:p w14:paraId="2FFE2009"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$41,263 </w:t>
            </w:r>
          </w:p>
        </w:tc>
        <w:tc>
          <w:tcPr>
            <w:tcW w:w="391" w:type="pct"/>
            <w:gridSpan w:val="2"/>
            <w:tcBorders>
              <w:top w:val="nil"/>
              <w:left w:val="nil"/>
              <w:bottom w:val="single" w:sz="8" w:space="0" w:color="auto"/>
              <w:right w:val="single" w:sz="8" w:space="0" w:color="auto"/>
            </w:tcBorders>
            <w:noWrap/>
            <w:vAlign w:val="center"/>
            <w:hideMark/>
          </w:tcPr>
          <w:p w14:paraId="431FD475"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$1,375,434 </w:t>
            </w:r>
          </w:p>
        </w:tc>
        <w:tc>
          <w:tcPr>
            <w:tcW w:w="181" w:type="pct"/>
            <w:tcBorders>
              <w:top w:val="nil"/>
              <w:left w:val="nil"/>
              <w:bottom w:val="single" w:sz="8" w:space="0" w:color="auto"/>
              <w:right w:val="single" w:sz="8" w:space="0" w:color="auto"/>
            </w:tcBorders>
            <w:noWrap/>
            <w:vAlign w:val="center"/>
            <w:hideMark/>
          </w:tcPr>
          <w:p w14:paraId="37266884"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10D0ABDC" w14:textId="77777777" w:rsidTr="00170617">
        <w:trPr>
          <w:trHeight w:val="288"/>
          <w:jc w:val="center"/>
        </w:trPr>
        <w:tc>
          <w:tcPr>
            <w:tcW w:w="423" w:type="pct"/>
            <w:vMerge/>
            <w:tcBorders>
              <w:left w:val="single" w:sz="8" w:space="0" w:color="auto"/>
              <w:right w:val="single" w:sz="8" w:space="0" w:color="auto"/>
            </w:tcBorders>
            <w:vAlign w:val="center"/>
          </w:tcPr>
          <w:p w14:paraId="0E2BDECD" w14:textId="3440316F"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440F1133" w14:textId="56D98749" w:rsidR="001506D3" w:rsidRPr="002926D7" w:rsidRDefault="001506D3" w:rsidP="002926D7">
            <w:pPr>
              <w:contextualSpacing/>
              <w:jc w:val="left"/>
              <w:rPr>
                <w:rFonts w:eastAsia="Times New Roman" w:cs="Calibri"/>
                <w:i/>
                <w:iCs/>
                <w:color w:val="000000"/>
                <w:sz w:val="14"/>
                <w:szCs w:val="14"/>
              </w:rPr>
            </w:pPr>
          </w:p>
        </w:tc>
        <w:tc>
          <w:tcPr>
            <w:tcW w:w="454" w:type="pct"/>
            <w:vMerge w:val="restart"/>
            <w:tcBorders>
              <w:top w:val="nil"/>
              <w:left w:val="single" w:sz="8" w:space="0" w:color="auto"/>
              <w:bottom w:val="single" w:sz="8" w:space="0" w:color="000000"/>
              <w:right w:val="single" w:sz="8" w:space="0" w:color="auto"/>
            </w:tcBorders>
            <w:vAlign w:val="center"/>
            <w:hideMark/>
          </w:tcPr>
          <w:p w14:paraId="1113AA3F" w14:textId="77777777" w:rsidR="001506D3" w:rsidRPr="002926D7" w:rsidRDefault="001506D3"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 xml:space="preserve">Output 3.1.3 Local organizations mobilized and strengthened through learning by doing and knowledge-exchanges supporting local, sub-national and national peer-to peer dialogue and stakeholder capacity development.  </w:t>
            </w:r>
          </w:p>
        </w:tc>
        <w:tc>
          <w:tcPr>
            <w:tcW w:w="273" w:type="pct"/>
            <w:vMerge w:val="restart"/>
            <w:tcBorders>
              <w:top w:val="nil"/>
              <w:left w:val="single" w:sz="8" w:space="0" w:color="auto"/>
              <w:bottom w:val="single" w:sz="8" w:space="0" w:color="000000"/>
              <w:right w:val="single" w:sz="8" w:space="0" w:color="auto"/>
            </w:tcBorders>
            <w:vAlign w:val="center"/>
            <w:hideMark/>
          </w:tcPr>
          <w:p w14:paraId="3A76E8C3" w14:textId="77777777" w:rsidR="001506D3" w:rsidRPr="002926D7" w:rsidRDefault="001506D3"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UNDP</w:t>
            </w:r>
          </w:p>
        </w:tc>
        <w:tc>
          <w:tcPr>
            <w:tcW w:w="273" w:type="pct"/>
            <w:vMerge w:val="restart"/>
            <w:tcBorders>
              <w:top w:val="nil"/>
              <w:left w:val="single" w:sz="8" w:space="0" w:color="auto"/>
              <w:bottom w:val="single" w:sz="8" w:space="0" w:color="000000"/>
              <w:right w:val="single" w:sz="8" w:space="0" w:color="auto"/>
            </w:tcBorders>
            <w:vAlign w:val="center"/>
            <w:hideMark/>
          </w:tcPr>
          <w:p w14:paraId="7ECC4B51"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62000</w:t>
            </w:r>
          </w:p>
        </w:tc>
        <w:tc>
          <w:tcPr>
            <w:tcW w:w="273" w:type="pct"/>
            <w:vMerge w:val="restart"/>
            <w:tcBorders>
              <w:top w:val="nil"/>
              <w:left w:val="single" w:sz="8" w:space="0" w:color="auto"/>
              <w:bottom w:val="single" w:sz="8" w:space="0" w:color="000000"/>
              <w:right w:val="single" w:sz="8" w:space="0" w:color="auto"/>
            </w:tcBorders>
            <w:vAlign w:val="center"/>
            <w:hideMark/>
          </w:tcPr>
          <w:p w14:paraId="7E725164" w14:textId="77777777" w:rsidR="001506D3" w:rsidRPr="002926D7" w:rsidRDefault="001506D3" w:rsidP="002926D7">
            <w:pPr>
              <w:ind w:right="-8"/>
              <w:contextualSpacing/>
              <w:jc w:val="center"/>
              <w:rPr>
                <w:rFonts w:eastAsia="Times New Roman" w:cs="Calibri"/>
                <w:i/>
                <w:iCs/>
                <w:color w:val="000000"/>
                <w:sz w:val="14"/>
                <w:szCs w:val="14"/>
              </w:rPr>
            </w:pPr>
            <w:r w:rsidRPr="002926D7">
              <w:rPr>
                <w:rFonts w:eastAsia="Times New Roman" w:cs="Calibri"/>
                <w:i/>
                <w:iCs/>
                <w:color w:val="000000"/>
                <w:sz w:val="14"/>
                <w:szCs w:val="14"/>
              </w:rPr>
              <w:t>10003</w:t>
            </w:r>
          </w:p>
        </w:tc>
        <w:tc>
          <w:tcPr>
            <w:tcW w:w="275" w:type="pct"/>
            <w:tcBorders>
              <w:top w:val="nil"/>
              <w:left w:val="nil"/>
              <w:bottom w:val="single" w:sz="8" w:space="0" w:color="auto"/>
              <w:right w:val="single" w:sz="8" w:space="0" w:color="auto"/>
            </w:tcBorders>
            <w:vAlign w:val="center"/>
            <w:hideMark/>
          </w:tcPr>
          <w:p w14:paraId="02A969FC"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71200</w:t>
            </w:r>
          </w:p>
        </w:tc>
        <w:tc>
          <w:tcPr>
            <w:tcW w:w="334" w:type="pct"/>
            <w:tcBorders>
              <w:top w:val="nil"/>
              <w:left w:val="nil"/>
              <w:bottom w:val="single" w:sz="8" w:space="0" w:color="auto"/>
              <w:right w:val="single" w:sz="8" w:space="0" w:color="auto"/>
            </w:tcBorders>
            <w:vAlign w:val="center"/>
            <w:hideMark/>
          </w:tcPr>
          <w:p w14:paraId="38539761"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International Consultants</w:t>
            </w:r>
          </w:p>
        </w:tc>
        <w:tc>
          <w:tcPr>
            <w:tcW w:w="363" w:type="pct"/>
            <w:tcBorders>
              <w:top w:val="nil"/>
              <w:left w:val="nil"/>
              <w:bottom w:val="single" w:sz="8" w:space="0" w:color="auto"/>
              <w:right w:val="single" w:sz="8" w:space="0" w:color="auto"/>
            </w:tcBorders>
            <w:noWrap/>
            <w:vAlign w:val="center"/>
            <w:hideMark/>
          </w:tcPr>
          <w:p w14:paraId="79E32BDE"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$4,406 </w:t>
            </w:r>
          </w:p>
        </w:tc>
        <w:tc>
          <w:tcPr>
            <w:tcW w:w="364" w:type="pct"/>
            <w:tcBorders>
              <w:top w:val="nil"/>
              <w:left w:val="nil"/>
              <w:bottom w:val="single" w:sz="8" w:space="0" w:color="auto"/>
              <w:right w:val="single" w:sz="8" w:space="0" w:color="auto"/>
            </w:tcBorders>
            <w:noWrap/>
            <w:vAlign w:val="center"/>
            <w:hideMark/>
          </w:tcPr>
          <w:p w14:paraId="1B16ED5F"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$5,970 </w:t>
            </w:r>
          </w:p>
        </w:tc>
        <w:tc>
          <w:tcPr>
            <w:tcW w:w="333" w:type="pct"/>
            <w:tcBorders>
              <w:top w:val="nil"/>
              <w:left w:val="nil"/>
              <w:bottom w:val="single" w:sz="8" w:space="0" w:color="auto"/>
              <w:right w:val="single" w:sz="8" w:space="0" w:color="auto"/>
            </w:tcBorders>
            <w:noWrap/>
            <w:vAlign w:val="center"/>
            <w:hideMark/>
          </w:tcPr>
          <w:p w14:paraId="599D0397"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$2,701 </w:t>
            </w:r>
          </w:p>
        </w:tc>
        <w:tc>
          <w:tcPr>
            <w:tcW w:w="334" w:type="pct"/>
            <w:tcBorders>
              <w:top w:val="nil"/>
              <w:left w:val="nil"/>
              <w:bottom w:val="single" w:sz="8" w:space="0" w:color="auto"/>
              <w:right w:val="single" w:sz="8" w:space="0" w:color="auto"/>
            </w:tcBorders>
            <w:noWrap/>
            <w:vAlign w:val="center"/>
            <w:hideMark/>
          </w:tcPr>
          <w:p w14:paraId="779FACE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$711 </w:t>
            </w:r>
          </w:p>
        </w:tc>
        <w:tc>
          <w:tcPr>
            <w:tcW w:w="276" w:type="pct"/>
            <w:tcBorders>
              <w:top w:val="nil"/>
              <w:left w:val="nil"/>
              <w:bottom w:val="single" w:sz="8" w:space="0" w:color="auto"/>
              <w:right w:val="single" w:sz="8" w:space="0" w:color="auto"/>
            </w:tcBorders>
            <w:vAlign w:val="center"/>
            <w:hideMark/>
          </w:tcPr>
          <w:p w14:paraId="43B89C6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$426 </w:t>
            </w:r>
          </w:p>
        </w:tc>
        <w:tc>
          <w:tcPr>
            <w:tcW w:w="391" w:type="pct"/>
            <w:gridSpan w:val="2"/>
            <w:tcBorders>
              <w:top w:val="nil"/>
              <w:left w:val="nil"/>
              <w:bottom w:val="single" w:sz="8" w:space="0" w:color="auto"/>
              <w:right w:val="single" w:sz="8" w:space="0" w:color="auto"/>
            </w:tcBorders>
            <w:noWrap/>
            <w:vAlign w:val="center"/>
            <w:hideMark/>
          </w:tcPr>
          <w:p w14:paraId="1C548205"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$14,214 </w:t>
            </w:r>
          </w:p>
        </w:tc>
        <w:tc>
          <w:tcPr>
            <w:tcW w:w="181" w:type="pct"/>
            <w:tcBorders>
              <w:top w:val="nil"/>
              <w:left w:val="nil"/>
              <w:bottom w:val="single" w:sz="8" w:space="0" w:color="auto"/>
              <w:right w:val="single" w:sz="8" w:space="0" w:color="auto"/>
            </w:tcBorders>
            <w:noWrap/>
            <w:vAlign w:val="center"/>
            <w:hideMark/>
          </w:tcPr>
          <w:p w14:paraId="710CBD8D"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2</w:t>
            </w:r>
          </w:p>
        </w:tc>
      </w:tr>
      <w:tr w:rsidR="00170617" w:rsidRPr="002926D7" w14:paraId="57363E1B" w14:textId="77777777" w:rsidTr="00170617">
        <w:trPr>
          <w:trHeight w:val="288"/>
          <w:jc w:val="center"/>
        </w:trPr>
        <w:tc>
          <w:tcPr>
            <w:tcW w:w="423" w:type="pct"/>
            <w:vMerge/>
            <w:tcBorders>
              <w:left w:val="single" w:sz="8" w:space="0" w:color="auto"/>
              <w:right w:val="single" w:sz="8" w:space="0" w:color="auto"/>
            </w:tcBorders>
            <w:vAlign w:val="center"/>
          </w:tcPr>
          <w:p w14:paraId="305DBE1C" w14:textId="2C132056"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175311F0" w14:textId="385BF092"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68E3EEE4"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B507E58"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2A0B9D75"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AA460C8"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2F2192E0"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71300</w:t>
            </w:r>
          </w:p>
        </w:tc>
        <w:tc>
          <w:tcPr>
            <w:tcW w:w="334" w:type="pct"/>
            <w:tcBorders>
              <w:top w:val="nil"/>
              <w:left w:val="nil"/>
              <w:bottom w:val="single" w:sz="8" w:space="0" w:color="auto"/>
              <w:right w:val="single" w:sz="8" w:space="0" w:color="auto"/>
            </w:tcBorders>
            <w:vAlign w:val="center"/>
            <w:hideMark/>
          </w:tcPr>
          <w:p w14:paraId="360C7A63"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Local Consultants</w:t>
            </w:r>
          </w:p>
        </w:tc>
        <w:tc>
          <w:tcPr>
            <w:tcW w:w="363" w:type="pct"/>
            <w:tcBorders>
              <w:top w:val="nil"/>
              <w:left w:val="nil"/>
              <w:bottom w:val="single" w:sz="8" w:space="0" w:color="auto"/>
              <w:right w:val="single" w:sz="8" w:space="0" w:color="auto"/>
            </w:tcBorders>
            <w:noWrap/>
            <w:vAlign w:val="center"/>
            <w:hideMark/>
          </w:tcPr>
          <w:p w14:paraId="17BFE7BB"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$17,644 </w:t>
            </w:r>
          </w:p>
        </w:tc>
        <w:tc>
          <w:tcPr>
            <w:tcW w:w="364" w:type="pct"/>
            <w:tcBorders>
              <w:top w:val="nil"/>
              <w:left w:val="nil"/>
              <w:bottom w:val="single" w:sz="8" w:space="0" w:color="auto"/>
              <w:right w:val="single" w:sz="8" w:space="0" w:color="auto"/>
            </w:tcBorders>
            <w:noWrap/>
            <w:vAlign w:val="center"/>
            <w:hideMark/>
          </w:tcPr>
          <w:p w14:paraId="3829BA8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$23,904 </w:t>
            </w:r>
          </w:p>
        </w:tc>
        <w:tc>
          <w:tcPr>
            <w:tcW w:w="333" w:type="pct"/>
            <w:tcBorders>
              <w:top w:val="nil"/>
              <w:left w:val="nil"/>
              <w:bottom w:val="single" w:sz="8" w:space="0" w:color="auto"/>
              <w:right w:val="single" w:sz="8" w:space="0" w:color="auto"/>
            </w:tcBorders>
            <w:noWrap/>
            <w:vAlign w:val="center"/>
            <w:hideMark/>
          </w:tcPr>
          <w:p w14:paraId="33E51BAB"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$10,814 </w:t>
            </w:r>
          </w:p>
        </w:tc>
        <w:tc>
          <w:tcPr>
            <w:tcW w:w="334" w:type="pct"/>
            <w:tcBorders>
              <w:top w:val="nil"/>
              <w:left w:val="nil"/>
              <w:bottom w:val="single" w:sz="8" w:space="0" w:color="auto"/>
              <w:right w:val="single" w:sz="8" w:space="0" w:color="auto"/>
            </w:tcBorders>
            <w:noWrap/>
            <w:vAlign w:val="center"/>
            <w:hideMark/>
          </w:tcPr>
          <w:p w14:paraId="77632E0F"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$2,846 </w:t>
            </w:r>
          </w:p>
        </w:tc>
        <w:tc>
          <w:tcPr>
            <w:tcW w:w="276" w:type="pct"/>
            <w:tcBorders>
              <w:top w:val="nil"/>
              <w:left w:val="nil"/>
              <w:bottom w:val="single" w:sz="8" w:space="0" w:color="auto"/>
              <w:right w:val="single" w:sz="8" w:space="0" w:color="auto"/>
            </w:tcBorders>
            <w:vAlign w:val="center"/>
            <w:hideMark/>
          </w:tcPr>
          <w:p w14:paraId="32EAE578"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$1,707 </w:t>
            </w:r>
          </w:p>
        </w:tc>
        <w:tc>
          <w:tcPr>
            <w:tcW w:w="391" w:type="pct"/>
            <w:gridSpan w:val="2"/>
            <w:tcBorders>
              <w:top w:val="nil"/>
              <w:left w:val="nil"/>
              <w:bottom w:val="single" w:sz="8" w:space="0" w:color="auto"/>
              <w:right w:val="single" w:sz="8" w:space="0" w:color="auto"/>
            </w:tcBorders>
            <w:noWrap/>
            <w:vAlign w:val="center"/>
            <w:hideMark/>
          </w:tcPr>
          <w:p w14:paraId="7871F559"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$56,915 </w:t>
            </w:r>
          </w:p>
        </w:tc>
        <w:tc>
          <w:tcPr>
            <w:tcW w:w="181" w:type="pct"/>
            <w:tcBorders>
              <w:top w:val="nil"/>
              <w:left w:val="nil"/>
              <w:bottom w:val="single" w:sz="8" w:space="0" w:color="auto"/>
              <w:right w:val="single" w:sz="8" w:space="0" w:color="auto"/>
            </w:tcBorders>
            <w:noWrap/>
            <w:vAlign w:val="center"/>
            <w:hideMark/>
          </w:tcPr>
          <w:p w14:paraId="46DE3F7B"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3</w:t>
            </w:r>
          </w:p>
        </w:tc>
      </w:tr>
      <w:tr w:rsidR="00170617" w:rsidRPr="002926D7" w14:paraId="7B7CE132" w14:textId="77777777" w:rsidTr="00170617">
        <w:trPr>
          <w:trHeight w:val="288"/>
          <w:jc w:val="center"/>
        </w:trPr>
        <w:tc>
          <w:tcPr>
            <w:tcW w:w="423" w:type="pct"/>
            <w:vMerge/>
            <w:tcBorders>
              <w:left w:val="single" w:sz="8" w:space="0" w:color="auto"/>
              <w:right w:val="single" w:sz="8" w:space="0" w:color="auto"/>
            </w:tcBorders>
            <w:vAlign w:val="center"/>
          </w:tcPr>
          <w:p w14:paraId="56F96547" w14:textId="5195B1ED"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38AF3BF8" w14:textId="40019BD9"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359C7781"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4EA1649B"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209D78DC"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4324EA3"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28FF9E54"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71400</w:t>
            </w:r>
          </w:p>
        </w:tc>
        <w:tc>
          <w:tcPr>
            <w:tcW w:w="334" w:type="pct"/>
            <w:tcBorders>
              <w:top w:val="nil"/>
              <w:left w:val="nil"/>
              <w:bottom w:val="single" w:sz="8" w:space="0" w:color="auto"/>
              <w:right w:val="single" w:sz="8" w:space="0" w:color="auto"/>
            </w:tcBorders>
            <w:vAlign w:val="center"/>
            <w:hideMark/>
          </w:tcPr>
          <w:p w14:paraId="7169D18E"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Contractual Services - Individ</w:t>
            </w:r>
          </w:p>
        </w:tc>
        <w:tc>
          <w:tcPr>
            <w:tcW w:w="363" w:type="pct"/>
            <w:tcBorders>
              <w:top w:val="nil"/>
              <w:left w:val="nil"/>
              <w:bottom w:val="single" w:sz="8" w:space="0" w:color="auto"/>
              <w:right w:val="single" w:sz="8" w:space="0" w:color="auto"/>
            </w:tcBorders>
            <w:noWrap/>
            <w:vAlign w:val="center"/>
            <w:hideMark/>
          </w:tcPr>
          <w:p w14:paraId="03993B03"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$265,700 </w:t>
            </w:r>
          </w:p>
        </w:tc>
        <w:tc>
          <w:tcPr>
            <w:tcW w:w="364" w:type="pct"/>
            <w:tcBorders>
              <w:top w:val="nil"/>
              <w:left w:val="nil"/>
              <w:bottom w:val="single" w:sz="8" w:space="0" w:color="auto"/>
              <w:right w:val="single" w:sz="8" w:space="0" w:color="auto"/>
            </w:tcBorders>
            <w:noWrap/>
            <w:vAlign w:val="center"/>
            <w:hideMark/>
          </w:tcPr>
          <w:p w14:paraId="28799079"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$359,981 </w:t>
            </w:r>
          </w:p>
        </w:tc>
        <w:tc>
          <w:tcPr>
            <w:tcW w:w="333" w:type="pct"/>
            <w:tcBorders>
              <w:top w:val="nil"/>
              <w:left w:val="nil"/>
              <w:bottom w:val="single" w:sz="8" w:space="0" w:color="auto"/>
              <w:right w:val="single" w:sz="8" w:space="0" w:color="auto"/>
            </w:tcBorders>
            <w:noWrap/>
            <w:vAlign w:val="center"/>
            <w:hideMark/>
          </w:tcPr>
          <w:p w14:paraId="5AA8362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$162,848 </w:t>
            </w:r>
          </w:p>
        </w:tc>
        <w:tc>
          <w:tcPr>
            <w:tcW w:w="334" w:type="pct"/>
            <w:tcBorders>
              <w:top w:val="nil"/>
              <w:left w:val="nil"/>
              <w:bottom w:val="single" w:sz="8" w:space="0" w:color="auto"/>
              <w:right w:val="single" w:sz="8" w:space="0" w:color="auto"/>
            </w:tcBorders>
            <w:noWrap/>
            <w:vAlign w:val="center"/>
            <w:hideMark/>
          </w:tcPr>
          <w:p w14:paraId="0231E829"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$42,855 </w:t>
            </w:r>
          </w:p>
        </w:tc>
        <w:tc>
          <w:tcPr>
            <w:tcW w:w="276" w:type="pct"/>
            <w:tcBorders>
              <w:top w:val="nil"/>
              <w:left w:val="nil"/>
              <w:bottom w:val="single" w:sz="8" w:space="0" w:color="auto"/>
              <w:right w:val="single" w:sz="8" w:space="0" w:color="auto"/>
            </w:tcBorders>
            <w:vAlign w:val="center"/>
            <w:hideMark/>
          </w:tcPr>
          <w:p w14:paraId="4FA421A5"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$25,713 </w:t>
            </w:r>
          </w:p>
        </w:tc>
        <w:tc>
          <w:tcPr>
            <w:tcW w:w="391" w:type="pct"/>
            <w:gridSpan w:val="2"/>
            <w:tcBorders>
              <w:top w:val="nil"/>
              <w:left w:val="nil"/>
              <w:bottom w:val="single" w:sz="8" w:space="0" w:color="auto"/>
              <w:right w:val="single" w:sz="8" w:space="0" w:color="auto"/>
            </w:tcBorders>
            <w:noWrap/>
            <w:vAlign w:val="center"/>
            <w:hideMark/>
          </w:tcPr>
          <w:p w14:paraId="66AB8BFC"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$857,097 </w:t>
            </w:r>
          </w:p>
        </w:tc>
        <w:tc>
          <w:tcPr>
            <w:tcW w:w="181" w:type="pct"/>
            <w:tcBorders>
              <w:top w:val="nil"/>
              <w:left w:val="nil"/>
              <w:bottom w:val="single" w:sz="8" w:space="0" w:color="auto"/>
              <w:right w:val="single" w:sz="8" w:space="0" w:color="auto"/>
            </w:tcBorders>
            <w:noWrap/>
            <w:vAlign w:val="center"/>
            <w:hideMark/>
          </w:tcPr>
          <w:p w14:paraId="5E26399B"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5</w:t>
            </w:r>
          </w:p>
        </w:tc>
      </w:tr>
      <w:tr w:rsidR="00170617" w:rsidRPr="002926D7" w14:paraId="5F218CDE" w14:textId="77777777" w:rsidTr="00170617">
        <w:trPr>
          <w:trHeight w:val="288"/>
          <w:jc w:val="center"/>
        </w:trPr>
        <w:tc>
          <w:tcPr>
            <w:tcW w:w="423" w:type="pct"/>
            <w:vMerge/>
            <w:tcBorders>
              <w:left w:val="single" w:sz="8" w:space="0" w:color="auto"/>
              <w:right w:val="single" w:sz="8" w:space="0" w:color="auto"/>
            </w:tcBorders>
            <w:vAlign w:val="center"/>
          </w:tcPr>
          <w:p w14:paraId="00D83EF8" w14:textId="19F07C03"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02F450B1" w14:textId="555D8B29"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71C84A4D"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2BD7538F"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EAD6F89"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E9CCBC3"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4041CE62"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71600</w:t>
            </w:r>
          </w:p>
        </w:tc>
        <w:tc>
          <w:tcPr>
            <w:tcW w:w="334" w:type="pct"/>
            <w:tcBorders>
              <w:top w:val="nil"/>
              <w:left w:val="nil"/>
              <w:bottom w:val="single" w:sz="8" w:space="0" w:color="auto"/>
              <w:right w:val="single" w:sz="8" w:space="0" w:color="auto"/>
            </w:tcBorders>
            <w:vAlign w:val="center"/>
            <w:hideMark/>
          </w:tcPr>
          <w:p w14:paraId="37975793"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Travel</w:t>
            </w:r>
          </w:p>
        </w:tc>
        <w:tc>
          <w:tcPr>
            <w:tcW w:w="363" w:type="pct"/>
            <w:tcBorders>
              <w:top w:val="nil"/>
              <w:left w:val="nil"/>
              <w:bottom w:val="single" w:sz="8" w:space="0" w:color="auto"/>
              <w:right w:val="single" w:sz="8" w:space="0" w:color="auto"/>
            </w:tcBorders>
            <w:noWrap/>
            <w:vAlign w:val="center"/>
            <w:hideMark/>
          </w:tcPr>
          <w:p w14:paraId="4407714D"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$29,095 </w:t>
            </w:r>
          </w:p>
        </w:tc>
        <w:tc>
          <w:tcPr>
            <w:tcW w:w="364" w:type="pct"/>
            <w:tcBorders>
              <w:top w:val="nil"/>
              <w:left w:val="nil"/>
              <w:bottom w:val="single" w:sz="8" w:space="0" w:color="auto"/>
              <w:right w:val="single" w:sz="8" w:space="0" w:color="auto"/>
            </w:tcBorders>
            <w:noWrap/>
            <w:vAlign w:val="center"/>
            <w:hideMark/>
          </w:tcPr>
          <w:p w14:paraId="6C927B13"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$39,419 </w:t>
            </w:r>
          </w:p>
        </w:tc>
        <w:tc>
          <w:tcPr>
            <w:tcW w:w="333" w:type="pct"/>
            <w:tcBorders>
              <w:top w:val="nil"/>
              <w:left w:val="nil"/>
              <w:bottom w:val="single" w:sz="8" w:space="0" w:color="auto"/>
              <w:right w:val="single" w:sz="8" w:space="0" w:color="auto"/>
            </w:tcBorders>
            <w:noWrap/>
            <w:vAlign w:val="center"/>
            <w:hideMark/>
          </w:tcPr>
          <w:p w14:paraId="4A887B8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$17,833 </w:t>
            </w:r>
          </w:p>
        </w:tc>
        <w:tc>
          <w:tcPr>
            <w:tcW w:w="334" w:type="pct"/>
            <w:tcBorders>
              <w:top w:val="nil"/>
              <w:left w:val="nil"/>
              <w:bottom w:val="single" w:sz="8" w:space="0" w:color="auto"/>
              <w:right w:val="single" w:sz="8" w:space="0" w:color="auto"/>
            </w:tcBorders>
            <w:noWrap/>
            <w:vAlign w:val="center"/>
            <w:hideMark/>
          </w:tcPr>
          <w:p w14:paraId="70F75B48"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$4,693 </w:t>
            </w:r>
          </w:p>
        </w:tc>
        <w:tc>
          <w:tcPr>
            <w:tcW w:w="276" w:type="pct"/>
            <w:tcBorders>
              <w:top w:val="nil"/>
              <w:left w:val="nil"/>
              <w:bottom w:val="single" w:sz="8" w:space="0" w:color="auto"/>
              <w:right w:val="single" w:sz="8" w:space="0" w:color="auto"/>
            </w:tcBorders>
            <w:vAlign w:val="center"/>
            <w:hideMark/>
          </w:tcPr>
          <w:p w14:paraId="5C75BB50"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$2,816 </w:t>
            </w:r>
          </w:p>
        </w:tc>
        <w:tc>
          <w:tcPr>
            <w:tcW w:w="391" w:type="pct"/>
            <w:gridSpan w:val="2"/>
            <w:tcBorders>
              <w:top w:val="nil"/>
              <w:left w:val="nil"/>
              <w:bottom w:val="single" w:sz="8" w:space="0" w:color="auto"/>
              <w:right w:val="single" w:sz="8" w:space="0" w:color="auto"/>
            </w:tcBorders>
            <w:noWrap/>
            <w:vAlign w:val="center"/>
            <w:hideMark/>
          </w:tcPr>
          <w:p w14:paraId="2B9FC41B"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$93,856 </w:t>
            </w:r>
          </w:p>
        </w:tc>
        <w:tc>
          <w:tcPr>
            <w:tcW w:w="181" w:type="pct"/>
            <w:tcBorders>
              <w:top w:val="nil"/>
              <w:left w:val="nil"/>
              <w:bottom w:val="single" w:sz="8" w:space="0" w:color="auto"/>
              <w:right w:val="single" w:sz="8" w:space="0" w:color="auto"/>
            </w:tcBorders>
            <w:noWrap/>
            <w:vAlign w:val="center"/>
            <w:hideMark/>
          </w:tcPr>
          <w:p w14:paraId="2B3303B2"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7</w:t>
            </w:r>
          </w:p>
        </w:tc>
      </w:tr>
      <w:tr w:rsidR="00170617" w:rsidRPr="002926D7" w14:paraId="1C11F5F2" w14:textId="77777777" w:rsidTr="00170617">
        <w:trPr>
          <w:trHeight w:val="288"/>
          <w:jc w:val="center"/>
        </w:trPr>
        <w:tc>
          <w:tcPr>
            <w:tcW w:w="423" w:type="pct"/>
            <w:vMerge/>
            <w:tcBorders>
              <w:left w:val="single" w:sz="8" w:space="0" w:color="auto"/>
              <w:right w:val="single" w:sz="8" w:space="0" w:color="auto"/>
            </w:tcBorders>
            <w:vAlign w:val="center"/>
          </w:tcPr>
          <w:p w14:paraId="25260C3F" w14:textId="5B4CB3E8"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3FB0A06F" w14:textId="15C5A789"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76078A1A"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A4A081A"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25257C47"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2A1D776D"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477B5CF3"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72500</w:t>
            </w:r>
          </w:p>
        </w:tc>
        <w:tc>
          <w:tcPr>
            <w:tcW w:w="334" w:type="pct"/>
            <w:tcBorders>
              <w:top w:val="nil"/>
              <w:left w:val="nil"/>
              <w:bottom w:val="single" w:sz="8" w:space="0" w:color="auto"/>
              <w:right w:val="single" w:sz="8" w:space="0" w:color="auto"/>
            </w:tcBorders>
            <w:vAlign w:val="center"/>
            <w:hideMark/>
          </w:tcPr>
          <w:p w14:paraId="62A9B3A3"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Supplies</w:t>
            </w:r>
          </w:p>
        </w:tc>
        <w:tc>
          <w:tcPr>
            <w:tcW w:w="363" w:type="pct"/>
            <w:tcBorders>
              <w:top w:val="nil"/>
              <w:left w:val="nil"/>
              <w:bottom w:val="single" w:sz="8" w:space="0" w:color="auto"/>
              <w:right w:val="single" w:sz="8" w:space="0" w:color="auto"/>
            </w:tcBorders>
            <w:noWrap/>
            <w:vAlign w:val="center"/>
            <w:hideMark/>
          </w:tcPr>
          <w:p w14:paraId="235D5A7E"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$1,114 </w:t>
            </w:r>
          </w:p>
        </w:tc>
        <w:tc>
          <w:tcPr>
            <w:tcW w:w="364" w:type="pct"/>
            <w:tcBorders>
              <w:top w:val="nil"/>
              <w:left w:val="nil"/>
              <w:bottom w:val="single" w:sz="8" w:space="0" w:color="auto"/>
              <w:right w:val="single" w:sz="8" w:space="0" w:color="auto"/>
            </w:tcBorders>
            <w:noWrap/>
            <w:vAlign w:val="center"/>
            <w:hideMark/>
          </w:tcPr>
          <w:p w14:paraId="4F656B4A"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$1,509 </w:t>
            </w:r>
          </w:p>
        </w:tc>
        <w:tc>
          <w:tcPr>
            <w:tcW w:w="333" w:type="pct"/>
            <w:tcBorders>
              <w:top w:val="nil"/>
              <w:left w:val="nil"/>
              <w:bottom w:val="single" w:sz="8" w:space="0" w:color="auto"/>
              <w:right w:val="single" w:sz="8" w:space="0" w:color="auto"/>
            </w:tcBorders>
            <w:noWrap/>
            <w:vAlign w:val="center"/>
            <w:hideMark/>
          </w:tcPr>
          <w:p w14:paraId="00D1D5B8"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$683 </w:t>
            </w:r>
          </w:p>
        </w:tc>
        <w:tc>
          <w:tcPr>
            <w:tcW w:w="334" w:type="pct"/>
            <w:tcBorders>
              <w:top w:val="nil"/>
              <w:left w:val="nil"/>
              <w:bottom w:val="single" w:sz="8" w:space="0" w:color="auto"/>
              <w:right w:val="single" w:sz="8" w:space="0" w:color="auto"/>
            </w:tcBorders>
            <w:noWrap/>
            <w:vAlign w:val="center"/>
            <w:hideMark/>
          </w:tcPr>
          <w:p w14:paraId="0D00B389"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$180 </w:t>
            </w:r>
          </w:p>
        </w:tc>
        <w:tc>
          <w:tcPr>
            <w:tcW w:w="276" w:type="pct"/>
            <w:tcBorders>
              <w:top w:val="nil"/>
              <w:left w:val="nil"/>
              <w:bottom w:val="single" w:sz="8" w:space="0" w:color="auto"/>
              <w:right w:val="single" w:sz="8" w:space="0" w:color="auto"/>
            </w:tcBorders>
            <w:vAlign w:val="center"/>
            <w:hideMark/>
          </w:tcPr>
          <w:p w14:paraId="6EF4516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$108 </w:t>
            </w:r>
          </w:p>
        </w:tc>
        <w:tc>
          <w:tcPr>
            <w:tcW w:w="391" w:type="pct"/>
            <w:gridSpan w:val="2"/>
            <w:tcBorders>
              <w:top w:val="nil"/>
              <w:left w:val="nil"/>
              <w:bottom w:val="single" w:sz="8" w:space="0" w:color="auto"/>
              <w:right w:val="single" w:sz="8" w:space="0" w:color="auto"/>
            </w:tcBorders>
            <w:noWrap/>
            <w:vAlign w:val="center"/>
            <w:hideMark/>
          </w:tcPr>
          <w:p w14:paraId="2DE2EDF0"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$3,594 </w:t>
            </w:r>
          </w:p>
        </w:tc>
        <w:tc>
          <w:tcPr>
            <w:tcW w:w="181" w:type="pct"/>
            <w:tcBorders>
              <w:top w:val="nil"/>
              <w:left w:val="nil"/>
              <w:bottom w:val="single" w:sz="8" w:space="0" w:color="auto"/>
              <w:right w:val="single" w:sz="8" w:space="0" w:color="auto"/>
            </w:tcBorders>
            <w:noWrap/>
            <w:vAlign w:val="center"/>
            <w:hideMark/>
          </w:tcPr>
          <w:p w14:paraId="75CEDD70"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10</w:t>
            </w:r>
          </w:p>
        </w:tc>
      </w:tr>
      <w:tr w:rsidR="00170617" w:rsidRPr="002926D7" w14:paraId="5A2D7921" w14:textId="77777777" w:rsidTr="00170617">
        <w:trPr>
          <w:trHeight w:val="288"/>
          <w:jc w:val="center"/>
        </w:trPr>
        <w:tc>
          <w:tcPr>
            <w:tcW w:w="423" w:type="pct"/>
            <w:vMerge/>
            <w:tcBorders>
              <w:left w:val="single" w:sz="8" w:space="0" w:color="auto"/>
              <w:right w:val="single" w:sz="8" w:space="0" w:color="auto"/>
            </w:tcBorders>
            <w:vAlign w:val="center"/>
          </w:tcPr>
          <w:p w14:paraId="7814F9E3" w14:textId="2198E7FB"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57C3636A" w14:textId="0FE65DFB"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7DC9AD59"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D0C395A"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900FBA7"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5C2F3DC"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33120F9F"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74500</w:t>
            </w:r>
          </w:p>
        </w:tc>
        <w:tc>
          <w:tcPr>
            <w:tcW w:w="334" w:type="pct"/>
            <w:tcBorders>
              <w:top w:val="nil"/>
              <w:left w:val="nil"/>
              <w:bottom w:val="single" w:sz="8" w:space="0" w:color="auto"/>
              <w:right w:val="single" w:sz="8" w:space="0" w:color="auto"/>
            </w:tcBorders>
            <w:vAlign w:val="center"/>
            <w:hideMark/>
          </w:tcPr>
          <w:p w14:paraId="56EE124A"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Miscellaneous Expenses</w:t>
            </w:r>
          </w:p>
        </w:tc>
        <w:tc>
          <w:tcPr>
            <w:tcW w:w="363" w:type="pct"/>
            <w:tcBorders>
              <w:top w:val="nil"/>
              <w:left w:val="nil"/>
              <w:bottom w:val="single" w:sz="8" w:space="0" w:color="auto"/>
              <w:right w:val="single" w:sz="8" w:space="0" w:color="auto"/>
            </w:tcBorders>
            <w:noWrap/>
            <w:vAlign w:val="center"/>
            <w:hideMark/>
          </w:tcPr>
          <w:p w14:paraId="06407E5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$1,160 </w:t>
            </w:r>
          </w:p>
        </w:tc>
        <w:tc>
          <w:tcPr>
            <w:tcW w:w="364" w:type="pct"/>
            <w:tcBorders>
              <w:top w:val="nil"/>
              <w:left w:val="nil"/>
              <w:bottom w:val="single" w:sz="8" w:space="0" w:color="auto"/>
              <w:right w:val="single" w:sz="8" w:space="0" w:color="auto"/>
            </w:tcBorders>
            <w:noWrap/>
            <w:vAlign w:val="center"/>
            <w:hideMark/>
          </w:tcPr>
          <w:p w14:paraId="733AD6AB"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$1,572 </w:t>
            </w:r>
          </w:p>
        </w:tc>
        <w:tc>
          <w:tcPr>
            <w:tcW w:w="333" w:type="pct"/>
            <w:tcBorders>
              <w:top w:val="nil"/>
              <w:left w:val="nil"/>
              <w:bottom w:val="single" w:sz="8" w:space="0" w:color="auto"/>
              <w:right w:val="single" w:sz="8" w:space="0" w:color="auto"/>
            </w:tcBorders>
            <w:noWrap/>
            <w:vAlign w:val="center"/>
            <w:hideMark/>
          </w:tcPr>
          <w:p w14:paraId="334A57E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$711 </w:t>
            </w:r>
          </w:p>
        </w:tc>
        <w:tc>
          <w:tcPr>
            <w:tcW w:w="334" w:type="pct"/>
            <w:tcBorders>
              <w:top w:val="nil"/>
              <w:left w:val="nil"/>
              <w:bottom w:val="single" w:sz="8" w:space="0" w:color="auto"/>
              <w:right w:val="single" w:sz="8" w:space="0" w:color="auto"/>
            </w:tcBorders>
            <w:noWrap/>
            <w:vAlign w:val="center"/>
            <w:hideMark/>
          </w:tcPr>
          <w:p w14:paraId="461A3305"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$187 </w:t>
            </w:r>
          </w:p>
        </w:tc>
        <w:tc>
          <w:tcPr>
            <w:tcW w:w="276" w:type="pct"/>
            <w:tcBorders>
              <w:top w:val="nil"/>
              <w:left w:val="nil"/>
              <w:bottom w:val="single" w:sz="8" w:space="0" w:color="auto"/>
              <w:right w:val="single" w:sz="8" w:space="0" w:color="auto"/>
            </w:tcBorders>
            <w:vAlign w:val="center"/>
            <w:hideMark/>
          </w:tcPr>
          <w:p w14:paraId="76243050"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$111 </w:t>
            </w:r>
          </w:p>
        </w:tc>
        <w:tc>
          <w:tcPr>
            <w:tcW w:w="391" w:type="pct"/>
            <w:gridSpan w:val="2"/>
            <w:tcBorders>
              <w:top w:val="nil"/>
              <w:left w:val="nil"/>
              <w:bottom w:val="single" w:sz="8" w:space="0" w:color="auto"/>
              <w:right w:val="single" w:sz="8" w:space="0" w:color="auto"/>
            </w:tcBorders>
            <w:noWrap/>
            <w:vAlign w:val="center"/>
            <w:hideMark/>
          </w:tcPr>
          <w:p w14:paraId="655E63AC"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$3,741 </w:t>
            </w:r>
          </w:p>
        </w:tc>
        <w:tc>
          <w:tcPr>
            <w:tcW w:w="181" w:type="pct"/>
            <w:tcBorders>
              <w:top w:val="nil"/>
              <w:left w:val="nil"/>
              <w:bottom w:val="single" w:sz="8" w:space="0" w:color="auto"/>
              <w:right w:val="single" w:sz="8" w:space="0" w:color="auto"/>
            </w:tcBorders>
            <w:noWrap/>
            <w:vAlign w:val="center"/>
            <w:hideMark/>
          </w:tcPr>
          <w:p w14:paraId="7122AC00"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11</w:t>
            </w:r>
          </w:p>
        </w:tc>
      </w:tr>
      <w:tr w:rsidR="00170617" w:rsidRPr="002926D7" w14:paraId="1DA16A79" w14:textId="77777777" w:rsidTr="00170617">
        <w:trPr>
          <w:trHeight w:val="288"/>
          <w:jc w:val="center"/>
        </w:trPr>
        <w:tc>
          <w:tcPr>
            <w:tcW w:w="423" w:type="pct"/>
            <w:vMerge/>
            <w:tcBorders>
              <w:left w:val="single" w:sz="8" w:space="0" w:color="auto"/>
              <w:right w:val="single" w:sz="8" w:space="0" w:color="auto"/>
            </w:tcBorders>
            <w:vAlign w:val="center"/>
          </w:tcPr>
          <w:p w14:paraId="1D8CCE04" w14:textId="4B78FB29"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3DC83FED" w14:textId="71B44051"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46494415"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3C5C36F"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4E718B8"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40AC28CE"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27A63823"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75700</w:t>
            </w:r>
          </w:p>
        </w:tc>
        <w:tc>
          <w:tcPr>
            <w:tcW w:w="334" w:type="pct"/>
            <w:tcBorders>
              <w:top w:val="nil"/>
              <w:left w:val="nil"/>
              <w:bottom w:val="single" w:sz="8" w:space="0" w:color="auto"/>
              <w:right w:val="single" w:sz="8" w:space="0" w:color="auto"/>
            </w:tcBorders>
            <w:vAlign w:val="center"/>
            <w:hideMark/>
          </w:tcPr>
          <w:p w14:paraId="2EC44D44"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Training, Workshops and Confer</w:t>
            </w:r>
          </w:p>
        </w:tc>
        <w:tc>
          <w:tcPr>
            <w:tcW w:w="363" w:type="pct"/>
            <w:tcBorders>
              <w:top w:val="nil"/>
              <w:left w:val="nil"/>
              <w:bottom w:val="single" w:sz="8" w:space="0" w:color="auto"/>
              <w:right w:val="single" w:sz="8" w:space="0" w:color="auto"/>
            </w:tcBorders>
            <w:noWrap/>
            <w:vAlign w:val="center"/>
            <w:hideMark/>
          </w:tcPr>
          <w:p w14:paraId="3BD4E62C"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$5,639 </w:t>
            </w:r>
          </w:p>
        </w:tc>
        <w:tc>
          <w:tcPr>
            <w:tcW w:w="364" w:type="pct"/>
            <w:tcBorders>
              <w:top w:val="nil"/>
              <w:left w:val="nil"/>
              <w:bottom w:val="single" w:sz="8" w:space="0" w:color="auto"/>
              <w:right w:val="single" w:sz="8" w:space="0" w:color="auto"/>
            </w:tcBorders>
            <w:noWrap/>
            <w:vAlign w:val="center"/>
            <w:hideMark/>
          </w:tcPr>
          <w:p w14:paraId="718EEFDC"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$7,640 </w:t>
            </w:r>
          </w:p>
        </w:tc>
        <w:tc>
          <w:tcPr>
            <w:tcW w:w="333" w:type="pct"/>
            <w:tcBorders>
              <w:top w:val="nil"/>
              <w:left w:val="nil"/>
              <w:bottom w:val="single" w:sz="8" w:space="0" w:color="auto"/>
              <w:right w:val="single" w:sz="8" w:space="0" w:color="auto"/>
            </w:tcBorders>
            <w:noWrap/>
            <w:vAlign w:val="center"/>
            <w:hideMark/>
          </w:tcPr>
          <w:p w14:paraId="1394CEE0"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$3,456 </w:t>
            </w:r>
          </w:p>
        </w:tc>
        <w:tc>
          <w:tcPr>
            <w:tcW w:w="334" w:type="pct"/>
            <w:tcBorders>
              <w:top w:val="nil"/>
              <w:left w:val="nil"/>
              <w:bottom w:val="single" w:sz="8" w:space="0" w:color="auto"/>
              <w:right w:val="single" w:sz="8" w:space="0" w:color="auto"/>
            </w:tcBorders>
            <w:noWrap/>
            <w:vAlign w:val="center"/>
            <w:hideMark/>
          </w:tcPr>
          <w:p w14:paraId="4ED115E8"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$910 </w:t>
            </w:r>
          </w:p>
        </w:tc>
        <w:tc>
          <w:tcPr>
            <w:tcW w:w="276" w:type="pct"/>
            <w:tcBorders>
              <w:top w:val="nil"/>
              <w:left w:val="nil"/>
              <w:bottom w:val="single" w:sz="8" w:space="0" w:color="auto"/>
              <w:right w:val="single" w:sz="8" w:space="0" w:color="auto"/>
            </w:tcBorders>
            <w:vAlign w:val="center"/>
            <w:hideMark/>
          </w:tcPr>
          <w:p w14:paraId="46423767"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$546 </w:t>
            </w:r>
          </w:p>
        </w:tc>
        <w:tc>
          <w:tcPr>
            <w:tcW w:w="391" w:type="pct"/>
            <w:gridSpan w:val="2"/>
            <w:tcBorders>
              <w:top w:val="nil"/>
              <w:left w:val="nil"/>
              <w:bottom w:val="single" w:sz="8" w:space="0" w:color="auto"/>
              <w:right w:val="single" w:sz="8" w:space="0" w:color="auto"/>
            </w:tcBorders>
            <w:noWrap/>
            <w:vAlign w:val="center"/>
            <w:hideMark/>
          </w:tcPr>
          <w:p w14:paraId="75544740"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$18,191 </w:t>
            </w:r>
          </w:p>
        </w:tc>
        <w:tc>
          <w:tcPr>
            <w:tcW w:w="181" w:type="pct"/>
            <w:tcBorders>
              <w:top w:val="nil"/>
              <w:left w:val="nil"/>
              <w:bottom w:val="single" w:sz="8" w:space="0" w:color="auto"/>
              <w:right w:val="single" w:sz="8" w:space="0" w:color="auto"/>
            </w:tcBorders>
            <w:noWrap/>
            <w:vAlign w:val="center"/>
            <w:hideMark/>
          </w:tcPr>
          <w:p w14:paraId="3D3E647A"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6</w:t>
            </w:r>
          </w:p>
        </w:tc>
      </w:tr>
      <w:tr w:rsidR="00170617" w:rsidRPr="002926D7" w14:paraId="3636EC2F" w14:textId="77777777" w:rsidTr="00170617">
        <w:trPr>
          <w:trHeight w:val="288"/>
          <w:jc w:val="center"/>
        </w:trPr>
        <w:tc>
          <w:tcPr>
            <w:tcW w:w="423" w:type="pct"/>
            <w:vMerge/>
            <w:tcBorders>
              <w:left w:val="single" w:sz="8" w:space="0" w:color="auto"/>
              <w:right w:val="single" w:sz="8" w:space="0" w:color="auto"/>
            </w:tcBorders>
            <w:vAlign w:val="center"/>
          </w:tcPr>
          <w:p w14:paraId="547E68BE" w14:textId="4385BCFC"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10851120" w14:textId="03B6AC4B"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5BEEB2C5"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F4D079B"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929AF8E"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4F40CA4E"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039DE596"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61200</w:t>
            </w:r>
          </w:p>
        </w:tc>
        <w:tc>
          <w:tcPr>
            <w:tcW w:w="334" w:type="pct"/>
            <w:tcBorders>
              <w:top w:val="nil"/>
              <w:left w:val="nil"/>
              <w:bottom w:val="single" w:sz="8" w:space="0" w:color="auto"/>
              <w:right w:val="single" w:sz="8" w:space="0" w:color="auto"/>
            </w:tcBorders>
            <w:vAlign w:val="center"/>
            <w:hideMark/>
          </w:tcPr>
          <w:p w14:paraId="5B7D5766"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Salaries Costs - GS Staff</w:t>
            </w:r>
          </w:p>
        </w:tc>
        <w:tc>
          <w:tcPr>
            <w:tcW w:w="363" w:type="pct"/>
            <w:tcBorders>
              <w:top w:val="nil"/>
              <w:left w:val="nil"/>
              <w:bottom w:val="single" w:sz="8" w:space="0" w:color="auto"/>
              <w:right w:val="single" w:sz="8" w:space="0" w:color="auto"/>
            </w:tcBorders>
            <w:noWrap/>
            <w:vAlign w:val="center"/>
            <w:hideMark/>
          </w:tcPr>
          <w:p w14:paraId="728ECED3"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$35,931 </w:t>
            </w:r>
          </w:p>
        </w:tc>
        <w:tc>
          <w:tcPr>
            <w:tcW w:w="364" w:type="pct"/>
            <w:tcBorders>
              <w:top w:val="nil"/>
              <w:left w:val="nil"/>
              <w:bottom w:val="single" w:sz="8" w:space="0" w:color="auto"/>
              <w:right w:val="single" w:sz="8" w:space="0" w:color="auto"/>
            </w:tcBorders>
            <w:noWrap/>
            <w:vAlign w:val="center"/>
            <w:hideMark/>
          </w:tcPr>
          <w:p w14:paraId="6BA16EA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$48,680 </w:t>
            </w:r>
          </w:p>
        </w:tc>
        <w:tc>
          <w:tcPr>
            <w:tcW w:w="333" w:type="pct"/>
            <w:tcBorders>
              <w:top w:val="nil"/>
              <w:left w:val="nil"/>
              <w:bottom w:val="single" w:sz="8" w:space="0" w:color="auto"/>
              <w:right w:val="single" w:sz="8" w:space="0" w:color="auto"/>
            </w:tcBorders>
            <w:noWrap/>
            <w:vAlign w:val="center"/>
            <w:hideMark/>
          </w:tcPr>
          <w:p w14:paraId="2B1E31F7"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$22,022 </w:t>
            </w:r>
          </w:p>
        </w:tc>
        <w:tc>
          <w:tcPr>
            <w:tcW w:w="334" w:type="pct"/>
            <w:tcBorders>
              <w:top w:val="nil"/>
              <w:left w:val="nil"/>
              <w:bottom w:val="single" w:sz="8" w:space="0" w:color="auto"/>
              <w:right w:val="single" w:sz="8" w:space="0" w:color="auto"/>
            </w:tcBorders>
            <w:noWrap/>
            <w:vAlign w:val="center"/>
            <w:hideMark/>
          </w:tcPr>
          <w:p w14:paraId="406FA6F9"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$5,795 </w:t>
            </w:r>
          </w:p>
        </w:tc>
        <w:tc>
          <w:tcPr>
            <w:tcW w:w="276" w:type="pct"/>
            <w:tcBorders>
              <w:top w:val="nil"/>
              <w:left w:val="nil"/>
              <w:bottom w:val="single" w:sz="8" w:space="0" w:color="auto"/>
              <w:right w:val="single" w:sz="8" w:space="0" w:color="auto"/>
            </w:tcBorders>
            <w:vAlign w:val="center"/>
            <w:hideMark/>
          </w:tcPr>
          <w:p w14:paraId="16657AEC"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$3,477 </w:t>
            </w:r>
          </w:p>
        </w:tc>
        <w:tc>
          <w:tcPr>
            <w:tcW w:w="391" w:type="pct"/>
            <w:gridSpan w:val="2"/>
            <w:tcBorders>
              <w:top w:val="nil"/>
              <w:left w:val="nil"/>
              <w:bottom w:val="single" w:sz="8" w:space="0" w:color="auto"/>
              <w:right w:val="single" w:sz="8" w:space="0" w:color="auto"/>
            </w:tcBorders>
            <w:noWrap/>
            <w:vAlign w:val="center"/>
            <w:hideMark/>
          </w:tcPr>
          <w:p w14:paraId="4E2968C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$115,905 </w:t>
            </w:r>
          </w:p>
        </w:tc>
        <w:tc>
          <w:tcPr>
            <w:tcW w:w="181" w:type="pct"/>
            <w:tcBorders>
              <w:top w:val="nil"/>
              <w:left w:val="nil"/>
              <w:bottom w:val="single" w:sz="8" w:space="0" w:color="auto"/>
              <w:right w:val="single" w:sz="8" w:space="0" w:color="auto"/>
            </w:tcBorders>
            <w:noWrap/>
            <w:vAlign w:val="center"/>
            <w:hideMark/>
          </w:tcPr>
          <w:p w14:paraId="25A496B9"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4</w:t>
            </w:r>
          </w:p>
        </w:tc>
      </w:tr>
      <w:tr w:rsidR="00170617" w:rsidRPr="002926D7" w14:paraId="528CD15B" w14:textId="77777777" w:rsidTr="00170617">
        <w:trPr>
          <w:trHeight w:val="288"/>
          <w:jc w:val="center"/>
        </w:trPr>
        <w:tc>
          <w:tcPr>
            <w:tcW w:w="423" w:type="pct"/>
            <w:vMerge/>
            <w:tcBorders>
              <w:left w:val="single" w:sz="8" w:space="0" w:color="auto"/>
              <w:right w:val="single" w:sz="8" w:space="0" w:color="auto"/>
            </w:tcBorders>
            <w:vAlign w:val="center"/>
          </w:tcPr>
          <w:p w14:paraId="740F8AA8" w14:textId="3F171D13"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13474918" w14:textId="5C14436F"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30CBCD26"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58A03D3"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AC16109"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7B476A1"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0137C899"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61300</w:t>
            </w:r>
          </w:p>
        </w:tc>
        <w:tc>
          <w:tcPr>
            <w:tcW w:w="334" w:type="pct"/>
            <w:tcBorders>
              <w:top w:val="nil"/>
              <w:left w:val="nil"/>
              <w:bottom w:val="single" w:sz="8" w:space="0" w:color="auto"/>
              <w:right w:val="single" w:sz="8" w:space="0" w:color="auto"/>
            </w:tcBorders>
            <w:vAlign w:val="center"/>
            <w:hideMark/>
          </w:tcPr>
          <w:p w14:paraId="54173B58"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 xml:space="preserve"> Salary &amp; Post Adj Cst-IP Staff</w:t>
            </w:r>
          </w:p>
        </w:tc>
        <w:tc>
          <w:tcPr>
            <w:tcW w:w="363" w:type="pct"/>
            <w:tcBorders>
              <w:top w:val="nil"/>
              <w:left w:val="nil"/>
              <w:bottom w:val="single" w:sz="8" w:space="0" w:color="auto"/>
              <w:right w:val="single" w:sz="8" w:space="0" w:color="auto"/>
            </w:tcBorders>
            <w:noWrap/>
            <w:vAlign w:val="center"/>
            <w:hideMark/>
          </w:tcPr>
          <w:p w14:paraId="1A4C8DCB"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$65,695 </w:t>
            </w:r>
          </w:p>
        </w:tc>
        <w:tc>
          <w:tcPr>
            <w:tcW w:w="364" w:type="pct"/>
            <w:tcBorders>
              <w:top w:val="nil"/>
              <w:left w:val="nil"/>
              <w:bottom w:val="single" w:sz="8" w:space="0" w:color="auto"/>
              <w:right w:val="single" w:sz="8" w:space="0" w:color="auto"/>
            </w:tcBorders>
            <w:noWrap/>
            <w:vAlign w:val="center"/>
            <w:hideMark/>
          </w:tcPr>
          <w:p w14:paraId="05E8562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$89,007 </w:t>
            </w:r>
          </w:p>
        </w:tc>
        <w:tc>
          <w:tcPr>
            <w:tcW w:w="333" w:type="pct"/>
            <w:tcBorders>
              <w:top w:val="nil"/>
              <w:left w:val="nil"/>
              <w:bottom w:val="single" w:sz="8" w:space="0" w:color="auto"/>
              <w:right w:val="single" w:sz="8" w:space="0" w:color="auto"/>
            </w:tcBorders>
            <w:noWrap/>
            <w:vAlign w:val="center"/>
            <w:hideMark/>
          </w:tcPr>
          <w:p w14:paraId="3D3CD800"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$40,265 </w:t>
            </w:r>
          </w:p>
        </w:tc>
        <w:tc>
          <w:tcPr>
            <w:tcW w:w="334" w:type="pct"/>
            <w:tcBorders>
              <w:top w:val="nil"/>
              <w:left w:val="nil"/>
              <w:bottom w:val="single" w:sz="8" w:space="0" w:color="auto"/>
              <w:right w:val="single" w:sz="8" w:space="0" w:color="auto"/>
            </w:tcBorders>
            <w:noWrap/>
            <w:vAlign w:val="center"/>
            <w:hideMark/>
          </w:tcPr>
          <w:p w14:paraId="623751B0"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$10,596 </w:t>
            </w:r>
          </w:p>
        </w:tc>
        <w:tc>
          <w:tcPr>
            <w:tcW w:w="276" w:type="pct"/>
            <w:tcBorders>
              <w:top w:val="nil"/>
              <w:left w:val="nil"/>
              <w:bottom w:val="single" w:sz="8" w:space="0" w:color="auto"/>
              <w:right w:val="single" w:sz="8" w:space="0" w:color="auto"/>
            </w:tcBorders>
            <w:vAlign w:val="center"/>
            <w:hideMark/>
          </w:tcPr>
          <w:p w14:paraId="7F45B708"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$6,358 </w:t>
            </w:r>
          </w:p>
        </w:tc>
        <w:tc>
          <w:tcPr>
            <w:tcW w:w="391" w:type="pct"/>
            <w:gridSpan w:val="2"/>
            <w:tcBorders>
              <w:top w:val="nil"/>
              <w:left w:val="nil"/>
              <w:bottom w:val="single" w:sz="8" w:space="0" w:color="auto"/>
              <w:right w:val="single" w:sz="8" w:space="0" w:color="auto"/>
            </w:tcBorders>
            <w:noWrap/>
            <w:vAlign w:val="center"/>
            <w:hideMark/>
          </w:tcPr>
          <w:p w14:paraId="308BB5E7"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$211,921 </w:t>
            </w:r>
          </w:p>
        </w:tc>
        <w:tc>
          <w:tcPr>
            <w:tcW w:w="181" w:type="pct"/>
            <w:tcBorders>
              <w:top w:val="nil"/>
              <w:left w:val="nil"/>
              <w:bottom w:val="single" w:sz="8" w:space="0" w:color="auto"/>
              <w:right w:val="single" w:sz="8" w:space="0" w:color="auto"/>
            </w:tcBorders>
            <w:noWrap/>
            <w:vAlign w:val="center"/>
            <w:hideMark/>
          </w:tcPr>
          <w:p w14:paraId="7ACE2C77"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4</w:t>
            </w:r>
          </w:p>
        </w:tc>
      </w:tr>
      <w:tr w:rsidR="00170617" w:rsidRPr="002926D7" w14:paraId="74F147AF" w14:textId="77777777" w:rsidTr="00170617">
        <w:trPr>
          <w:trHeight w:val="288"/>
          <w:jc w:val="center"/>
        </w:trPr>
        <w:tc>
          <w:tcPr>
            <w:tcW w:w="423" w:type="pct"/>
            <w:vMerge/>
            <w:tcBorders>
              <w:left w:val="single" w:sz="8" w:space="0" w:color="auto"/>
              <w:right w:val="single" w:sz="8" w:space="0" w:color="auto"/>
            </w:tcBorders>
            <w:vAlign w:val="center"/>
          </w:tcPr>
          <w:p w14:paraId="7F488146" w14:textId="0291298E"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1B9445E1" w14:textId="564AF5A7"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22498E80" w14:textId="77777777" w:rsidR="001506D3" w:rsidRPr="002926D7" w:rsidRDefault="001506D3" w:rsidP="002926D7">
            <w:pPr>
              <w:contextualSpacing/>
              <w:jc w:val="left"/>
              <w:rPr>
                <w:rFonts w:eastAsia="Times New Roman" w:cs="Calibri"/>
                <w:i/>
                <w:iCs/>
                <w:color w:val="000000"/>
                <w:sz w:val="14"/>
                <w:szCs w:val="14"/>
              </w:rPr>
            </w:pPr>
          </w:p>
        </w:tc>
        <w:tc>
          <w:tcPr>
            <w:tcW w:w="1428" w:type="pct"/>
            <w:gridSpan w:val="5"/>
            <w:tcBorders>
              <w:top w:val="single" w:sz="8" w:space="0" w:color="auto"/>
              <w:left w:val="nil"/>
              <w:bottom w:val="single" w:sz="8" w:space="0" w:color="auto"/>
              <w:right w:val="nil"/>
            </w:tcBorders>
            <w:vAlign w:val="center"/>
            <w:hideMark/>
          </w:tcPr>
          <w:p w14:paraId="7AEC7C18" w14:textId="77777777" w:rsidR="001506D3" w:rsidRPr="002926D7" w:rsidRDefault="001506D3" w:rsidP="002926D7">
            <w:pPr>
              <w:ind w:right="-8"/>
              <w:contextualSpacing/>
              <w:rPr>
                <w:rFonts w:eastAsia="Times New Roman" w:cs="Calibri"/>
                <w:b/>
                <w:bCs/>
                <w:i/>
                <w:iCs/>
                <w:color w:val="000000"/>
                <w:sz w:val="14"/>
                <w:szCs w:val="14"/>
              </w:rPr>
            </w:pPr>
            <w:r w:rsidRPr="002926D7">
              <w:rPr>
                <w:rFonts w:eastAsia="Times New Roman" w:cs="Calibri"/>
                <w:b/>
                <w:bCs/>
                <w:i/>
                <w:iCs/>
                <w:color w:val="000000"/>
                <w:sz w:val="14"/>
                <w:szCs w:val="14"/>
              </w:rPr>
              <w:t>Total UNDP</w:t>
            </w:r>
          </w:p>
        </w:tc>
        <w:tc>
          <w:tcPr>
            <w:tcW w:w="363" w:type="pct"/>
            <w:tcBorders>
              <w:top w:val="nil"/>
              <w:left w:val="nil"/>
              <w:bottom w:val="single" w:sz="8" w:space="0" w:color="auto"/>
              <w:right w:val="single" w:sz="8" w:space="0" w:color="auto"/>
            </w:tcBorders>
            <w:noWrap/>
            <w:vAlign w:val="center"/>
            <w:hideMark/>
          </w:tcPr>
          <w:p w14:paraId="5D619C61"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$426,384 </w:t>
            </w:r>
          </w:p>
        </w:tc>
        <w:tc>
          <w:tcPr>
            <w:tcW w:w="364" w:type="pct"/>
            <w:tcBorders>
              <w:top w:val="nil"/>
              <w:left w:val="nil"/>
              <w:bottom w:val="single" w:sz="8" w:space="0" w:color="auto"/>
              <w:right w:val="single" w:sz="8" w:space="0" w:color="auto"/>
            </w:tcBorders>
            <w:noWrap/>
            <w:vAlign w:val="center"/>
            <w:hideMark/>
          </w:tcPr>
          <w:p w14:paraId="04B9123A"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$577,682 </w:t>
            </w:r>
          </w:p>
        </w:tc>
        <w:tc>
          <w:tcPr>
            <w:tcW w:w="333" w:type="pct"/>
            <w:tcBorders>
              <w:top w:val="nil"/>
              <w:left w:val="nil"/>
              <w:bottom w:val="single" w:sz="8" w:space="0" w:color="auto"/>
              <w:right w:val="single" w:sz="8" w:space="0" w:color="auto"/>
            </w:tcBorders>
            <w:noWrap/>
            <w:vAlign w:val="center"/>
            <w:hideMark/>
          </w:tcPr>
          <w:p w14:paraId="4AFCFE81"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$261,333 </w:t>
            </w:r>
          </w:p>
        </w:tc>
        <w:tc>
          <w:tcPr>
            <w:tcW w:w="334" w:type="pct"/>
            <w:tcBorders>
              <w:top w:val="nil"/>
              <w:left w:val="nil"/>
              <w:bottom w:val="single" w:sz="8" w:space="0" w:color="auto"/>
              <w:right w:val="single" w:sz="8" w:space="0" w:color="auto"/>
            </w:tcBorders>
            <w:noWrap/>
            <w:vAlign w:val="center"/>
            <w:hideMark/>
          </w:tcPr>
          <w:p w14:paraId="66BC86FC"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$68,773 </w:t>
            </w:r>
          </w:p>
        </w:tc>
        <w:tc>
          <w:tcPr>
            <w:tcW w:w="276" w:type="pct"/>
            <w:tcBorders>
              <w:top w:val="nil"/>
              <w:left w:val="nil"/>
              <w:bottom w:val="single" w:sz="8" w:space="0" w:color="auto"/>
              <w:right w:val="single" w:sz="8" w:space="0" w:color="auto"/>
            </w:tcBorders>
            <w:noWrap/>
            <w:vAlign w:val="center"/>
            <w:hideMark/>
          </w:tcPr>
          <w:p w14:paraId="69934F81"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$41,262 </w:t>
            </w:r>
          </w:p>
        </w:tc>
        <w:tc>
          <w:tcPr>
            <w:tcW w:w="391" w:type="pct"/>
            <w:gridSpan w:val="2"/>
            <w:tcBorders>
              <w:top w:val="nil"/>
              <w:left w:val="nil"/>
              <w:bottom w:val="single" w:sz="8" w:space="0" w:color="auto"/>
              <w:right w:val="single" w:sz="8" w:space="0" w:color="auto"/>
            </w:tcBorders>
            <w:noWrap/>
            <w:vAlign w:val="center"/>
            <w:hideMark/>
          </w:tcPr>
          <w:p w14:paraId="535DFF86"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$1,375,434 </w:t>
            </w:r>
          </w:p>
        </w:tc>
        <w:tc>
          <w:tcPr>
            <w:tcW w:w="181" w:type="pct"/>
            <w:tcBorders>
              <w:top w:val="nil"/>
              <w:left w:val="nil"/>
              <w:bottom w:val="single" w:sz="8" w:space="0" w:color="auto"/>
              <w:right w:val="single" w:sz="8" w:space="0" w:color="auto"/>
            </w:tcBorders>
            <w:noWrap/>
            <w:vAlign w:val="center"/>
            <w:hideMark/>
          </w:tcPr>
          <w:p w14:paraId="58209497"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4537AB24" w14:textId="77777777" w:rsidTr="00170617">
        <w:trPr>
          <w:trHeight w:val="288"/>
          <w:jc w:val="center"/>
        </w:trPr>
        <w:tc>
          <w:tcPr>
            <w:tcW w:w="423" w:type="pct"/>
            <w:vMerge/>
            <w:tcBorders>
              <w:left w:val="single" w:sz="8" w:space="0" w:color="auto"/>
              <w:right w:val="single" w:sz="8" w:space="0" w:color="auto"/>
            </w:tcBorders>
            <w:vAlign w:val="center"/>
          </w:tcPr>
          <w:p w14:paraId="6757F4D1" w14:textId="156ED076"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bottom w:val="nil"/>
              <w:right w:val="single" w:sz="8" w:space="0" w:color="auto"/>
            </w:tcBorders>
            <w:vAlign w:val="center"/>
            <w:hideMark/>
          </w:tcPr>
          <w:p w14:paraId="3457D3AA" w14:textId="18EB603A" w:rsidR="001506D3" w:rsidRPr="002926D7" w:rsidRDefault="001506D3" w:rsidP="002926D7">
            <w:pPr>
              <w:contextualSpacing/>
              <w:jc w:val="left"/>
              <w:rPr>
                <w:rFonts w:eastAsia="Times New Roman" w:cs="Calibri"/>
                <w:i/>
                <w:iCs/>
                <w:color w:val="000000"/>
                <w:sz w:val="14"/>
                <w:szCs w:val="14"/>
              </w:rPr>
            </w:pPr>
          </w:p>
        </w:tc>
        <w:tc>
          <w:tcPr>
            <w:tcW w:w="1881" w:type="pct"/>
            <w:gridSpan w:val="6"/>
            <w:tcBorders>
              <w:top w:val="single" w:sz="8" w:space="0" w:color="auto"/>
              <w:left w:val="nil"/>
              <w:bottom w:val="single" w:sz="8" w:space="0" w:color="auto"/>
              <w:right w:val="nil"/>
            </w:tcBorders>
            <w:vAlign w:val="center"/>
            <w:hideMark/>
          </w:tcPr>
          <w:p w14:paraId="285FDD27" w14:textId="77777777" w:rsidR="001506D3" w:rsidRPr="002926D7" w:rsidRDefault="001506D3" w:rsidP="002926D7">
            <w:pPr>
              <w:ind w:right="-8"/>
              <w:contextualSpacing/>
              <w:rPr>
                <w:rFonts w:eastAsia="Times New Roman" w:cs="Calibri"/>
                <w:i/>
                <w:iCs/>
                <w:color w:val="000000"/>
                <w:sz w:val="14"/>
                <w:szCs w:val="14"/>
              </w:rPr>
            </w:pPr>
            <w:r w:rsidRPr="002926D7">
              <w:rPr>
                <w:rFonts w:eastAsia="Times New Roman" w:cs="Calibri"/>
                <w:i/>
                <w:iCs/>
                <w:color w:val="000000"/>
                <w:sz w:val="14"/>
                <w:szCs w:val="14"/>
              </w:rPr>
              <w:t>Total Output 3.1.3</w:t>
            </w:r>
          </w:p>
        </w:tc>
        <w:tc>
          <w:tcPr>
            <w:tcW w:w="363" w:type="pct"/>
            <w:tcBorders>
              <w:top w:val="nil"/>
              <w:left w:val="nil"/>
              <w:bottom w:val="single" w:sz="8" w:space="0" w:color="auto"/>
              <w:right w:val="single" w:sz="8" w:space="0" w:color="auto"/>
            </w:tcBorders>
            <w:noWrap/>
            <w:vAlign w:val="center"/>
            <w:hideMark/>
          </w:tcPr>
          <w:p w14:paraId="00B3E415"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$426,384 </w:t>
            </w:r>
          </w:p>
        </w:tc>
        <w:tc>
          <w:tcPr>
            <w:tcW w:w="364" w:type="pct"/>
            <w:tcBorders>
              <w:top w:val="nil"/>
              <w:left w:val="nil"/>
              <w:bottom w:val="single" w:sz="8" w:space="0" w:color="auto"/>
              <w:right w:val="single" w:sz="8" w:space="0" w:color="auto"/>
            </w:tcBorders>
            <w:noWrap/>
            <w:vAlign w:val="center"/>
            <w:hideMark/>
          </w:tcPr>
          <w:p w14:paraId="1041B4FA"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$577,682 </w:t>
            </w:r>
          </w:p>
        </w:tc>
        <w:tc>
          <w:tcPr>
            <w:tcW w:w="333" w:type="pct"/>
            <w:tcBorders>
              <w:top w:val="nil"/>
              <w:left w:val="nil"/>
              <w:bottom w:val="single" w:sz="8" w:space="0" w:color="auto"/>
              <w:right w:val="single" w:sz="8" w:space="0" w:color="auto"/>
            </w:tcBorders>
            <w:noWrap/>
            <w:vAlign w:val="center"/>
            <w:hideMark/>
          </w:tcPr>
          <w:p w14:paraId="43C888E7"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$261,333 </w:t>
            </w:r>
          </w:p>
        </w:tc>
        <w:tc>
          <w:tcPr>
            <w:tcW w:w="334" w:type="pct"/>
            <w:tcBorders>
              <w:top w:val="nil"/>
              <w:left w:val="nil"/>
              <w:bottom w:val="single" w:sz="8" w:space="0" w:color="auto"/>
              <w:right w:val="single" w:sz="8" w:space="0" w:color="auto"/>
            </w:tcBorders>
            <w:noWrap/>
            <w:vAlign w:val="center"/>
            <w:hideMark/>
          </w:tcPr>
          <w:p w14:paraId="7F38E017"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$68,773 </w:t>
            </w:r>
          </w:p>
        </w:tc>
        <w:tc>
          <w:tcPr>
            <w:tcW w:w="276" w:type="pct"/>
            <w:tcBorders>
              <w:top w:val="nil"/>
              <w:left w:val="nil"/>
              <w:bottom w:val="single" w:sz="8" w:space="0" w:color="auto"/>
              <w:right w:val="single" w:sz="8" w:space="0" w:color="auto"/>
            </w:tcBorders>
            <w:noWrap/>
            <w:vAlign w:val="center"/>
            <w:hideMark/>
          </w:tcPr>
          <w:p w14:paraId="43F9D687"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$41,262 </w:t>
            </w:r>
          </w:p>
        </w:tc>
        <w:tc>
          <w:tcPr>
            <w:tcW w:w="391" w:type="pct"/>
            <w:gridSpan w:val="2"/>
            <w:tcBorders>
              <w:top w:val="nil"/>
              <w:left w:val="nil"/>
              <w:bottom w:val="single" w:sz="8" w:space="0" w:color="auto"/>
              <w:right w:val="single" w:sz="8" w:space="0" w:color="auto"/>
            </w:tcBorders>
            <w:noWrap/>
            <w:vAlign w:val="center"/>
            <w:hideMark/>
          </w:tcPr>
          <w:p w14:paraId="62A7E2C4"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$1,375,434 </w:t>
            </w:r>
          </w:p>
        </w:tc>
        <w:tc>
          <w:tcPr>
            <w:tcW w:w="181" w:type="pct"/>
            <w:tcBorders>
              <w:top w:val="nil"/>
              <w:left w:val="nil"/>
              <w:bottom w:val="single" w:sz="8" w:space="0" w:color="auto"/>
              <w:right w:val="single" w:sz="8" w:space="0" w:color="auto"/>
            </w:tcBorders>
            <w:noWrap/>
            <w:vAlign w:val="center"/>
            <w:hideMark/>
          </w:tcPr>
          <w:p w14:paraId="5DB35E5B"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67427FA1" w14:textId="77777777" w:rsidTr="00170617">
        <w:trPr>
          <w:trHeight w:val="288"/>
          <w:jc w:val="center"/>
        </w:trPr>
        <w:tc>
          <w:tcPr>
            <w:tcW w:w="423" w:type="pct"/>
            <w:vMerge/>
            <w:tcBorders>
              <w:left w:val="single" w:sz="8" w:space="0" w:color="auto"/>
              <w:bottom w:val="nil"/>
              <w:right w:val="single" w:sz="8" w:space="0" w:color="auto"/>
            </w:tcBorders>
            <w:vAlign w:val="center"/>
            <w:hideMark/>
          </w:tcPr>
          <w:p w14:paraId="03AD5501" w14:textId="26CA7D37" w:rsidR="001506D3" w:rsidRPr="002926D7" w:rsidRDefault="001506D3" w:rsidP="002926D7">
            <w:pPr>
              <w:contextualSpacing/>
              <w:jc w:val="left"/>
              <w:rPr>
                <w:rFonts w:eastAsia="Times New Roman" w:cs="Calibri"/>
                <w:i/>
                <w:iCs/>
                <w:color w:val="000000"/>
                <w:sz w:val="14"/>
                <w:szCs w:val="14"/>
              </w:rPr>
            </w:pPr>
          </w:p>
        </w:tc>
        <w:tc>
          <w:tcPr>
            <w:tcW w:w="2335" w:type="pct"/>
            <w:gridSpan w:val="7"/>
            <w:tcBorders>
              <w:top w:val="single" w:sz="8" w:space="0" w:color="auto"/>
              <w:left w:val="nil"/>
              <w:bottom w:val="single" w:sz="8" w:space="0" w:color="auto"/>
              <w:right w:val="nil"/>
            </w:tcBorders>
            <w:vAlign w:val="center"/>
            <w:hideMark/>
          </w:tcPr>
          <w:p w14:paraId="2BA2C16F" w14:textId="77777777" w:rsidR="001506D3" w:rsidRPr="002926D7" w:rsidRDefault="001506D3" w:rsidP="002926D7">
            <w:pPr>
              <w:ind w:right="-8"/>
              <w:contextualSpacing/>
              <w:jc w:val="left"/>
              <w:rPr>
                <w:rFonts w:eastAsia="Times New Roman" w:cs="Calibri"/>
                <w:i/>
                <w:iCs/>
                <w:color w:val="000000"/>
                <w:sz w:val="14"/>
                <w:szCs w:val="14"/>
              </w:rPr>
            </w:pPr>
            <w:r w:rsidRPr="002926D7">
              <w:rPr>
                <w:rFonts w:eastAsia="Times New Roman" w:cs="Calibri"/>
                <w:i/>
                <w:iCs/>
                <w:color w:val="000000"/>
                <w:sz w:val="14"/>
                <w:szCs w:val="14"/>
              </w:rPr>
              <w:t>Total Outcome 3.1.</w:t>
            </w:r>
          </w:p>
        </w:tc>
        <w:tc>
          <w:tcPr>
            <w:tcW w:w="363" w:type="pct"/>
            <w:tcBorders>
              <w:top w:val="nil"/>
              <w:left w:val="nil"/>
              <w:bottom w:val="single" w:sz="8" w:space="0" w:color="auto"/>
              <w:right w:val="single" w:sz="8" w:space="0" w:color="auto"/>
            </w:tcBorders>
            <w:noWrap/>
            <w:vAlign w:val="center"/>
            <w:hideMark/>
          </w:tcPr>
          <w:p w14:paraId="1DE39066" w14:textId="77777777" w:rsidR="001506D3" w:rsidRPr="002926D7" w:rsidRDefault="001506D3" w:rsidP="002926D7">
            <w:pPr>
              <w:ind w:left="-75"/>
              <w:contextualSpacing/>
              <w:rPr>
                <w:rFonts w:eastAsia="Times New Roman" w:cs="Calibri"/>
                <w:b/>
                <w:bCs/>
                <w:color w:val="000000"/>
                <w:sz w:val="14"/>
                <w:szCs w:val="14"/>
              </w:rPr>
            </w:pPr>
            <w:r w:rsidRPr="002926D7">
              <w:rPr>
                <w:rFonts w:eastAsia="Times New Roman" w:cs="Calibri"/>
                <w:b/>
                <w:bCs/>
                <w:color w:val="000000"/>
                <w:sz w:val="14"/>
                <w:szCs w:val="14"/>
              </w:rPr>
              <w:t xml:space="preserve">$1,279,154 </w:t>
            </w:r>
          </w:p>
        </w:tc>
        <w:tc>
          <w:tcPr>
            <w:tcW w:w="364" w:type="pct"/>
            <w:tcBorders>
              <w:top w:val="nil"/>
              <w:left w:val="nil"/>
              <w:bottom w:val="single" w:sz="8" w:space="0" w:color="auto"/>
              <w:right w:val="single" w:sz="8" w:space="0" w:color="auto"/>
            </w:tcBorders>
            <w:noWrap/>
            <w:vAlign w:val="center"/>
            <w:hideMark/>
          </w:tcPr>
          <w:p w14:paraId="3E276110"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$1,733,048 </w:t>
            </w:r>
          </w:p>
        </w:tc>
        <w:tc>
          <w:tcPr>
            <w:tcW w:w="333" w:type="pct"/>
            <w:tcBorders>
              <w:top w:val="nil"/>
              <w:left w:val="nil"/>
              <w:bottom w:val="single" w:sz="8" w:space="0" w:color="auto"/>
              <w:right w:val="single" w:sz="8" w:space="0" w:color="auto"/>
            </w:tcBorders>
            <w:noWrap/>
            <w:vAlign w:val="center"/>
            <w:hideMark/>
          </w:tcPr>
          <w:p w14:paraId="07C36BA6"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$783,999 </w:t>
            </w:r>
          </w:p>
        </w:tc>
        <w:tc>
          <w:tcPr>
            <w:tcW w:w="334" w:type="pct"/>
            <w:tcBorders>
              <w:top w:val="nil"/>
              <w:left w:val="nil"/>
              <w:bottom w:val="single" w:sz="8" w:space="0" w:color="auto"/>
              <w:right w:val="single" w:sz="8" w:space="0" w:color="auto"/>
            </w:tcBorders>
            <w:noWrap/>
            <w:vAlign w:val="center"/>
            <w:hideMark/>
          </w:tcPr>
          <w:p w14:paraId="6F0561B2"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$206,316 </w:t>
            </w:r>
          </w:p>
        </w:tc>
        <w:tc>
          <w:tcPr>
            <w:tcW w:w="279" w:type="pct"/>
            <w:gridSpan w:val="2"/>
            <w:tcBorders>
              <w:top w:val="nil"/>
              <w:left w:val="nil"/>
              <w:bottom w:val="single" w:sz="8" w:space="0" w:color="auto"/>
              <w:right w:val="single" w:sz="8" w:space="0" w:color="auto"/>
            </w:tcBorders>
            <w:noWrap/>
            <w:vAlign w:val="center"/>
            <w:hideMark/>
          </w:tcPr>
          <w:p w14:paraId="3C81D1D1"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$123,785 </w:t>
            </w:r>
          </w:p>
        </w:tc>
        <w:tc>
          <w:tcPr>
            <w:tcW w:w="388" w:type="pct"/>
            <w:tcBorders>
              <w:top w:val="nil"/>
              <w:left w:val="nil"/>
              <w:bottom w:val="single" w:sz="8" w:space="0" w:color="auto"/>
              <w:right w:val="single" w:sz="8" w:space="0" w:color="auto"/>
            </w:tcBorders>
            <w:noWrap/>
            <w:vAlign w:val="center"/>
            <w:hideMark/>
          </w:tcPr>
          <w:p w14:paraId="5B5B04FB"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$4,126,302 </w:t>
            </w:r>
          </w:p>
        </w:tc>
        <w:tc>
          <w:tcPr>
            <w:tcW w:w="181" w:type="pct"/>
            <w:tcBorders>
              <w:top w:val="nil"/>
              <w:left w:val="nil"/>
              <w:bottom w:val="single" w:sz="8" w:space="0" w:color="auto"/>
              <w:right w:val="single" w:sz="8" w:space="0" w:color="auto"/>
            </w:tcBorders>
            <w:noWrap/>
            <w:vAlign w:val="center"/>
            <w:hideMark/>
          </w:tcPr>
          <w:p w14:paraId="4DDB0B04"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62B65EB6" w14:textId="77777777" w:rsidTr="00170617">
        <w:trPr>
          <w:trHeight w:val="288"/>
          <w:jc w:val="center"/>
        </w:trPr>
        <w:tc>
          <w:tcPr>
            <w:tcW w:w="423" w:type="pct"/>
            <w:vMerge w:val="restart"/>
            <w:tcBorders>
              <w:top w:val="single" w:sz="8" w:space="0" w:color="auto"/>
              <w:left w:val="single" w:sz="8" w:space="0" w:color="auto"/>
              <w:right w:val="single" w:sz="8" w:space="0" w:color="auto"/>
            </w:tcBorders>
            <w:vAlign w:val="center"/>
          </w:tcPr>
          <w:p w14:paraId="7D2721E5" w14:textId="5737C65D" w:rsidR="001506D3" w:rsidRPr="002926D7" w:rsidRDefault="001506D3"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 xml:space="preserve">Component 4: Monitoring &amp; Evaluation  </w:t>
            </w:r>
          </w:p>
        </w:tc>
        <w:tc>
          <w:tcPr>
            <w:tcW w:w="454" w:type="pct"/>
            <w:vMerge w:val="restart"/>
            <w:tcBorders>
              <w:top w:val="nil"/>
              <w:left w:val="nil"/>
              <w:right w:val="single" w:sz="8" w:space="0" w:color="auto"/>
            </w:tcBorders>
            <w:vAlign w:val="center"/>
          </w:tcPr>
          <w:p w14:paraId="614C494C" w14:textId="7B5598B4" w:rsidR="001506D3" w:rsidRPr="002926D7" w:rsidRDefault="001506D3"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 xml:space="preserve">Outcome 4.1. Scale, durability and impact of locally-led community action strengthend through monitoring, </w:t>
            </w:r>
            <w:r w:rsidRPr="002926D7">
              <w:rPr>
                <w:rFonts w:eastAsia="Times New Roman" w:cs="Calibri"/>
                <w:i/>
                <w:iCs/>
                <w:color w:val="000000"/>
                <w:sz w:val="14"/>
                <w:szCs w:val="14"/>
              </w:rPr>
              <w:lastRenderedPageBreak/>
              <w:t>evaluation and evidence-based learning.</w:t>
            </w:r>
          </w:p>
        </w:tc>
        <w:tc>
          <w:tcPr>
            <w:tcW w:w="454" w:type="pct"/>
            <w:vMerge w:val="restart"/>
            <w:tcBorders>
              <w:top w:val="nil"/>
              <w:left w:val="single" w:sz="8" w:space="0" w:color="auto"/>
              <w:bottom w:val="single" w:sz="8" w:space="0" w:color="000000"/>
              <w:right w:val="single" w:sz="8" w:space="0" w:color="auto"/>
            </w:tcBorders>
            <w:vAlign w:val="center"/>
            <w:hideMark/>
          </w:tcPr>
          <w:p w14:paraId="46A4D33B" w14:textId="77777777" w:rsidR="001506D3" w:rsidRPr="002926D7" w:rsidRDefault="001506D3"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lastRenderedPageBreak/>
              <w:t xml:space="preserve">Output 4.1.1. Participatory monitoring of project implementation, including through digital means, </w:t>
            </w:r>
            <w:r w:rsidRPr="002926D7">
              <w:rPr>
                <w:rFonts w:eastAsia="Times New Roman" w:cs="Calibri"/>
                <w:i/>
                <w:iCs/>
                <w:color w:val="000000"/>
                <w:sz w:val="14"/>
                <w:szCs w:val="14"/>
              </w:rPr>
              <w:lastRenderedPageBreak/>
              <w:t>enabling timely adaptive measures and codification of results  and lessons.</w:t>
            </w:r>
          </w:p>
        </w:tc>
        <w:tc>
          <w:tcPr>
            <w:tcW w:w="273" w:type="pct"/>
            <w:vMerge w:val="restart"/>
            <w:tcBorders>
              <w:top w:val="nil"/>
              <w:left w:val="single" w:sz="8" w:space="0" w:color="auto"/>
              <w:bottom w:val="single" w:sz="8" w:space="0" w:color="000000"/>
              <w:right w:val="single" w:sz="8" w:space="0" w:color="auto"/>
            </w:tcBorders>
            <w:vAlign w:val="center"/>
            <w:hideMark/>
          </w:tcPr>
          <w:p w14:paraId="3C486A7B" w14:textId="77777777" w:rsidR="001506D3" w:rsidRPr="002926D7" w:rsidRDefault="001506D3"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lastRenderedPageBreak/>
              <w:t>UNDP</w:t>
            </w:r>
          </w:p>
        </w:tc>
        <w:tc>
          <w:tcPr>
            <w:tcW w:w="273" w:type="pct"/>
            <w:vMerge w:val="restart"/>
            <w:tcBorders>
              <w:top w:val="nil"/>
              <w:left w:val="single" w:sz="8" w:space="0" w:color="auto"/>
              <w:bottom w:val="single" w:sz="8" w:space="0" w:color="000000"/>
              <w:right w:val="single" w:sz="8" w:space="0" w:color="auto"/>
            </w:tcBorders>
            <w:vAlign w:val="center"/>
            <w:hideMark/>
          </w:tcPr>
          <w:p w14:paraId="4129C7AD"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62000</w:t>
            </w:r>
          </w:p>
        </w:tc>
        <w:tc>
          <w:tcPr>
            <w:tcW w:w="273" w:type="pct"/>
            <w:vMerge w:val="restart"/>
            <w:tcBorders>
              <w:top w:val="nil"/>
              <w:left w:val="single" w:sz="8" w:space="0" w:color="auto"/>
              <w:bottom w:val="single" w:sz="8" w:space="0" w:color="000000"/>
              <w:right w:val="single" w:sz="8" w:space="0" w:color="auto"/>
            </w:tcBorders>
            <w:vAlign w:val="center"/>
            <w:hideMark/>
          </w:tcPr>
          <w:p w14:paraId="7ADE0D43" w14:textId="77777777" w:rsidR="001506D3" w:rsidRPr="002926D7" w:rsidRDefault="001506D3" w:rsidP="002926D7">
            <w:pPr>
              <w:ind w:right="-8"/>
              <w:contextualSpacing/>
              <w:jc w:val="center"/>
              <w:rPr>
                <w:rFonts w:eastAsia="Times New Roman" w:cs="Calibri"/>
                <w:i/>
                <w:iCs/>
                <w:color w:val="000000"/>
                <w:sz w:val="14"/>
                <w:szCs w:val="14"/>
              </w:rPr>
            </w:pPr>
            <w:r w:rsidRPr="002926D7">
              <w:rPr>
                <w:rFonts w:eastAsia="Times New Roman" w:cs="Calibri"/>
                <w:i/>
                <w:iCs/>
                <w:color w:val="000000"/>
                <w:sz w:val="14"/>
                <w:szCs w:val="14"/>
              </w:rPr>
              <w:t>10003</w:t>
            </w:r>
          </w:p>
        </w:tc>
        <w:tc>
          <w:tcPr>
            <w:tcW w:w="275" w:type="pct"/>
            <w:tcBorders>
              <w:top w:val="nil"/>
              <w:left w:val="nil"/>
              <w:bottom w:val="single" w:sz="8" w:space="0" w:color="auto"/>
              <w:right w:val="single" w:sz="8" w:space="0" w:color="auto"/>
            </w:tcBorders>
            <w:vAlign w:val="center"/>
            <w:hideMark/>
          </w:tcPr>
          <w:p w14:paraId="33AFC63E"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71200</w:t>
            </w:r>
          </w:p>
        </w:tc>
        <w:tc>
          <w:tcPr>
            <w:tcW w:w="334" w:type="pct"/>
            <w:tcBorders>
              <w:top w:val="nil"/>
              <w:left w:val="nil"/>
              <w:bottom w:val="single" w:sz="8" w:space="0" w:color="auto"/>
              <w:right w:val="single" w:sz="8" w:space="0" w:color="auto"/>
            </w:tcBorders>
            <w:vAlign w:val="center"/>
            <w:hideMark/>
          </w:tcPr>
          <w:p w14:paraId="7954F895"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International Consultants</w:t>
            </w:r>
          </w:p>
        </w:tc>
        <w:tc>
          <w:tcPr>
            <w:tcW w:w="363" w:type="pct"/>
            <w:tcBorders>
              <w:top w:val="nil"/>
              <w:left w:val="nil"/>
              <w:bottom w:val="single" w:sz="8" w:space="0" w:color="auto"/>
              <w:right w:val="single" w:sz="8" w:space="0" w:color="auto"/>
            </w:tcBorders>
            <w:noWrap/>
            <w:vAlign w:val="center"/>
            <w:hideMark/>
          </w:tcPr>
          <w:p w14:paraId="4BD177F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$7,618 </w:t>
            </w:r>
          </w:p>
        </w:tc>
        <w:tc>
          <w:tcPr>
            <w:tcW w:w="364" w:type="pct"/>
            <w:tcBorders>
              <w:top w:val="nil"/>
              <w:left w:val="nil"/>
              <w:bottom w:val="single" w:sz="8" w:space="0" w:color="auto"/>
              <w:right w:val="single" w:sz="8" w:space="0" w:color="auto"/>
            </w:tcBorders>
            <w:noWrap/>
            <w:vAlign w:val="center"/>
            <w:hideMark/>
          </w:tcPr>
          <w:p w14:paraId="3DF356A8"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$10,322 </w:t>
            </w:r>
          </w:p>
        </w:tc>
        <w:tc>
          <w:tcPr>
            <w:tcW w:w="333" w:type="pct"/>
            <w:tcBorders>
              <w:top w:val="nil"/>
              <w:left w:val="nil"/>
              <w:bottom w:val="single" w:sz="8" w:space="0" w:color="auto"/>
              <w:right w:val="single" w:sz="8" w:space="0" w:color="auto"/>
            </w:tcBorders>
            <w:noWrap/>
            <w:vAlign w:val="center"/>
            <w:hideMark/>
          </w:tcPr>
          <w:p w14:paraId="3B503968"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$4,669 </w:t>
            </w:r>
          </w:p>
        </w:tc>
        <w:tc>
          <w:tcPr>
            <w:tcW w:w="334" w:type="pct"/>
            <w:tcBorders>
              <w:top w:val="nil"/>
              <w:left w:val="nil"/>
              <w:bottom w:val="single" w:sz="8" w:space="0" w:color="auto"/>
              <w:right w:val="single" w:sz="8" w:space="0" w:color="auto"/>
            </w:tcBorders>
            <w:noWrap/>
            <w:vAlign w:val="center"/>
            <w:hideMark/>
          </w:tcPr>
          <w:p w14:paraId="0FB72479"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$1,229 </w:t>
            </w:r>
          </w:p>
        </w:tc>
        <w:tc>
          <w:tcPr>
            <w:tcW w:w="276" w:type="pct"/>
            <w:tcBorders>
              <w:top w:val="nil"/>
              <w:left w:val="nil"/>
              <w:bottom w:val="single" w:sz="8" w:space="0" w:color="auto"/>
              <w:right w:val="single" w:sz="8" w:space="0" w:color="auto"/>
            </w:tcBorders>
            <w:vAlign w:val="center"/>
            <w:hideMark/>
          </w:tcPr>
          <w:p w14:paraId="7FFEF9B0"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$737 </w:t>
            </w:r>
          </w:p>
        </w:tc>
        <w:tc>
          <w:tcPr>
            <w:tcW w:w="391" w:type="pct"/>
            <w:gridSpan w:val="2"/>
            <w:tcBorders>
              <w:top w:val="nil"/>
              <w:left w:val="nil"/>
              <w:bottom w:val="single" w:sz="8" w:space="0" w:color="auto"/>
              <w:right w:val="single" w:sz="8" w:space="0" w:color="auto"/>
            </w:tcBorders>
            <w:noWrap/>
            <w:vAlign w:val="center"/>
            <w:hideMark/>
          </w:tcPr>
          <w:p w14:paraId="73BDDCEE"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$24,575 </w:t>
            </w:r>
          </w:p>
        </w:tc>
        <w:tc>
          <w:tcPr>
            <w:tcW w:w="181" w:type="pct"/>
            <w:tcBorders>
              <w:top w:val="nil"/>
              <w:left w:val="nil"/>
              <w:bottom w:val="single" w:sz="8" w:space="0" w:color="auto"/>
              <w:right w:val="single" w:sz="8" w:space="0" w:color="auto"/>
            </w:tcBorders>
            <w:noWrap/>
            <w:vAlign w:val="center"/>
            <w:hideMark/>
          </w:tcPr>
          <w:p w14:paraId="55D18A60"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2</w:t>
            </w:r>
          </w:p>
        </w:tc>
      </w:tr>
      <w:tr w:rsidR="00170617" w:rsidRPr="002926D7" w14:paraId="6AB87516" w14:textId="77777777" w:rsidTr="00170617">
        <w:trPr>
          <w:trHeight w:val="288"/>
          <w:jc w:val="center"/>
        </w:trPr>
        <w:tc>
          <w:tcPr>
            <w:tcW w:w="423" w:type="pct"/>
            <w:vMerge/>
            <w:tcBorders>
              <w:left w:val="single" w:sz="8" w:space="0" w:color="auto"/>
              <w:right w:val="single" w:sz="8" w:space="0" w:color="auto"/>
            </w:tcBorders>
            <w:vAlign w:val="center"/>
          </w:tcPr>
          <w:p w14:paraId="095C6428" w14:textId="04DE177D"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387B058F" w14:textId="3BB3C9E8"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62910D2C"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1B34319"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522086D"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5A9F845"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64A62B28"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71300</w:t>
            </w:r>
          </w:p>
        </w:tc>
        <w:tc>
          <w:tcPr>
            <w:tcW w:w="334" w:type="pct"/>
            <w:tcBorders>
              <w:top w:val="nil"/>
              <w:left w:val="nil"/>
              <w:bottom w:val="single" w:sz="8" w:space="0" w:color="auto"/>
              <w:right w:val="single" w:sz="8" w:space="0" w:color="auto"/>
            </w:tcBorders>
            <w:vAlign w:val="center"/>
            <w:hideMark/>
          </w:tcPr>
          <w:p w14:paraId="55D2914B"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Local Consultants</w:t>
            </w:r>
          </w:p>
        </w:tc>
        <w:tc>
          <w:tcPr>
            <w:tcW w:w="363" w:type="pct"/>
            <w:tcBorders>
              <w:top w:val="nil"/>
              <w:left w:val="nil"/>
              <w:bottom w:val="single" w:sz="8" w:space="0" w:color="auto"/>
              <w:right w:val="single" w:sz="8" w:space="0" w:color="auto"/>
            </w:tcBorders>
            <w:noWrap/>
            <w:vAlign w:val="center"/>
            <w:hideMark/>
          </w:tcPr>
          <w:p w14:paraId="0A1CDC7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$30,392 </w:t>
            </w:r>
          </w:p>
        </w:tc>
        <w:tc>
          <w:tcPr>
            <w:tcW w:w="364" w:type="pct"/>
            <w:tcBorders>
              <w:top w:val="nil"/>
              <w:left w:val="nil"/>
              <w:bottom w:val="single" w:sz="8" w:space="0" w:color="auto"/>
              <w:right w:val="single" w:sz="8" w:space="0" w:color="auto"/>
            </w:tcBorders>
            <w:noWrap/>
            <w:vAlign w:val="center"/>
            <w:hideMark/>
          </w:tcPr>
          <w:p w14:paraId="104187A3"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$41,176 </w:t>
            </w:r>
          </w:p>
        </w:tc>
        <w:tc>
          <w:tcPr>
            <w:tcW w:w="333" w:type="pct"/>
            <w:tcBorders>
              <w:top w:val="nil"/>
              <w:left w:val="nil"/>
              <w:bottom w:val="single" w:sz="8" w:space="0" w:color="auto"/>
              <w:right w:val="single" w:sz="8" w:space="0" w:color="auto"/>
            </w:tcBorders>
            <w:noWrap/>
            <w:vAlign w:val="center"/>
            <w:hideMark/>
          </w:tcPr>
          <w:p w14:paraId="3CFD2E9D"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$18,627 </w:t>
            </w:r>
          </w:p>
        </w:tc>
        <w:tc>
          <w:tcPr>
            <w:tcW w:w="334" w:type="pct"/>
            <w:tcBorders>
              <w:top w:val="nil"/>
              <w:left w:val="nil"/>
              <w:bottom w:val="single" w:sz="8" w:space="0" w:color="auto"/>
              <w:right w:val="single" w:sz="8" w:space="0" w:color="auto"/>
            </w:tcBorders>
            <w:noWrap/>
            <w:vAlign w:val="center"/>
            <w:hideMark/>
          </w:tcPr>
          <w:p w14:paraId="57F211EE"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$4,902 </w:t>
            </w:r>
          </w:p>
        </w:tc>
        <w:tc>
          <w:tcPr>
            <w:tcW w:w="276" w:type="pct"/>
            <w:tcBorders>
              <w:top w:val="nil"/>
              <w:left w:val="nil"/>
              <w:bottom w:val="single" w:sz="8" w:space="0" w:color="auto"/>
              <w:right w:val="single" w:sz="8" w:space="0" w:color="auto"/>
            </w:tcBorders>
            <w:vAlign w:val="center"/>
            <w:hideMark/>
          </w:tcPr>
          <w:p w14:paraId="7CA6A99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$2,941 </w:t>
            </w:r>
          </w:p>
        </w:tc>
        <w:tc>
          <w:tcPr>
            <w:tcW w:w="391" w:type="pct"/>
            <w:gridSpan w:val="2"/>
            <w:tcBorders>
              <w:top w:val="nil"/>
              <w:left w:val="nil"/>
              <w:bottom w:val="single" w:sz="8" w:space="0" w:color="auto"/>
              <w:right w:val="single" w:sz="8" w:space="0" w:color="auto"/>
            </w:tcBorders>
            <w:noWrap/>
            <w:vAlign w:val="center"/>
            <w:hideMark/>
          </w:tcPr>
          <w:p w14:paraId="20C495F8"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$98,038 </w:t>
            </w:r>
          </w:p>
        </w:tc>
        <w:tc>
          <w:tcPr>
            <w:tcW w:w="181" w:type="pct"/>
            <w:tcBorders>
              <w:top w:val="nil"/>
              <w:left w:val="nil"/>
              <w:bottom w:val="single" w:sz="8" w:space="0" w:color="auto"/>
              <w:right w:val="single" w:sz="8" w:space="0" w:color="auto"/>
            </w:tcBorders>
            <w:noWrap/>
            <w:vAlign w:val="center"/>
            <w:hideMark/>
          </w:tcPr>
          <w:p w14:paraId="30BA00AB"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3</w:t>
            </w:r>
          </w:p>
        </w:tc>
      </w:tr>
      <w:tr w:rsidR="00170617" w:rsidRPr="002926D7" w14:paraId="1668B8B2" w14:textId="77777777" w:rsidTr="00170617">
        <w:trPr>
          <w:trHeight w:val="288"/>
          <w:jc w:val="center"/>
        </w:trPr>
        <w:tc>
          <w:tcPr>
            <w:tcW w:w="423" w:type="pct"/>
            <w:vMerge/>
            <w:tcBorders>
              <w:left w:val="single" w:sz="8" w:space="0" w:color="auto"/>
              <w:right w:val="single" w:sz="8" w:space="0" w:color="auto"/>
            </w:tcBorders>
            <w:vAlign w:val="center"/>
          </w:tcPr>
          <w:p w14:paraId="4170CC72" w14:textId="7787EC5A"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1F600A22" w14:textId="18F8A671"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4271703A"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4EB2B8D"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CF288D5"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F78073B"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5ABA3095"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71400</w:t>
            </w:r>
          </w:p>
        </w:tc>
        <w:tc>
          <w:tcPr>
            <w:tcW w:w="334" w:type="pct"/>
            <w:tcBorders>
              <w:top w:val="nil"/>
              <w:left w:val="nil"/>
              <w:bottom w:val="single" w:sz="8" w:space="0" w:color="auto"/>
              <w:right w:val="single" w:sz="8" w:space="0" w:color="auto"/>
            </w:tcBorders>
            <w:vAlign w:val="center"/>
            <w:hideMark/>
          </w:tcPr>
          <w:p w14:paraId="33E6AF47"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Contractual Services - Individ</w:t>
            </w:r>
          </w:p>
        </w:tc>
        <w:tc>
          <w:tcPr>
            <w:tcW w:w="363" w:type="pct"/>
            <w:tcBorders>
              <w:top w:val="nil"/>
              <w:left w:val="nil"/>
              <w:bottom w:val="single" w:sz="8" w:space="0" w:color="auto"/>
              <w:right w:val="single" w:sz="8" w:space="0" w:color="auto"/>
            </w:tcBorders>
            <w:noWrap/>
            <w:vAlign w:val="center"/>
            <w:hideMark/>
          </w:tcPr>
          <w:p w14:paraId="33DF06E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$85,735 </w:t>
            </w:r>
          </w:p>
        </w:tc>
        <w:tc>
          <w:tcPr>
            <w:tcW w:w="364" w:type="pct"/>
            <w:tcBorders>
              <w:top w:val="nil"/>
              <w:left w:val="nil"/>
              <w:bottom w:val="single" w:sz="8" w:space="0" w:color="auto"/>
              <w:right w:val="single" w:sz="8" w:space="0" w:color="auto"/>
            </w:tcBorders>
            <w:noWrap/>
            <w:vAlign w:val="center"/>
            <w:hideMark/>
          </w:tcPr>
          <w:p w14:paraId="0E183957"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$116,157 </w:t>
            </w:r>
          </w:p>
        </w:tc>
        <w:tc>
          <w:tcPr>
            <w:tcW w:w="333" w:type="pct"/>
            <w:tcBorders>
              <w:top w:val="nil"/>
              <w:left w:val="nil"/>
              <w:bottom w:val="single" w:sz="8" w:space="0" w:color="auto"/>
              <w:right w:val="single" w:sz="8" w:space="0" w:color="auto"/>
            </w:tcBorders>
            <w:noWrap/>
            <w:vAlign w:val="center"/>
            <w:hideMark/>
          </w:tcPr>
          <w:p w14:paraId="525C7048"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$52,547 </w:t>
            </w:r>
          </w:p>
        </w:tc>
        <w:tc>
          <w:tcPr>
            <w:tcW w:w="334" w:type="pct"/>
            <w:tcBorders>
              <w:top w:val="nil"/>
              <w:left w:val="nil"/>
              <w:bottom w:val="single" w:sz="8" w:space="0" w:color="auto"/>
              <w:right w:val="single" w:sz="8" w:space="0" w:color="auto"/>
            </w:tcBorders>
            <w:noWrap/>
            <w:vAlign w:val="center"/>
            <w:hideMark/>
          </w:tcPr>
          <w:p w14:paraId="3F4C6468"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$13,828 </w:t>
            </w:r>
          </w:p>
        </w:tc>
        <w:tc>
          <w:tcPr>
            <w:tcW w:w="276" w:type="pct"/>
            <w:tcBorders>
              <w:top w:val="nil"/>
              <w:left w:val="nil"/>
              <w:bottom w:val="single" w:sz="8" w:space="0" w:color="auto"/>
              <w:right w:val="single" w:sz="8" w:space="0" w:color="auto"/>
            </w:tcBorders>
            <w:vAlign w:val="center"/>
            <w:hideMark/>
          </w:tcPr>
          <w:p w14:paraId="70B4B2FC"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$8,297 </w:t>
            </w:r>
          </w:p>
        </w:tc>
        <w:tc>
          <w:tcPr>
            <w:tcW w:w="391" w:type="pct"/>
            <w:gridSpan w:val="2"/>
            <w:tcBorders>
              <w:top w:val="nil"/>
              <w:left w:val="nil"/>
              <w:bottom w:val="single" w:sz="8" w:space="0" w:color="auto"/>
              <w:right w:val="single" w:sz="8" w:space="0" w:color="auto"/>
            </w:tcBorders>
            <w:noWrap/>
            <w:vAlign w:val="center"/>
            <w:hideMark/>
          </w:tcPr>
          <w:p w14:paraId="5F43592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$276,564 </w:t>
            </w:r>
          </w:p>
        </w:tc>
        <w:tc>
          <w:tcPr>
            <w:tcW w:w="181" w:type="pct"/>
            <w:tcBorders>
              <w:top w:val="nil"/>
              <w:left w:val="nil"/>
              <w:bottom w:val="single" w:sz="8" w:space="0" w:color="auto"/>
              <w:right w:val="single" w:sz="8" w:space="0" w:color="auto"/>
            </w:tcBorders>
            <w:noWrap/>
            <w:vAlign w:val="center"/>
            <w:hideMark/>
          </w:tcPr>
          <w:p w14:paraId="35BFB3FD"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5</w:t>
            </w:r>
          </w:p>
        </w:tc>
      </w:tr>
      <w:tr w:rsidR="00170617" w:rsidRPr="002926D7" w14:paraId="673903B1" w14:textId="77777777" w:rsidTr="00170617">
        <w:trPr>
          <w:trHeight w:val="288"/>
          <w:jc w:val="center"/>
        </w:trPr>
        <w:tc>
          <w:tcPr>
            <w:tcW w:w="423" w:type="pct"/>
            <w:vMerge/>
            <w:tcBorders>
              <w:left w:val="single" w:sz="8" w:space="0" w:color="auto"/>
              <w:right w:val="single" w:sz="8" w:space="0" w:color="auto"/>
            </w:tcBorders>
            <w:vAlign w:val="center"/>
          </w:tcPr>
          <w:p w14:paraId="4A823897" w14:textId="2C296222"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00C1CDFA" w14:textId="630F4B02"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2607B07C"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00A5586"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77FB7CD"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9BB2BEB"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1C90C2F2"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71600</w:t>
            </w:r>
          </w:p>
        </w:tc>
        <w:tc>
          <w:tcPr>
            <w:tcW w:w="334" w:type="pct"/>
            <w:tcBorders>
              <w:top w:val="nil"/>
              <w:left w:val="nil"/>
              <w:bottom w:val="single" w:sz="8" w:space="0" w:color="auto"/>
              <w:right w:val="single" w:sz="8" w:space="0" w:color="auto"/>
            </w:tcBorders>
            <w:vAlign w:val="center"/>
            <w:hideMark/>
          </w:tcPr>
          <w:p w14:paraId="78937908"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Travel</w:t>
            </w:r>
          </w:p>
        </w:tc>
        <w:tc>
          <w:tcPr>
            <w:tcW w:w="363" w:type="pct"/>
            <w:tcBorders>
              <w:top w:val="nil"/>
              <w:left w:val="nil"/>
              <w:bottom w:val="single" w:sz="8" w:space="0" w:color="auto"/>
              <w:right w:val="single" w:sz="8" w:space="0" w:color="auto"/>
            </w:tcBorders>
            <w:noWrap/>
            <w:vAlign w:val="center"/>
            <w:hideMark/>
          </w:tcPr>
          <w:p w14:paraId="4C970DCF"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$112,782 </w:t>
            </w:r>
          </w:p>
        </w:tc>
        <w:tc>
          <w:tcPr>
            <w:tcW w:w="364" w:type="pct"/>
            <w:tcBorders>
              <w:top w:val="nil"/>
              <w:left w:val="nil"/>
              <w:bottom w:val="single" w:sz="8" w:space="0" w:color="auto"/>
              <w:right w:val="single" w:sz="8" w:space="0" w:color="auto"/>
            </w:tcBorders>
            <w:noWrap/>
            <w:vAlign w:val="center"/>
            <w:hideMark/>
          </w:tcPr>
          <w:p w14:paraId="59F9993C"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$152,801 </w:t>
            </w:r>
          </w:p>
        </w:tc>
        <w:tc>
          <w:tcPr>
            <w:tcW w:w="333" w:type="pct"/>
            <w:tcBorders>
              <w:top w:val="nil"/>
              <w:left w:val="nil"/>
              <w:bottom w:val="single" w:sz="8" w:space="0" w:color="auto"/>
              <w:right w:val="single" w:sz="8" w:space="0" w:color="auto"/>
            </w:tcBorders>
            <w:noWrap/>
            <w:vAlign w:val="center"/>
            <w:hideMark/>
          </w:tcPr>
          <w:p w14:paraId="5778873C"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$69,124 </w:t>
            </w:r>
          </w:p>
        </w:tc>
        <w:tc>
          <w:tcPr>
            <w:tcW w:w="334" w:type="pct"/>
            <w:tcBorders>
              <w:top w:val="nil"/>
              <w:left w:val="nil"/>
              <w:bottom w:val="single" w:sz="8" w:space="0" w:color="auto"/>
              <w:right w:val="single" w:sz="8" w:space="0" w:color="auto"/>
            </w:tcBorders>
            <w:noWrap/>
            <w:vAlign w:val="center"/>
            <w:hideMark/>
          </w:tcPr>
          <w:p w14:paraId="45E8ECFA"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$18,191 </w:t>
            </w:r>
          </w:p>
        </w:tc>
        <w:tc>
          <w:tcPr>
            <w:tcW w:w="276" w:type="pct"/>
            <w:tcBorders>
              <w:top w:val="nil"/>
              <w:left w:val="nil"/>
              <w:bottom w:val="single" w:sz="8" w:space="0" w:color="auto"/>
              <w:right w:val="single" w:sz="8" w:space="0" w:color="auto"/>
            </w:tcBorders>
            <w:vAlign w:val="center"/>
            <w:hideMark/>
          </w:tcPr>
          <w:p w14:paraId="13D8070B"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$10,914 </w:t>
            </w:r>
          </w:p>
        </w:tc>
        <w:tc>
          <w:tcPr>
            <w:tcW w:w="391" w:type="pct"/>
            <w:gridSpan w:val="2"/>
            <w:tcBorders>
              <w:top w:val="nil"/>
              <w:left w:val="nil"/>
              <w:bottom w:val="single" w:sz="8" w:space="0" w:color="auto"/>
              <w:right w:val="single" w:sz="8" w:space="0" w:color="auto"/>
            </w:tcBorders>
            <w:noWrap/>
            <w:vAlign w:val="center"/>
            <w:hideMark/>
          </w:tcPr>
          <w:p w14:paraId="6192EAC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$363,812 </w:t>
            </w:r>
          </w:p>
        </w:tc>
        <w:tc>
          <w:tcPr>
            <w:tcW w:w="181" w:type="pct"/>
            <w:tcBorders>
              <w:top w:val="nil"/>
              <w:left w:val="nil"/>
              <w:bottom w:val="single" w:sz="8" w:space="0" w:color="auto"/>
              <w:right w:val="single" w:sz="8" w:space="0" w:color="auto"/>
            </w:tcBorders>
            <w:noWrap/>
            <w:vAlign w:val="center"/>
            <w:hideMark/>
          </w:tcPr>
          <w:p w14:paraId="5C453CC4"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7</w:t>
            </w:r>
          </w:p>
        </w:tc>
      </w:tr>
      <w:tr w:rsidR="00170617" w:rsidRPr="002926D7" w14:paraId="6B5D6BC5" w14:textId="77777777" w:rsidTr="00170617">
        <w:trPr>
          <w:trHeight w:val="288"/>
          <w:jc w:val="center"/>
        </w:trPr>
        <w:tc>
          <w:tcPr>
            <w:tcW w:w="423" w:type="pct"/>
            <w:vMerge/>
            <w:tcBorders>
              <w:left w:val="single" w:sz="8" w:space="0" w:color="auto"/>
              <w:right w:val="single" w:sz="8" w:space="0" w:color="auto"/>
            </w:tcBorders>
            <w:vAlign w:val="center"/>
          </w:tcPr>
          <w:p w14:paraId="114F8B00" w14:textId="5EE6E439"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33942F7B" w14:textId="6467ADF1"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56EE492A"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E79B50A"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E22FFDF"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4FBEF38A"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6B91D3C4"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72100</w:t>
            </w:r>
          </w:p>
        </w:tc>
        <w:tc>
          <w:tcPr>
            <w:tcW w:w="334" w:type="pct"/>
            <w:tcBorders>
              <w:top w:val="nil"/>
              <w:left w:val="nil"/>
              <w:bottom w:val="single" w:sz="8" w:space="0" w:color="auto"/>
              <w:right w:val="single" w:sz="8" w:space="0" w:color="auto"/>
            </w:tcBorders>
            <w:vAlign w:val="center"/>
            <w:hideMark/>
          </w:tcPr>
          <w:p w14:paraId="5475EFDA"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Contractual Services-Companies</w:t>
            </w:r>
          </w:p>
        </w:tc>
        <w:tc>
          <w:tcPr>
            <w:tcW w:w="363" w:type="pct"/>
            <w:tcBorders>
              <w:top w:val="nil"/>
              <w:left w:val="nil"/>
              <w:bottom w:val="single" w:sz="8" w:space="0" w:color="auto"/>
              <w:right w:val="single" w:sz="8" w:space="0" w:color="auto"/>
            </w:tcBorders>
            <w:noWrap/>
            <w:vAlign w:val="center"/>
            <w:hideMark/>
          </w:tcPr>
          <w:p w14:paraId="4B7F5C88"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$34,544 </w:t>
            </w:r>
          </w:p>
        </w:tc>
        <w:tc>
          <w:tcPr>
            <w:tcW w:w="364" w:type="pct"/>
            <w:tcBorders>
              <w:top w:val="nil"/>
              <w:left w:val="nil"/>
              <w:bottom w:val="single" w:sz="8" w:space="0" w:color="auto"/>
              <w:right w:val="single" w:sz="8" w:space="0" w:color="auto"/>
            </w:tcBorders>
            <w:noWrap/>
            <w:vAlign w:val="center"/>
            <w:hideMark/>
          </w:tcPr>
          <w:p w14:paraId="700D9B2E"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$46,802 </w:t>
            </w:r>
          </w:p>
        </w:tc>
        <w:tc>
          <w:tcPr>
            <w:tcW w:w="333" w:type="pct"/>
            <w:tcBorders>
              <w:top w:val="nil"/>
              <w:left w:val="nil"/>
              <w:bottom w:val="single" w:sz="8" w:space="0" w:color="auto"/>
              <w:right w:val="single" w:sz="8" w:space="0" w:color="auto"/>
            </w:tcBorders>
            <w:noWrap/>
            <w:vAlign w:val="center"/>
            <w:hideMark/>
          </w:tcPr>
          <w:p w14:paraId="5507226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$21,172 </w:t>
            </w:r>
          </w:p>
        </w:tc>
        <w:tc>
          <w:tcPr>
            <w:tcW w:w="334" w:type="pct"/>
            <w:tcBorders>
              <w:top w:val="nil"/>
              <w:left w:val="nil"/>
              <w:bottom w:val="single" w:sz="8" w:space="0" w:color="auto"/>
              <w:right w:val="single" w:sz="8" w:space="0" w:color="auto"/>
            </w:tcBorders>
            <w:noWrap/>
            <w:vAlign w:val="center"/>
            <w:hideMark/>
          </w:tcPr>
          <w:p w14:paraId="0DBEC805"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$5,572 </w:t>
            </w:r>
          </w:p>
        </w:tc>
        <w:tc>
          <w:tcPr>
            <w:tcW w:w="276" w:type="pct"/>
            <w:tcBorders>
              <w:top w:val="nil"/>
              <w:left w:val="nil"/>
              <w:bottom w:val="single" w:sz="8" w:space="0" w:color="auto"/>
              <w:right w:val="single" w:sz="8" w:space="0" w:color="auto"/>
            </w:tcBorders>
            <w:vAlign w:val="center"/>
            <w:hideMark/>
          </w:tcPr>
          <w:p w14:paraId="6B0C270E"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$3,343 </w:t>
            </w:r>
          </w:p>
        </w:tc>
        <w:tc>
          <w:tcPr>
            <w:tcW w:w="391" w:type="pct"/>
            <w:gridSpan w:val="2"/>
            <w:tcBorders>
              <w:top w:val="nil"/>
              <w:left w:val="nil"/>
              <w:bottom w:val="single" w:sz="8" w:space="0" w:color="auto"/>
              <w:right w:val="single" w:sz="8" w:space="0" w:color="auto"/>
            </w:tcBorders>
            <w:noWrap/>
            <w:vAlign w:val="center"/>
            <w:hideMark/>
          </w:tcPr>
          <w:p w14:paraId="4C43299D"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$111,433 </w:t>
            </w:r>
          </w:p>
        </w:tc>
        <w:tc>
          <w:tcPr>
            <w:tcW w:w="181" w:type="pct"/>
            <w:tcBorders>
              <w:top w:val="nil"/>
              <w:left w:val="nil"/>
              <w:bottom w:val="single" w:sz="8" w:space="0" w:color="auto"/>
              <w:right w:val="single" w:sz="8" w:space="0" w:color="auto"/>
            </w:tcBorders>
            <w:noWrap/>
            <w:vAlign w:val="center"/>
            <w:hideMark/>
          </w:tcPr>
          <w:p w14:paraId="47A04AAB"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12</w:t>
            </w:r>
          </w:p>
        </w:tc>
      </w:tr>
      <w:tr w:rsidR="00170617" w:rsidRPr="002926D7" w14:paraId="115CFAE8" w14:textId="77777777" w:rsidTr="00170617">
        <w:trPr>
          <w:trHeight w:val="288"/>
          <w:jc w:val="center"/>
        </w:trPr>
        <w:tc>
          <w:tcPr>
            <w:tcW w:w="423" w:type="pct"/>
            <w:vMerge/>
            <w:tcBorders>
              <w:left w:val="single" w:sz="8" w:space="0" w:color="auto"/>
              <w:right w:val="single" w:sz="8" w:space="0" w:color="auto"/>
            </w:tcBorders>
            <w:vAlign w:val="center"/>
          </w:tcPr>
          <w:p w14:paraId="79FC42C0" w14:textId="173B1DBD"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5D99A607" w14:textId="5735390F"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6A833222"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46272927"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7629F19"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4D7E6B6E"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05EC43A4"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72500</w:t>
            </w:r>
          </w:p>
        </w:tc>
        <w:tc>
          <w:tcPr>
            <w:tcW w:w="334" w:type="pct"/>
            <w:tcBorders>
              <w:top w:val="nil"/>
              <w:left w:val="nil"/>
              <w:bottom w:val="single" w:sz="8" w:space="0" w:color="auto"/>
              <w:right w:val="single" w:sz="8" w:space="0" w:color="auto"/>
            </w:tcBorders>
            <w:vAlign w:val="center"/>
            <w:hideMark/>
          </w:tcPr>
          <w:p w14:paraId="53EB9489"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Supplies</w:t>
            </w:r>
          </w:p>
        </w:tc>
        <w:tc>
          <w:tcPr>
            <w:tcW w:w="363" w:type="pct"/>
            <w:tcBorders>
              <w:top w:val="nil"/>
              <w:left w:val="nil"/>
              <w:bottom w:val="single" w:sz="8" w:space="0" w:color="auto"/>
              <w:right w:val="single" w:sz="8" w:space="0" w:color="auto"/>
            </w:tcBorders>
            <w:noWrap/>
            <w:vAlign w:val="center"/>
            <w:hideMark/>
          </w:tcPr>
          <w:p w14:paraId="0FAE412F"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$9,595 </w:t>
            </w:r>
          </w:p>
        </w:tc>
        <w:tc>
          <w:tcPr>
            <w:tcW w:w="364" w:type="pct"/>
            <w:tcBorders>
              <w:top w:val="nil"/>
              <w:left w:val="nil"/>
              <w:bottom w:val="single" w:sz="8" w:space="0" w:color="auto"/>
              <w:right w:val="single" w:sz="8" w:space="0" w:color="auto"/>
            </w:tcBorders>
            <w:noWrap/>
            <w:vAlign w:val="center"/>
            <w:hideMark/>
          </w:tcPr>
          <w:p w14:paraId="2B0773C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$12,999 </w:t>
            </w:r>
          </w:p>
        </w:tc>
        <w:tc>
          <w:tcPr>
            <w:tcW w:w="333" w:type="pct"/>
            <w:tcBorders>
              <w:top w:val="nil"/>
              <w:left w:val="nil"/>
              <w:bottom w:val="single" w:sz="8" w:space="0" w:color="auto"/>
              <w:right w:val="single" w:sz="8" w:space="0" w:color="auto"/>
            </w:tcBorders>
            <w:noWrap/>
            <w:vAlign w:val="center"/>
            <w:hideMark/>
          </w:tcPr>
          <w:p w14:paraId="57F0781F"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$5,881 </w:t>
            </w:r>
          </w:p>
        </w:tc>
        <w:tc>
          <w:tcPr>
            <w:tcW w:w="334" w:type="pct"/>
            <w:tcBorders>
              <w:top w:val="nil"/>
              <w:left w:val="nil"/>
              <w:bottom w:val="single" w:sz="8" w:space="0" w:color="auto"/>
              <w:right w:val="single" w:sz="8" w:space="0" w:color="auto"/>
            </w:tcBorders>
            <w:noWrap/>
            <w:vAlign w:val="center"/>
            <w:hideMark/>
          </w:tcPr>
          <w:p w14:paraId="3F3D224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$1,548 </w:t>
            </w:r>
          </w:p>
        </w:tc>
        <w:tc>
          <w:tcPr>
            <w:tcW w:w="276" w:type="pct"/>
            <w:tcBorders>
              <w:top w:val="nil"/>
              <w:left w:val="nil"/>
              <w:bottom w:val="single" w:sz="8" w:space="0" w:color="auto"/>
              <w:right w:val="single" w:sz="8" w:space="0" w:color="auto"/>
            </w:tcBorders>
            <w:vAlign w:val="center"/>
            <w:hideMark/>
          </w:tcPr>
          <w:p w14:paraId="27585ED9"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$929 </w:t>
            </w:r>
          </w:p>
        </w:tc>
        <w:tc>
          <w:tcPr>
            <w:tcW w:w="391" w:type="pct"/>
            <w:gridSpan w:val="2"/>
            <w:tcBorders>
              <w:top w:val="nil"/>
              <w:left w:val="nil"/>
              <w:bottom w:val="single" w:sz="8" w:space="0" w:color="auto"/>
              <w:right w:val="single" w:sz="8" w:space="0" w:color="auto"/>
            </w:tcBorders>
            <w:noWrap/>
            <w:vAlign w:val="center"/>
            <w:hideMark/>
          </w:tcPr>
          <w:p w14:paraId="043B8400"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$30,952 </w:t>
            </w:r>
          </w:p>
        </w:tc>
        <w:tc>
          <w:tcPr>
            <w:tcW w:w="181" w:type="pct"/>
            <w:tcBorders>
              <w:top w:val="nil"/>
              <w:left w:val="nil"/>
              <w:bottom w:val="single" w:sz="8" w:space="0" w:color="auto"/>
              <w:right w:val="single" w:sz="8" w:space="0" w:color="auto"/>
            </w:tcBorders>
            <w:noWrap/>
            <w:vAlign w:val="center"/>
            <w:hideMark/>
          </w:tcPr>
          <w:p w14:paraId="7A43AD51"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10</w:t>
            </w:r>
          </w:p>
        </w:tc>
      </w:tr>
      <w:tr w:rsidR="00170617" w:rsidRPr="002926D7" w14:paraId="307C1207" w14:textId="77777777" w:rsidTr="00170617">
        <w:trPr>
          <w:trHeight w:val="288"/>
          <w:jc w:val="center"/>
        </w:trPr>
        <w:tc>
          <w:tcPr>
            <w:tcW w:w="423" w:type="pct"/>
            <w:vMerge/>
            <w:tcBorders>
              <w:left w:val="single" w:sz="8" w:space="0" w:color="auto"/>
              <w:right w:val="single" w:sz="8" w:space="0" w:color="auto"/>
            </w:tcBorders>
            <w:vAlign w:val="center"/>
          </w:tcPr>
          <w:p w14:paraId="37126123" w14:textId="4354607A"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572540CC" w14:textId="7A7493C2"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4B33BE15"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B0FFBA8"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4F360F35"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7F2406A"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539E0C61"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74500</w:t>
            </w:r>
          </w:p>
        </w:tc>
        <w:tc>
          <w:tcPr>
            <w:tcW w:w="334" w:type="pct"/>
            <w:tcBorders>
              <w:top w:val="nil"/>
              <w:left w:val="nil"/>
              <w:bottom w:val="single" w:sz="8" w:space="0" w:color="auto"/>
              <w:right w:val="single" w:sz="8" w:space="0" w:color="auto"/>
            </w:tcBorders>
            <w:vAlign w:val="center"/>
            <w:hideMark/>
          </w:tcPr>
          <w:p w14:paraId="714DD853"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Miscellaneous Expenses</w:t>
            </w:r>
          </w:p>
        </w:tc>
        <w:tc>
          <w:tcPr>
            <w:tcW w:w="363" w:type="pct"/>
            <w:tcBorders>
              <w:top w:val="nil"/>
              <w:left w:val="nil"/>
              <w:bottom w:val="single" w:sz="8" w:space="0" w:color="auto"/>
              <w:right w:val="single" w:sz="8" w:space="0" w:color="auto"/>
            </w:tcBorders>
            <w:noWrap/>
            <w:vAlign w:val="center"/>
            <w:hideMark/>
          </w:tcPr>
          <w:p w14:paraId="5270E85B"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$63,300 </w:t>
            </w:r>
          </w:p>
        </w:tc>
        <w:tc>
          <w:tcPr>
            <w:tcW w:w="364" w:type="pct"/>
            <w:tcBorders>
              <w:top w:val="nil"/>
              <w:left w:val="nil"/>
              <w:bottom w:val="single" w:sz="8" w:space="0" w:color="auto"/>
              <w:right w:val="single" w:sz="8" w:space="0" w:color="auto"/>
            </w:tcBorders>
            <w:noWrap/>
            <w:vAlign w:val="center"/>
            <w:hideMark/>
          </w:tcPr>
          <w:p w14:paraId="508EBCCE"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$85,761 </w:t>
            </w:r>
          </w:p>
        </w:tc>
        <w:tc>
          <w:tcPr>
            <w:tcW w:w="333" w:type="pct"/>
            <w:tcBorders>
              <w:top w:val="nil"/>
              <w:left w:val="nil"/>
              <w:bottom w:val="single" w:sz="8" w:space="0" w:color="auto"/>
              <w:right w:val="single" w:sz="8" w:space="0" w:color="auto"/>
            </w:tcBorders>
            <w:noWrap/>
            <w:vAlign w:val="center"/>
            <w:hideMark/>
          </w:tcPr>
          <w:p w14:paraId="0EEE0B3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$38,797 </w:t>
            </w:r>
          </w:p>
        </w:tc>
        <w:tc>
          <w:tcPr>
            <w:tcW w:w="334" w:type="pct"/>
            <w:tcBorders>
              <w:top w:val="nil"/>
              <w:left w:val="nil"/>
              <w:bottom w:val="single" w:sz="8" w:space="0" w:color="auto"/>
              <w:right w:val="single" w:sz="8" w:space="0" w:color="auto"/>
            </w:tcBorders>
            <w:noWrap/>
            <w:vAlign w:val="center"/>
            <w:hideMark/>
          </w:tcPr>
          <w:p w14:paraId="5D30474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$10,210 </w:t>
            </w:r>
          </w:p>
        </w:tc>
        <w:tc>
          <w:tcPr>
            <w:tcW w:w="276" w:type="pct"/>
            <w:tcBorders>
              <w:top w:val="nil"/>
              <w:left w:val="nil"/>
              <w:bottom w:val="single" w:sz="8" w:space="0" w:color="auto"/>
              <w:right w:val="single" w:sz="8" w:space="0" w:color="auto"/>
            </w:tcBorders>
            <w:vAlign w:val="center"/>
            <w:hideMark/>
          </w:tcPr>
          <w:p w14:paraId="202AEE3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$6,126 </w:t>
            </w:r>
          </w:p>
        </w:tc>
        <w:tc>
          <w:tcPr>
            <w:tcW w:w="391" w:type="pct"/>
            <w:gridSpan w:val="2"/>
            <w:tcBorders>
              <w:top w:val="nil"/>
              <w:left w:val="nil"/>
              <w:bottom w:val="single" w:sz="8" w:space="0" w:color="auto"/>
              <w:right w:val="single" w:sz="8" w:space="0" w:color="auto"/>
            </w:tcBorders>
            <w:noWrap/>
            <w:vAlign w:val="center"/>
            <w:hideMark/>
          </w:tcPr>
          <w:p w14:paraId="2A00BC9F"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$204,194 </w:t>
            </w:r>
          </w:p>
        </w:tc>
        <w:tc>
          <w:tcPr>
            <w:tcW w:w="181" w:type="pct"/>
            <w:tcBorders>
              <w:top w:val="nil"/>
              <w:left w:val="nil"/>
              <w:bottom w:val="single" w:sz="8" w:space="0" w:color="auto"/>
              <w:right w:val="single" w:sz="8" w:space="0" w:color="auto"/>
            </w:tcBorders>
            <w:noWrap/>
            <w:vAlign w:val="center"/>
            <w:hideMark/>
          </w:tcPr>
          <w:p w14:paraId="7950EC09"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11</w:t>
            </w:r>
          </w:p>
        </w:tc>
      </w:tr>
      <w:tr w:rsidR="00170617" w:rsidRPr="002926D7" w14:paraId="1E4B2671" w14:textId="77777777" w:rsidTr="00170617">
        <w:trPr>
          <w:trHeight w:val="288"/>
          <w:jc w:val="center"/>
        </w:trPr>
        <w:tc>
          <w:tcPr>
            <w:tcW w:w="423" w:type="pct"/>
            <w:vMerge/>
            <w:tcBorders>
              <w:left w:val="single" w:sz="8" w:space="0" w:color="auto"/>
              <w:right w:val="single" w:sz="8" w:space="0" w:color="auto"/>
            </w:tcBorders>
            <w:vAlign w:val="center"/>
          </w:tcPr>
          <w:p w14:paraId="22CC5AA8" w14:textId="655C82DE"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14BE96C8" w14:textId="66DAF570"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6EAB2F86"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84B22B6"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57F83D9"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7F1EC9A"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170EC8CF"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75700</w:t>
            </w:r>
          </w:p>
        </w:tc>
        <w:tc>
          <w:tcPr>
            <w:tcW w:w="334" w:type="pct"/>
            <w:tcBorders>
              <w:top w:val="nil"/>
              <w:left w:val="nil"/>
              <w:bottom w:val="single" w:sz="8" w:space="0" w:color="auto"/>
              <w:right w:val="single" w:sz="8" w:space="0" w:color="auto"/>
            </w:tcBorders>
            <w:vAlign w:val="center"/>
            <w:hideMark/>
          </w:tcPr>
          <w:p w14:paraId="2D3A603A"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Training, Workshops and Confer</w:t>
            </w:r>
          </w:p>
        </w:tc>
        <w:tc>
          <w:tcPr>
            <w:tcW w:w="363" w:type="pct"/>
            <w:tcBorders>
              <w:top w:val="nil"/>
              <w:left w:val="nil"/>
              <w:bottom w:val="single" w:sz="8" w:space="0" w:color="auto"/>
              <w:right w:val="single" w:sz="8" w:space="0" w:color="auto"/>
            </w:tcBorders>
            <w:noWrap/>
            <w:vAlign w:val="center"/>
            <w:hideMark/>
          </w:tcPr>
          <w:p w14:paraId="338A5F4C"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$49,627 </w:t>
            </w:r>
          </w:p>
        </w:tc>
        <w:tc>
          <w:tcPr>
            <w:tcW w:w="364" w:type="pct"/>
            <w:tcBorders>
              <w:top w:val="nil"/>
              <w:left w:val="nil"/>
              <w:bottom w:val="single" w:sz="8" w:space="0" w:color="auto"/>
              <w:right w:val="single" w:sz="8" w:space="0" w:color="auto"/>
            </w:tcBorders>
            <w:noWrap/>
            <w:vAlign w:val="center"/>
            <w:hideMark/>
          </w:tcPr>
          <w:p w14:paraId="5E76B25C"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$67,236 </w:t>
            </w:r>
          </w:p>
        </w:tc>
        <w:tc>
          <w:tcPr>
            <w:tcW w:w="333" w:type="pct"/>
            <w:tcBorders>
              <w:top w:val="nil"/>
              <w:left w:val="nil"/>
              <w:bottom w:val="single" w:sz="8" w:space="0" w:color="auto"/>
              <w:right w:val="single" w:sz="8" w:space="0" w:color="auto"/>
            </w:tcBorders>
            <w:noWrap/>
            <w:vAlign w:val="center"/>
            <w:hideMark/>
          </w:tcPr>
          <w:p w14:paraId="0AA565C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$30,416 </w:t>
            </w:r>
          </w:p>
        </w:tc>
        <w:tc>
          <w:tcPr>
            <w:tcW w:w="334" w:type="pct"/>
            <w:tcBorders>
              <w:top w:val="nil"/>
              <w:left w:val="nil"/>
              <w:bottom w:val="single" w:sz="8" w:space="0" w:color="auto"/>
              <w:right w:val="single" w:sz="8" w:space="0" w:color="auto"/>
            </w:tcBorders>
            <w:noWrap/>
            <w:vAlign w:val="center"/>
            <w:hideMark/>
          </w:tcPr>
          <w:p w14:paraId="063DCABA"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$8,004 </w:t>
            </w:r>
          </w:p>
        </w:tc>
        <w:tc>
          <w:tcPr>
            <w:tcW w:w="276" w:type="pct"/>
            <w:tcBorders>
              <w:top w:val="nil"/>
              <w:left w:val="nil"/>
              <w:bottom w:val="single" w:sz="8" w:space="0" w:color="auto"/>
              <w:right w:val="single" w:sz="8" w:space="0" w:color="auto"/>
            </w:tcBorders>
            <w:vAlign w:val="center"/>
            <w:hideMark/>
          </w:tcPr>
          <w:p w14:paraId="0B96EFBB"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$4,803 </w:t>
            </w:r>
          </w:p>
        </w:tc>
        <w:tc>
          <w:tcPr>
            <w:tcW w:w="391" w:type="pct"/>
            <w:gridSpan w:val="2"/>
            <w:tcBorders>
              <w:top w:val="nil"/>
              <w:left w:val="nil"/>
              <w:bottom w:val="single" w:sz="8" w:space="0" w:color="auto"/>
              <w:right w:val="single" w:sz="8" w:space="0" w:color="auto"/>
            </w:tcBorders>
            <w:noWrap/>
            <w:vAlign w:val="center"/>
            <w:hideMark/>
          </w:tcPr>
          <w:p w14:paraId="38778837"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$160,086 </w:t>
            </w:r>
          </w:p>
        </w:tc>
        <w:tc>
          <w:tcPr>
            <w:tcW w:w="181" w:type="pct"/>
            <w:tcBorders>
              <w:top w:val="nil"/>
              <w:left w:val="nil"/>
              <w:bottom w:val="single" w:sz="8" w:space="0" w:color="auto"/>
              <w:right w:val="single" w:sz="8" w:space="0" w:color="auto"/>
            </w:tcBorders>
            <w:noWrap/>
            <w:vAlign w:val="center"/>
            <w:hideMark/>
          </w:tcPr>
          <w:p w14:paraId="5CB1710F"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6</w:t>
            </w:r>
          </w:p>
        </w:tc>
      </w:tr>
      <w:tr w:rsidR="00170617" w:rsidRPr="002926D7" w14:paraId="6C64B00D" w14:textId="77777777" w:rsidTr="00170617">
        <w:trPr>
          <w:trHeight w:val="288"/>
          <w:jc w:val="center"/>
        </w:trPr>
        <w:tc>
          <w:tcPr>
            <w:tcW w:w="423" w:type="pct"/>
            <w:vMerge/>
            <w:tcBorders>
              <w:left w:val="single" w:sz="8" w:space="0" w:color="auto"/>
              <w:right w:val="single" w:sz="8" w:space="0" w:color="auto"/>
            </w:tcBorders>
            <w:vAlign w:val="center"/>
          </w:tcPr>
          <w:p w14:paraId="440E764C" w14:textId="15785DF9"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79DD12C1" w14:textId="01D2A733"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31256B74"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3980601"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A2B0510"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F6E3990"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22A321CE"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61300</w:t>
            </w:r>
          </w:p>
        </w:tc>
        <w:tc>
          <w:tcPr>
            <w:tcW w:w="334" w:type="pct"/>
            <w:tcBorders>
              <w:top w:val="nil"/>
              <w:left w:val="nil"/>
              <w:bottom w:val="single" w:sz="8" w:space="0" w:color="auto"/>
              <w:right w:val="single" w:sz="8" w:space="0" w:color="auto"/>
            </w:tcBorders>
            <w:vAlign w:val="center"/>
            <w:hideMark/>
          </w:tcPr>
          <w:p w14:paraId="6754A32A"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 xml:space="preserve"> Salary &amp; Post Adj Cst-IP Staff</w:t>
            </w:r>
          </w:p>
        </w:tc>
        <w:tc>
          <w:tcPr>
            <w:tcW w:w="363" w:type="pct"/>
            <w:tcBorders>
              <w:top w:val="nil"/>
              <w:left w:val="nil"/>
              <w:bottom w:val="single" w:sz="8" w:space="0" w:color="auto"/>
              <w:right w:val="single" w:sz="8" w:space="0" w:color="auto"/>
            </w:tcBorders>
            <w:noWrap/>
            <w:vAlign w:val="center"/>
            <w:hideMark/>
          </w:tcPr>
          <w:p w14:paraId="35047F77"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$32,792 </w:t>
            </w:r>
          </w:p>
        </w:tc>
        <w:tc>
          <w:tcPr>
            <w:tcW w:w="364" w:type="pct"/>
            <w:tcBorders>
              <w:top w:val="nil"/>
              <w:left w:val="nil"/>
              <w:bottom w:val="single" w:sz="8" w:space="0" w:color="auto"/>
              <w:right w:val="single" w:sz="8" w:space="0" w:color="auto"/>
            </w:tcBorders>
            <w:noWrap/>
            <w:vAlign w:val="center"/>
            <w:hideMark/>
          </w:tcPr>
          <w:p w14:paraId="089ABFB7"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$44,428 </w:t>
            </w:r>
          </w:p>
        </w:tc>
        <w:tc>
          <w:tcPr>
            <w:tcW w:w="333" w:type="pct"/>
            <w:tcBorders>
              <w:top w:val="nil"/>
              <w:left w:val="nil"/>
              <w:bottom w:val="single" w:sz="8" w:space="0" w:color="auto"/>
              <w:right w:val="single" w:sz="8" w:space="0" w:color="auto"/>
            </w:tcBorders>
            <w:noWrap/>
            <w:vAlign w:val="center"/>
            <w:hideMark/>
          </w:tcPr>
          <w:p w14:paraId="33B98DE6"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$20,098 </w:t>
            </w:r>
          </w:p>
        </w:tc>
        <w:tc>
          <w:tcPr>
            <w:tcW w:w="334" w:type="pct"/>
            <w:tcBorders>
              <w:top w:val="nil"/>
              <w:left w:val="nil"/>
              <w:bottom w:val="single" w:sz="8" w:space="0" w:color="auto"/>
              <w:right w:val="single" w:sz="8" w:space="0" w:color="auto"/>
            </w:tcBorders>
            <w:noWrap/>
            <w:vAlign w:val="center"/>
            <w:hideMark/>
          </w:tcPr>
          <w:p w14:paraId="70856FCB"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$5,289 </w:t>
            </w:r>
          </w:p>
        </w:tc>
        <w:tc>
          <w:tcPr>
            <w:tcW w:w="276" w:type="pct"/>
            <w:tcBorders>
              <w:top w:val="nil"/>
              <w:left w:val="nil"/>
              <w:bottom w:val="single" w:sz="8" w:space="0" w:color="auto"/>
              <w:right w:val="single" w:sz="8" w:space="0" w:color="auto"/>
            </w:tcBorders>
            <w:vAlign w:val="center"/>
            <w:hideMark/>
          </w:tcPr>
          <w:p w14:paraId="4A1EA446"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$3,173 </w:t>
            </w:r>
          </w:p>
        </w:tc>
        <w:tc>
          <w:tcPr>
            <w:tcW w:w="391" w:type="pct"/>
            <w:gridSpan w:val="2"/>
            <w:tcBorders>
              <w:top w:val="nil"/>
              <w:left w:val="nil"/>
              <w:bottom w:val="single" w:sz="8" w:space="0" w:color="auto"/>
              <w:right w:val="single" w:sz="8" w:space="0" w:color="auto"/>
            </w:tcBorders>
            <w:noWrap/>
            <w:vAlign w:val="center"/>
            <w:hideMark/>
          </w:tcPr>
          <w:p w14:paraId="1490F01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$105,780 </w:t>
            </w:r>
          </w:p>
        </w:tc>
        <w:tc>
          <w:tcPr>
            <w:tcW w:w="181" w:type="pct"/>
            <w:tcBorders>
              <w:top w:val="nil"/>
              <w:left w:val="nil"/>
              <w:bottom w:val="single" w:sz="8" w:space="0" w:color="auto"/>
              <w:right w:val="single" w:sz="8" w:space="0" w:color="auto"/>
            </w:tcBorders>
            <w:noWrap/>
            <w:vAlign w:val="center"/>
            <w:hideMark/>
          </w:tcPr>
          <w:p w14:paraId="17567F77"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4</w:t>
            </w:r>
          </w:p>
        </w:tc>
      </w:tr>
      <w:tr w:rsidR="00170617" w:rsidRPr="002926D7" w14:paraId="0DE983C1" w14:textId="77777777" w:rsidTr="00170617">
        <w:trPr>
          <w:trHeight w:val="288"/>
          <w:jc w:val="center"/>
        </w:trPr>
        <w:tc>
          <w:tcPr>
            <w:tcW w:w="423" w:type="pct"/>
            <w:vMerge/>
            <w:tcBorders>
              <w:left w:val="single" w:sz="8" w:space="0" w:color="auto"/>
              <w:right w:val="single" w:sz="8" w:space="0" w:color="auto"/>
            </w:tcBorders>
            <w:vAlign w:val="center"/>
          </w:tcPr>
          <w:p w14:paraId="6DC2C8EC" w14:textId="1C295E00"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64A2FCA5" w14:textId="7D18194F"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5BC329F8" w14:textId="77777777" w:rsidR="001506D3" w:rsidRPr="002926D7" w:rsidRDefault="001506D3" w:rsidP="002926D7">
            <w:pPr>
              <w:contextualSpacing/>
              <w:jc w:val="left"/>
              <w:rPr>
                <w:rFonts w:eastAsia="Times New Roman" w:cs="Calibri"/>
                <w:i/>
                <w:iCs/>
                <w:color w:val="000000"/>
                <w:sz w:val="14"/>
                <w:szCs w:val="14"/>
              </w:rPr>
            </w:pPr>
          </w:p>
        </w:tc>
        <w:tc>
          <w:tcPr>
            <w:tcW w:w="1428" w:type="pct"/>
            <w:gridSpan w:val="5"/>
            <w:tcBorders>
              <w:top w:val="single" w:sz="8" w:space="0" w:color="auto"/>
              <w:left w:val="nil"/>
              <w:bottom w:val="single" w:sz="8" w:space="0" w:color="auto"/>
              <w:right w:val="nil"/>
            </w:tcBorders>
            <w:vAlign w:val="center"/>
            <w:hideMark/>
          </w:tcPr>
          <w:p w14:paraId="692DFBBD" w14:textId="77777777" w:rsidR="001506D3" w:rsidRPr="002926D7" w:rsidRDefault="001506D3" w:rsidP="002926D7">
            <w:pPr>
              <w:ind w:right="-8"/>
              <w:contextualSpacing/>
              <w:rPr>
                <w:rFonts w:eastAsia="Times New Roman" w:cs="Calibri"/>
                <w:b/>
                <w:bCs/>
                <w:i/>
                <w:iCs/>
                <w:color w:val="000000"/>
                <w:sz w:val="14"/>
                <w:szCs w:val="14"/>
              </w:rPr>
            </w:pPr>
            <w:r w:rsidRPr="002926D7">
              <w:rPr>
                <w:rFonts w:eastAsia="Times New Roman" w:cs="Calibri"/>
                <w:b/>
                <w:bCs/>
                <w:i/>
                <w:iCs/>
                <w:color w:val="000000"/>
                <w:sz w:val="14"/>
                <w:szCs w:val="14"/>
              </w:rPr>
              <w:t>Total UNDP</w:t>
            </w:r>
          </w:p>
        </w:tc>
        <w:tc>
          <w:tcPr>
            <w:tcW w:w="363" w:type="pct"/>
            <w:tcBorders>
              <w:top w:val="nil"/>
              <w:left w:val="nil"/>
              <w:bottom w:val="single" w:sz="8" w:space="0" w:color="auto"/>
              <w:right w:val="single" w:sz="8" w:space="0" w:color="auto"/>
            </w:tcBorders>
            <w:noWrap/>
            <w:vAlign w:val="center"/>
            <w:hideMark/>
          </w:tcPr>
          <w:p w14:paraId="241F6A0A"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$426,385 </w:t>
            </w:r>
          </w:p>
        </w:tc>
        <w:tc>
          <w:tcPr>
            <w:tcW w:w="364" w:type="pct"/>
            <w:tcBorders>
              <w:top w:val="nil"/>
              <w:left w:val="nil"/>
              <w:bottom w:val="single" w:sz="8" w:space="0" w:color="auto"/>
              <w:right w:val="single" w:sz="8" w:space="0" w:color="auto"/>
            </w:tcBorders>
            <w:noWrap/>
            <w:vAlign w:val="center"/>
            <w:hideMark/>
          </w:tcPr>
          <w:p w14:paraId="6433B615"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$577,682 </w:t>
            </w:r>
          </w:p>
        </w:tc>
        <w:tc>
          <w:tcPr>
            <w:tcW w:w="333" w:type="pct"/>
            <w:tcBorders>
              <w:top w:val="nil"/>
              <w:left w:val="nil"/>
              <w:bottom w:val="single" w:sz="8" w:space="0" w:color="auto"/>
              <w:right w:val="single" w:sz="8" w:space="0" w:color="auto"/>
            </w:tcBorders>
            <w:noWrap/>
            <w:vAlign w:val="center"/>
            <w:hideMark/>
          </w:tcPr>
          <w:p w14:paraId="2EDD232A"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$261,331 </w:t>
            </w:r>
          </w:p>
        </w:tc>
        <w:tc>
          <w:tcPr>
            <w:tcW w:w="334" w:type="pct"/>
            <w:tcBorders>
              <w:top w:val="nil"/>
              <w:left w:val="nil"/>
              <w:bottom w:val="single" w:sz="8" w:space="0" w:color="auto"/>
              <w:right w:val="single" w:sz="8" w:space="0" w:color="auto"/>
            </w:tcBorders>
            <w:noWrap/>
            <w:vAlign w:val="center"/>
            <w:hideMark/>
          </w:tcPr>
          <w:p w14:paraId="749ACC6F"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$68,773 </w:t>
            </w:r>
          </w:p>
        </w:tc>
        <w:tc>
          <w:tcPr>
            <w:tcW w:w="276" w:type="pct"/>
            <w:tcBorders>
              <w:top w:val="nil"/>
              <w:left w:val="nil"/>
              <w:bottom w:val="single" w:sz="8" w:space="0" w:color="auto"/>
              <w:right w:val="single" w:sz="8" w:space="0" w:color="auto"/>
            </w:tcBorders>
            <w:noWrap/>
            <w:vAlign w:val="center"/>
            <w:hideMark/>
          </w:tcPr>
          <w:p w14:paraId="71A1B7C8"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$41,263 </w:t>
            </w:r>
          </w:p>
        </w:tc>
        <w:tc>
          <w:tcPr>
            <w:tcW w:w="391" w:type="pct"/>
            <w:gridSpan w:val="2"/>
            <w:tcBorders>
              <w:top w:val="nil"/>
              <w:left w:val="nil"/>
              <w:bottom w:val="single" w:sz="8" w:space="0" w:color="auto"/>
              <w:right w:val="single" w:sz="8" w:space="0" w:color="auto"/>
            </w:tcBorders>
            <w:noWrap/>
            <w:vAlign w:val="center"/>
            <w:hideMark/>
          </w:tcPr>
          <w:p w14:paraId="64145E6D"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$1,375,434 </w:t>
            </w:r>
          </w:p>
        </w:tc>
        <w:tc>
          <w:tcPr>
            <w:tcW w:w="181" w:type="pct"/>
            <w:tcBorders>
              <w:top w:val="nil"/>
              <w:left w:val="nil"/>
              <w:bottom w:val="single" w:sz="8" w:space="0" w:color="auto"/>
              <w:right w:val="single" w:sz="8" w:space="0" w:color="auto"/>
            </w:tcBorders>
            <w:noWrap/>
            <w:vAlign w:val="center"/>
            <w:hideMark/>
          </w:tcPr>
          <w:p w14:paraId="7C7775A7"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1E46DB22" w14:textId="77777777" w:rsidTr="00170617">
        <w:trPr>
          <w:trHeight w:val="288"/>
          <w:jc w:val="center"/>
        </w:trPr>
        <w:tc>
          <w:tcPr>
            <w:tcW w:w="423" w:type="pct"/>
            <w:vMerge/>
            <w:tcBorders>
              <w:left w:val="single" w:sz="8" w:space="0" w:color="auto"/>
              <w:right w:val="single" w:sz="8" w:space="0" w:color="auto"/>
            </w:tcBorders>
            <w:vAlign w:val="center"/>
          </w:tcPr>
          <w:p w14:paraId="52702ECC" w14:textId="4A88515F"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34C01DFA" w14:textId="456D9BFD" w:rsidR="001506D3" w:rsidRPr="002926D7" w:rsidRDefault="001506D3" w:rsidP="002926D7">
            <w:pPr>
              <w:contextualSpacing/>
              <w:jc w:val="left"/>
              <w:rPr>
                <w:rFonts w:eastAsia="Times New Roman" w:cs="Calibri"/>
                <w:i/>
                <w:iCs/>
                <w:color w:val="000000"/>
                <w:sz w:val="14"/>
                <w:szCs w:val="14"/>
              </w:rPr>
            </w:pPr>
          </w:p>
        </w:tc>
        <w:tc>
          <w:tcPr>
            <w:tcW w:w="1881" w:type="pct"/>
            <w:gridSpan w:val="6"/>
            <w:tcBorders>
              <w:top w:val="single" w:sz="8" w:space="0" w:color="auto"/>
              <w:left w:val="nil"/>
              <w:bottom w:val="single" w:sz="8" w:space="0" w:color="auto"/>
              <w:right w:val="nil"/>
            </w:tcBorders>
            <w:vAlign w:val="center"/>
            <w:hideMark/>
          </w:tcPr>
          <w:p w14:paraId="494ADFCE" w14:textId="77777777" w:rsidR="001506D3" w:rsidRPr="002926D7" w:rsidRDefault="001506D3" w:rsidP="002926D7">
            <w:pPr>
              <w:ind w:right="-8"/>
              <w:contextualSpacing/>
              <w:rPr>
                <w:rFonts w:eastAsia="Times New Roman" w:cs="Calibri"/>
                <w:i/>
                <w:iCs/>
                <w:color w:val="000000"/>
                <w:sz w:val="14"/>
                <w:szCs w:val="14"/>
              </w:rPr>
            </w:pPr>
            <w:r w:rsidRPr="002926D7">
              <w:rPr>
                <w:rFonts w:eastAsia="Times New Roman" w:cs="Calibri"/>
                <w:i/>
                <w:iCs/>
                <w:color w:val="000000"/>
                <w:sz w:val="14"/>
                <w:szCs w:val="14"/>
              </w:rPr>
              <w:t>Total Output 4.1.1</w:t>
            </w:r>
          </w:p>
        </w:tc>
        <w:tc>
          <w:tcPr>
            <w:tcW w:w="363" w:type="pct"/>
            <w:tcBorders>
              <w:top w:val="nil"/>
              <w:left w:val="nil"/>
              <w:bottom w:val="single" w:sz="8" w:space="0" w:color="auto"/>
              <w:right w:val="single" w:sz="8" w:space="0" w:color="auto"/>
            </w:tcBorders>
            <w:noWrap/>
            <w:vAlign w:val="center"/>
            <w:hideMark/>
          </w:tcPr>
          <w:p w14:paraId="5878AF76"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$426,385 </w:t>
            </w:r>
          </w:p>
        </w:tc>
        <w:tc>
          <w:tcPr>
            <w:tcW w:w="364" w:type="pct"/>
            <w:tcBorders>
              <w:top w:val="nil"/>
              <w:left w:val="nil"/>
              <w:bottom w:val="single" w:sz="8" w:space="0" w:color="auto"/>
              <w:right w:val="single" w:sz="8" w:space="0" w:color="auto"/>
            </w:tcBorders>
            <w:noWrap/>
            <w:vAlign w:val="center"/>
            <w:hideMark/>
          </w:tcPr>
          <w:p w14:paraId="28F0229A"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$577,682 </w:t>
            </w:r>
          </w:p>
        </w:tc>
        <w:tc>
          <w:tcPr>
            <w:tcW w:w="333" w:type="pct"/>
            <w:tcBorders>
              <w:top w:val="nil"/>
              <w:left w:val="nil"/>
              <w:bottom w:val="single" w:sz="8" w:space="0" w:color="auto"/>
              <w:right w:val="single" w:sz="8" w:space="0" w:color="auto"/>
            </w:tcBorders>
            <w:noWrap/>
            <w:vAlign w:val="center"/>
            <w:hideMark/>
          </w:tcPr>
          <w:p w14:paraId="1F6C3488"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$261,331 </w:t>
            </w:r>
          </w:p>
        </w:tc>
        <w:tc>
          <w:tcPr>
            <w:tcW w:w="334" w:type="pct"/>
            <w:tcBorders>
              <w:top w:val="nil"/>
              <w:left w:val="nil"/>
              <w:bottom w:val="single" w:sz="8" w:space="0" w:color="auto"/>
              <w:right w:val="single" w:sz="8" w:space="0" w:color="auto"/>
            </w:tcBorders>
            <w:noWrap/>
            <w:vAlign w:val="center"/>
            <w:hideMark/>
          </w:tcPr>
          <w:p w14:paraId="1527FCEE"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$68,773 </w:t>
            </w:r>
          </w:p>
        </w:tc>
        <w:tc>
          <w:tcPr>
            <w:tcW w:w="276" w:type="pct"/>
            <w:tcBorders>
              <w:top w:val="nil"/>
              <w:left w:val="nil"/>
              <w:bottom w:val="single" w:sz="8" w:space="0" w:color="auto"/>
              <w:right w:val="single" w:sz="8" w:space="0" w:color="auto"/>
            </w:tcBorders>
            <w:noWrap/>
            <w:vAlign w:val="center"/>
            <w:hideMark/>
          </w:tcPr>
          <w:p w14:paraId="3A1F00CA"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$41,263 </w:t>
            </w:r>
          </w:p>
        </w:tc>
        <w:tc>
          <w:tcPr>
            <w:tcW w:w="391" w:type="pct"/>
            <w:gridSpan w:val="2"/>
            <w:tcBorders>
              <w:top w:val="nil"/>
              <w:left w:val="nil"/>
              <w:bottom w:val="single" w:sz="8" w:space="0" w:color="auto"/>
              <w:right w:val="single" w:sz="8" w:space="0" w:color="auto"/>
            </w:tcBorders>
            <w:noWrap/>
            <w:vAlign w:val="center"/>
            <w:hideMark/>
          </w:tcPr>
          <w:p w14:paraId="526E266A"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$1,375,434 </w:t>
            </w:r>
          </w:p>
        </w:tc>
        <w:tc>
          <w:tcPr>
            <w:tcW w:w="181" w:type="pct"/>
            <w:tcBorders>
              <w:top w:val="nil"/>
              <w:left w:val="nil"/>
              <w:bottom w:val="single" w:sz="8" w:space="0" w:color="auto"/>
              <w:right w:val="single" w:sz="8" w:space="0" w:color="auto"/>
            </w:tcBorders>
            <w:noWrap/>
            <w:vAlign w:val="center"/>
            <w:hideMark/>
          </w:tcPr>
          <w:p w14:paraId="66C492F6"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3AA7FC9D" w14:textId="77777777" w:rsidTr="00170617">
        <w:trPr>
          <w:trHeight w:val="288"/>
          <w:jc w:val="center"/>
        </w:trPr>
        <w:tc>
          <w:tcPr>
            <w:tcW w:w="423" w:type="pct"/>
            <w:vMerge/>
            <w:tcBorders>
              <w:left w:val="single" w:sz="8" w:space="0" w:color="auto"/>
              <w:right w:val="single" w:sz="8" w:space="0" w:color="auto"/>
            </w:tcBorders>
            <w:vAlign w:val="center"/>
          </w:tcPr>
          <w:p w14:paraId="1F51732E" w14:textId="076C912C"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12BC7EA9" w14:textId="3EB7E1F2" w:rsidR="001506D3" w:rsidRPr="002926D7" w:rsidRDefault="001506D3" w:rsidP="002926D7">
            <w:pPr>
              <w:contextualSpacing/>
              <w:jc w:val="left"/>
              <w:rPr>
                <w:rFonts w:eastAsia="Times New Roman" w:cs="Calibri"/>
                <w:i/>
                <w:iCs/>
                <w:color w:val="000000"/>
                <w:sz w:val="14"/>
                <w:szCs w:val="14"/>
              </w:rPr>
            </w:pPr>
          </w:p>
        </w:tc>
        <w:tc>
          <w:tcPr>
            <w:tcW w:w="454" w:type="pct"/>
            <w:vMerge w:val="restart"/>
            <w:tcBorders>
              <w:top w:val="nil"/>
              <w:left w:val="single" w:sz="8" w:space="0" w:color="auto"/>
              <w:bottom w:val="single" w:sz="8" w:space="0" w:color="000000"/>
              <w:right w:val="single" w:sz="8" w:space="0" w:color="auto"/>
            </w:tcBorders>
            <w:vAlign w:val="center"/>
            <w:hideMark/>
          </w:tcPr>
          <w:p w14:paraId="6453CFCA" w14:textId="77777777" w:rsidR="001506D3" w:rsidRPr="002926D7" w:rsidRDefault="001506D3"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Output 4.1.2 CSOs/ CBOs and local communities are supported in continuous learnings  and improvements in analyzing opportunities, risks and drivers of success and failures to achieve results across landscapes-seascapes and regions.</w:t>
            </w:r>
          </w:p>
        </w:tc>
        <w:tc>
          <w:tcPr>
            <w:tcW w:w="273" w:type="pct"/>
            <w:vMerge w:val="restart"/>
            <w:tcBorders>
              <w:top w:val="nil"/>
              <w:left w:val="single" w:sz="8" w:space="0" w:color="auto"/>
              <w:bottom w:val="single" w:sz="8" w:space="0" w:color="000000"/>
              <w:right w:val="single" w:sz="8" w:space="0" w:color="auto"/>
            </w:tcBorders>
            <w:vAlign w:val="center"/>
            <w:hideMark/>
          </w:tcPr>
          <w:p w14:paraId="7E5773A3" w14:textId="77777777" w:rsidR="001506D3" w:rsidRPr="002926D7" w:rsidRDefault="001506D3"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UNDP</w:t>
            </w:r>
          </w:p>
        </w:tc>
        <w:tc>
          <w:tcPr>
            <w:tcW w:w="273" w:type="pct"/>
            <w:vMerge w:val="restart"/>
            <w:tcBorders>
              <w:top w:val="nil"/>
              <w:left w:val="single" w:sz="8" w:space="0" w:color="auto"/>
              <w:bottom w:val="single" w:sz="8" w:space="0" w:color="000000"/>
              <w:right w:val="single" w:sz="8" w:space="0" w:color="auto"/>
            </w:tcBorders>
            <w:vAlign w:val="center"/>
            <w:hideMark/>
          </w:tcPr>
          <w:p w14:paraId="7BFC2CB2"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62000</w:t>
            </w:r>
          </w:p>
        </w:tc>
        <w:tc>
          <w:tcPr>
            <w:tcW w:w="273" w:type="pct"/>
            <w:vMerge w:val="restart"/>
            <w:tcBorders>
              <w:top w:val="nil"/>
              <w:left w:val="single" w:sz="8" w:space="0" w:color="auto"/>
              <w:bottom w:val="single" w:sz="8" w:space="0" w:color="000000"/>
              <w:right w:val="single" w:sz="8" w:space="0" w:color="auto"/>
            </w:tcBorders>
            <w:vAlign w:val="center"/>
            <w:hideMark/>
          </w:tcPr>
          <w:p w14:paraId="144BABDE" w14:textId="77777777" w:rsidR="001506D3" w:rsidRPr="002926D7" w:rsidRDefault="001506D3" w:rsidP="002926D7">
            <w:pPr>
              <w:ind w:right="-8"/>
              <w:contextualSpacing/>
              <w:jc w:val="center"/>
              <w:rPr>
                <w:rFonts w:eastAsia="Times New Roman" w:cs="Calibri"/>
                <w:i/>
                <w:iCs/>
                <w:color w:val="000000"/>
                <w:sz w:val="14"/>
                <w:szCs w:val="14"/>
              </w:rPr>
            </w:pPr>
            <w:r w:rsidRPr="002926D7">
              <w:rPr>
                <w:rFonts w:eastAsia="Times New Roman" w:cs="Calibri"/>
                <w:i/>
                <w:iCs/>
                <w:color w:val="000000"/>
                <w:sz w:val="14"/>
                <w:szCs w:val="14"/>
              </w:rPr>
              <w:t>10003</w:t>
            </w:r>
          </w:p>
        </w:tc>
        <w:tc>
          <w:tcPr>
            <w:tcW w:w="275" w:type="pct"/>
            <w:tcBorders>
              <w:top w:val="nil"/>
              <w:left w:val="nil"/>
              <w:bottom w:val="single" w:sz="8" w:space="0" w:color="auto"/>
              <w:right w:val="single" w:sz="8" w:space="0" w:color="auto"/>
            </w:tcBorders>
            <w:vAlign w:val="center"/>
            <w:hideMark/>
          </w:tcPr>
          <w:p w14:paraId="360D1939"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71200</w:t>
            </w:r>
          </w:p>
        </w:tc>
        <w:tc>
          <w:tcPr>
            <w:tcW w:w="334" w:type="pct"/>
            <w:tcBorders>
              <w:top w:val="nil"/>
              <w:left w:val="nil"/>
              <w:bottom w:val="single" w:sz="8" w:space="0" w:color="auto"/>
              <w:right w:val="single" w:sz="8" w:space="0" w:color="auto"/>
            </w:tcBorders>
            <w:vAlign w:val="center"/>
            <w:hideMark/>
          </w:tcPr>
          <w:p w14:paraId="2F8D74AD"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International Consultants</w:t>
            </w:r>
          </w:p>
        </w:tc>
        <w:tc>
          <w:tcPr>
            <w:tcW w:w="363" w:type="pct"/>
            <w:tcBorders>
              <w:top w:val="nil"/>
              <w:left w:val="nil"/>
              <w:bottom w:val="single" w:sz="8" w:space="0" w:color="auto"/>
              <w:right w:val="single" w:sz="8" w:space="0" w:color="auto"/>
            </w:tcBorders>
            <w:noWrap/>
            <w:vAlign w:val="center"/>
            <w:hideMark/>
          </w:tcPr>
          <w:p w14:paraId="60C1E9F0"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$7,618 </w:t>
            </w:r>
          </w:p>
        </w:tc>
        <w:tc>
          <w:tcPr>
            <w:tcW w:w="364" w:type="pct"/>
            <w:tcBorders>
              <w:top w:val="nil"/>
              <w:left w:val="nil"/>
              <w:bottom w:val="single" w:sz="8" w:space="0" w:color="auto"/>
              <w:right w:val="single" w:sz="8" w:space="0" w:color="auto"/>
            </w:tcBorders>
            <w:noWrap/>
            <w:vAlign w:val="center"/>
            <w:hideMark/>
          </w:tcPr>
          <w:p w14:paraId="0A3874E8"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$10,322 </w:t>
            </w:r>
          </w:p>
        </w:tc>
        <w:tc>
          <w:tcPr>
            <w:tcW w:w="333" w:type="pct"/>
            <w:tcBorders>
              <w:top w:val="nil"/>
              <w:left w:val="nil"/>
              <w:bottom w:val="single" w:sz="8" w:space="0" w:color="auto"/>
              <w:right w:val="single" w:sz="8" w:space="0" w:color="auto"/>
            </w:tcBorders>
            <w:noWrap/>
            <w:vAlign w:val="center"/>
            <w:hideMark/>
          </w:tcPr>
          <w:p w14:paraId="32E99E28"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$4,669 </w:t>
            </w:r>
          </w:p>
        </w:tc>
        <w:tc>
          <w:tcPr>
            <w:tcW w:w="334" w:type="pct"/>
            <w:tcBorders>
              <w:top w:val="nil"/>
              <w:left w:val="nil"/>
              <w:bottom w:val="single" w:sz="8" w:space="0" w:color="auto"/>
              <w:right w:val="single" w:sz="8" w:space="0" w:color="auto"/>
            </w:tcBorders>
            <w:noWrap/>
            <w:vAlign w:val="center"/>
            <w:hideMark/>
          </w:tcPr>
          <w:p w14:paraId="47652F03"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$1,229 </w:t>
            </w:r>
          </w:p>
        </w:tc>
        <w:tc>
          <w:tcPr>
            <w:tcW w:w="276" w:type="pct"/>
            <w:tcBorders>
              <w:top w:val="nil"/>
              <w:left w:val="nil"/>
              <w:bottom w:val="single" w:sz="8" w:space="0" w:color="auto"/>
              <w:right w:val="single" w:sz="8" w:space="0" w:color="auto"/>
            </w:tcBorders>
            <w:vAlign w:val="center"/>
            <w:hideMark/>
          </w:tcPr>
          <w:p w14:paraId="0FC94EB3"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$737 </w:t>
            </w:r>
          </w:p>
        </w:tc>
        <w:tc>
          <w:tcPr>
            <w:tcW w:w="391" w:type="pct"/>
            <w:gridSpan w:val="2"/>
            <w:tcBorders>
              <w:top w:val="nil"/>
              <w:left w:val="nil"/>
              <w:bottom w:val="single" w:sz="8" w:space="0" w:color="auto"/>
              <w:right w:val="single" w:sz="8" w:space="0" w:color="auto"/>
            </w:tcBorders>
            <w:noWrap/>
            <w:vAlign w:val="center"/>
            <w:hideMark/>
          </w:tcPr>
          <w:p w14:paraId="38DCDCE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$24,575 </w:t>
            </w:r>
          </w:p>
        </w:tc>
        <w:tc>
          <w:tcPr>
            <w:tcW w:w="181" w:type="pct"/>
            <w:tcBorders>
              <w:top w:val="nil"/>
              <w:left w:val="nil"/>
              <w:bottom w:val="single" w:sz="8" w:space="0" w:color="auto"/>
              <w:right w:val="single" w:sz="8" w:space="0" w:color="auto"/>
            </w:tcBorders>
            <w:noWrap/>
            <w:vAlign w:val="center"/>
            <w:hideMark/>
          </w:tcPr>
          <w:p w14:paraId="0C1271E4"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2</w:t>
            </w:r>
          </w:p>
        </w:tc>
      </w:tr>
      <w:tr w:rsidR="00170617" w:rsidRPr="002926D7" w14:paraId="3D5F2DA4" w14:textId="77777777" w:rsidTr="00170617">
        <w:trPr>
          <w:trHeight w:val="288"/>
          <w:jc w:val="center"/>
        </w:trPr>
        <w:tc>
          <w:tcPr>
            <w:tcW w:w="423" w:type="pct"/>
            <w:vMerge/>
            <w:tcBorders>
              <w:left w:val="single" w:sz="8" w:space="0" w:color="auto"/>
              <w:right w:val="single" w:sz="8" w:space="0" w:color="auto"/>
            </w:tcBorders>
            <w:vAlign w:val="center"/>
          </w:tcPr>
          <w:p w14:paraId="5992E322" w14:textId="57DE4515"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73206FDB" w14:textId="4E9EE1C5"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3E7022F7"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EFA21B0"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CEB537A"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AEE3095"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5ECAA5FC"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71300</w:t>
            </w:r>
          </w:p>
        </w:tc>
        <w:tc>
          <w:tcPr>
            <w:tcW w:w="334" w:type="pct"/>
            <w:tcBorders>
              <w:top w:val="nil"/>
              <w:left w:val="nil"/>
              <w:bottom w:val="single" w:sz="8" w:space="0" w:color="auto"/>
              <w:right w:val="single" w:sz="8" w:space="0" w:color="auto"/>
            </w:tcBorders>
            <w:vAlign w:val="center"/>
            <w:hideMark/>
          </w:tcPr>
          <w:p w14:paraId="1F4E96EE"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Local Consultants</w:t>
            </w:r>
          </w:p>
        </w:tc>
        <w:tc>
          <w:tcPr>
            <w:tcW w:w="363" w:type="pct"/>
            <w:tcBorders>
              <w:top w:val="nil"/>
              <w:left w:val="nil"/>
              <w:bottom w:val="single" w:sz="8" w:space="0" w:color="auto"/>
              <w:right w:val="single" w:sz="8" w:space="0" w:color="auto"/>
            </w:tcBorders>
            <w:noWrap/>
            <w:vAlign w:val="center"/>
            <w:hideMark/>
          </w:tcPr>
          <w:p w14:paraId="2500EEE5"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$30,392 </w:t>
            </w:r>
          </w:p>
        </w:tc>
        <w:tc>
          <w:tcPr>
            <w:tcW w:w="364" w:type="pct"/>
            <w:tcBorders>
              <w:top w:val="nil"/>
              <w:left w:val="nil"/>
              <w:bottom w:val="single" w:sz="8" w:space="0" w:color="auto"/>
              <w:right w:val="single" w:sz="8" w:space="0" w:color="auto"/>
            </w:tcBorders>
            <w:noWrap/>
            <w:vAlign w:val="center"/>
            <w:hideMark/>
          </w:tcPr>
          <w:p w14:paraId="2FD9972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$41,176 </w:t>
            </w:r>
          </w:p>
        </w:tc>
        <w:tc>
          <w:tcPr>
            <w:tcW w:w="333" w:type="pct"/>
            <w:tcBorders>
              <w:top w:val="nil"/>
              <w:left w:val="nil"/>
              <w:bottom w:val="single" w:sz="8" w:space="0" w:color="auto"/>
              <w:right w:val="single" w:sz="8" w:space="0" w:color="auto"/>
            </w:tcBorders>
            <w:noWrap/>
            <w:vAlign w:val="center"/>
            <w:hideMark/>
          </w:tcPr>
          <w:p w14:paraId="498812A6"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$18,627 </w:t>
            </w:r>
          </w:p>
        </w:tc>
        <w:tc>
          <w:tcPr>
            <w:tcW w:w="334" w:type="pct"/>
            <w:tcBorders>
              <w:top w:val="nil"/>
              <w:left w:val="nil"/>
              <w:bottom w:val="single" w:sz="8" w:space="0" w:color="auto"/>
              <w:right w:val="single" w:sz="8" w:space="0" w:color="auto"/>
            </w:tcBorders>
            <w:noWrap/>
            <w:vAlign w:val="center"/>
            <w:hideMark/>
          </w:tcPr>
          <w:p w14:paraId="04404A97"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$4,902 </w:t>
            </w:r>
          </w:p>
        </w:tc>
        <w:tc>
          <w:tcPr>
            <w:tcW w:w="276" w:type="pct"/>
            <w:tcBorders>
              <w:top w:val="nil"/>
              <w:left w:val="nil"/>
              <w:bottom w:val="single" w:sz="8" w:space="0" w:color="auto"/>
              <w:right w:val="single" w:sz="8" w:space="0" w:color="auto"/>
            </w:tcBorders>
            <w:vAlign w:val="center"/>
            <w:hideMark/>
          </w:tcPr>
          <w:p w14:paraId="317A45FE"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$2,941 </w:t>
            </w:r>
          </w:p>
        </w:tc>
        <w:tc>
          <w:tcPr>
            <w:tcW w:w="391" w:type="pct"/>
            <w:gridSpan w:val="2"/>
            <w:tcBorders>
              <w:top w:val="nil"/>
              <w:left w:val="nil"/>
              <w:bottom w:val="single" w:sz="8" w:space="0" w:color="auto"/>
              <w:right w:val="single" w:sz="8" w:space="0" w:color="auto"/>
            </w:tcBorders>
            <w:noWrap/>
            <w:vAlign w:val="center"/>
            <w:hideMark/>
          </w:tcPr>
          <w:p w14:paraId="3ADBF186"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$98,038 </w:t>
            </w:r>
          </w:p>
        </w:tc>
        <w:tc>
          <w:tcPr>
            <w:tcW w:w="181" w:type="pct"/>
            <w:tcBorders>
              <w:top w:val="nil"/>
              <w:left w:val="nil"/>
              <w:bottom w:val="single" w:sz="8" w:space="0" w:color="auto"/>
              <w:right w:val="single" w:sz="8" w:space="0" w:color="auto"/>
            </w:tcBorders>
            <w:noWrap/>
            <w:vAlign w:val="center"/>
            <w:hideMark/>
          </w:tcPr>
          <w:p w14:paraId="22CD69C3"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3</w:t>
            </w:r>
          </w:p>
        </w:tc>
      </w:tr>
      <w:tr w:rsidR="00170617" w:rsidRPr="002926D7" w14:paraId="4D91B95D" w14:textId="77777777" w:rsidTr="00170617">
        <w:trPr>
          <w:trHeight w:val="288"/>
          <w:jc w:val="center"/>
        </w:trPr>
        <w:tc>
          <w:tcPr>
            <w:tcW w:w="423" w:type="pct"/>
            <w:vMerge/>
            <w:tcBorders>
              <w:left w:val="single" w:sz="8" w:space="0" w:color="auto"/>
              <w:right w:val="single" w:sz="8" w:space="0" w:color="auto"/>
            </w:tcBorders>
            <w:vAlign w:val="center"/>
          </w:tcPr>
          <w:p w14:paraId="0766B137" w14:textId="44D2D438"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09A94D25" w14:textId="04E5DFC9"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3F0146D4"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2F070A4F"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C2343A1"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2FE6438B"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2FB9ECFC"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71400</w:t>
            </w:r>
          </w:p>
        </w:tc>
        <w:tc>
          <w:tcPr>
            <w:tcW w:w="334" w:type="pct"/>
            <w:tcBorders>
              <w:top w:val="nil"/>
              <w:left w:val="nil"/>
              <w:bottom w:val="single" w:sz="8" w:space="0" w:color="auto"/>
              <w:right w:val="single" w:sz="8" w:space="0" w:color="auto"/>
            </w:tcBorders>
            <w:vAlign w:val="center"/>
            <w:hideMark/>
          </w:tcPr>
          <w:p w14:paraId="0AC54FF3"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Contractual Services - Individ</w:t>
            </w:r>
          </w:p>
        </w:tc>
        <w:tc>
          <w:tcPr>
            <w:tcW w:w="363" w:type="pct"/>
            <w:tcBorders>
              <w:top w:val="nil"/>
              <w:left w:val="nil"/>
              <w:bottom w:val="single" w:sz="8" w:space="0" w:color="auto"/>
              <w:right w:val="single" w:sz="8" w:space="0" w:color="auto"/>
            </w:tcBorders>
            <w:noWrap/>
            <w:vAlign w:val="center"/>
            <w:hideMark/>
          </w:tcPr>
          <w:p w14:paraId="4E98CCEE"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$85,735 </w:t>
            </w:r>
          </w:p>
        </w:tc>
        <w:tc>
          <w:tcPr>
            <w:tcW w:w="364" w:type="pct"/>
            <w:tcBorders>
              <w:top w:val="nil"/>
              <w:left w:val="nil"/>
              <w:bottom w:val="single" w:sz="8" w:space="0" w:color="auto"/>
              <w:right w:val="single" w:sz="8" w:space="0" w:color="auto"/>
            </w:tcBorders>
            <w:noWrap/>
            <w:vAlign w:val="center"/>
            <w:hideMark/>
          </w:tcPr>
          <w:p w14:paraId="56FAB46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$116,157 </w:t>
            </w:r>
          </w:p>
        </w:tc>
        <w:tc>
          <w:tcPr>
            <w:tcW w:w="333" w:type="pct"/>
            <w:tcBorders>
              <w:top w:val="nil"/>
              <w:left w:val="nil"/>
              <w:bottom w:val="single" w:sz="8" w:space="0" w:color="auto"/>
              <w:right w:val="single" w:sz="8" w:space="0" w:color="auto"/>
            </w:tcBorders>
            <w:noWrap/>
            <w:vAlign w:val="center"/>
            <w:hideMark/>
          </w:tcPr>
          <w:p w14:paraId="6AE6D8FC"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$52,547 </w:t>
            </w:r>
          </w:p>
        </w:tc>
        <w:tc>
          <w:tcPr>
            <w:tcW w:w="334" w:type="pct"/>
            <w:tcBorders>
              <w:top w:val="nil"/>
              <w:left w:val="nil"/>
              <w:bottom w:val="single" w:sz="8" w:space="0" w:color="auto"/>
              <w:right w:val="single" w:sz="8" w:space="0" w:color="auto"/>
            </w:tcBorders>
            <w:noWrap/>
            <w:vAlign w:val="center"/>
            <w:hideMark/>
          </w:tcPr>
          <w:p w14:paraId="351F1D08"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$13,828 </w:t>
            </w:r>
          </w:p>
        </w:tc>
        <w:tc>
          <w:tcPr>
            <w:tcW w:w="276" w:type="pct"/>
            <w:tcBorders>
              <w:top w:val="nil"/>
              <w:left w:val="nil"/>
              <w:bottom w:val="single" w:sz="8" w:space="0" w:color="auto"/>
              <w:right w:val="single" w:sz="8" w:space="0" w:color="auto"/>
            </w:tcBorders>
            <w:vAlign w:val="center"/>
            <w:hideMark/>
          </w:tcPr>
          <w:p w14:paraId="05A97B86"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$8,297 </w:t>
            </w:r>
          </w:p>
        </w:tc>
        <w:tc>
          <w:tcPr>
            <w:tcW w:w="391" w:type="pct"/>
            <w:gridSpan w:val="2"/>
            <w:tcBorders>
              <w:top w:val="nil"/>
              <w:left w:val="nil"/>
              <w:bottom w:val="single" w:sz="8" w:space="0" w:color="auto"/>
              <w:right w:val="single" w:sz="8" w:space="0" w:color="auto"/>
            </w:tcBorders>
            <w:noWrap/>
            <w:vAlign w:val="center"/>
            <w:hideMark/>
          </w:tcPr>
          <w:p w14:paraId="51F47F5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$276,564 </w:t>
            </w:r>
          </w:p>
        </w:tc>
        <w:tc>
          <w:tcPr>
            <w:tcW w:w="181" w:type="pct"/>
            <w:tcBorders>
              <w:top w:val="nil"/>
              <w:left w:val="nil"/>
              <w:bottom w:val="single" w:sz="8" w:space="0" w:color="auto"/>
              <w:right w:val="single" w:sz="8" w:space="0" w:color="auto"/>
            </w:tcBorders>
            <w:noWrap/>
            <w:vAlign w:val="center"/>
            <w:hideMark/>
          </w:tcPr>
          <w:p w14:paraId="2BC55D1C"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5</w:t>
            </w:r>
          </w:p>
        </w:tc>
      </w:tr>
      <w:tr w:rsidR="00170617" w:rsidRPr="002926D7" w14:paraId="6CFC4F38" w14:textId="77777777" w:rsidTr="00170617">
        <w:trPr>
          <w:trHeight w:val="288"/>
          <w:jc w:val="center"/>
        </w:trPr>
        <w:tc>
          <w:tcPr>
            <w:tcW w:w="423" w:type="pct"/>
            <w:vMerge/>
            <w:tcBorders>
              <w:left w:val="single" w:sz="8" w:space="0" w:color="auto"/>
              <w:right w:val="single" w:sz="8" w:space="0" w:color="auto"/>
            </w:tcBorders>
            <w:vAlign w:val="center"/>
          </w:tcPr>
          <w:p w14:paraId="6A80F57B" w14:textId="39F2880D"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70566192" w14:textId="0DFAE37C"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3CEA21D7"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D20FC0F"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572CC2C"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00FB695"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05DC630D"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71600</w:t>
            </w:r>
          </w:p>
        </w:tc>
        <w:tc>
          <w:tcPr>
            <w:tcW w:w="334" w:type="pct"/>
            <w:tcBorders>
              <w:top w:val="nil"/>
              <w:left w:val="nil"/>
              <w:bottom w:val="single" w:sz="8" w:space="0" w:color="auto"/>
              <w:right w:val="single" w:sz="8" w:space="0" w:color="auto"/>
            </w:tcBorders>
            <w:vAlign w:val="center"/>
            <w:hideMark/>
          </w:tcPr>
          <w:p w14:paraId="72D092EE"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Travel</w:t>
            </w:r>
          </w:p>
        </w:tc>
        <w:tc>
          <w:tcPr>
            <w:tcW w:w="363" w:type="pct"/>
            <w:tcBorders>
              <w:top w:val="nil"/>
              <w:left w:val="nil"/>
              <w:bottom w:val="single" w:sz="8" w:space="0" w:color="auto"/>
              <w:right w:val="single" w:sz="8" w:space="0" w:color="auto"/>
            </w:tcBorders>
            <w:noWrap/>
            <w:vAlign w:val="center"/>
            <w:hideMark/>
          </w:tcPr>
          <w:p w14:paraId="46A1B0EB"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$112,782 </w:t>
            </w:r>
          </w:p>
        </w:tc>
        <w:tc>
          <w:tcPr>
            <w:tcW w:w="364" w:type="pct"/>
            <w:tcBorders>
              <w:top w:val="nil"/>
              <w:left w:val="nil"/>
              <w:bottom w:val="single" w:sz="8" w:space="0" w:color="auto"/>
              <w:right w:val="single" w:sz="8" w:space="0" w:color="auto"/>
            </w:tcBorders>
            <w:noWrap/>
            <w:vAlign w:val="center"/>
            <w:hideMark/>
          </w:tcPr>
          <w:p w14:paraId="440CF5F9"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$152,801 </w:t>
            </w:r>
          </w:p>
        </w:tc>
        <w:tc>
          <w:tcPr>
            <w:tcW w:w="333" w:type="pct"/>
            <w:tcBorders>
              <w:top w:val="nil"/>
              <w:left w:val="nil"/>
              <w:bottom w:val="single" w:sz="8" w:space="0" w:color="auto"/>
              <w:right w:val="single" w:sz="8" w:space="0" w:color="auto"/>
            </w:tcBorders>
            <w:noWrap/>
            <w:vAlign w:val="center"/>
            <w:hideMark/>
          </w:tcPr>
          <w:p w14:paraId="404519B0"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$69,124 </w:t>
            </w:r>
          </w:p>
        </w:tc>
        <w:tc>
          <w:tcPr>
            <w:tcW w:w="334" w:type="pct"/>
            <w:tcBorders>
              <w:top w:val="nil"/>
              <w:left w:val="nil"/>
              <w:bottom w:val="single" w:sz="8" w:space="0" w:color="auto"/>
              <w:right w:val="single" w:sz="8" w:space="0" w:color="auto"/>
            </w:tcBorders>
            <w:noWrap/>
            <w:vAlign w:val="center"/>
            <w:hideMark/>
          </w:tcPr>
          <w:p w14:paraId="35F752AC"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$18,191 </w:t>
            </w:r>
          </w:p>
        </w:tc>
        <w:tc>
          <w:tcPr>
            <w:tcW w:w="276" w:type="pct"/>
            <w:tcBorders>
              <w:top w:val="nil"/>
              <w:left w:val="nil"/>
              <w:bottom w:val="single" w:sz="8" w:space="0" w:color="auto"/>
              <w:right w:val="single" w:sz="8" w:space="0" w:color="auto"/>
            </w:tcBorders>
            <w:vAlign w:val="center"/>
            <w:hideMark/>
          </w:tcPr>
          <w:p w14:paraId="6C2B733D"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$10,914 </w:t>
            </w:r>
          </w:p>
        </w:tc>
        <w:tc>
          <w:tcPr>
            <w:tcW w:w="391" w:type="pct"/>
            <w:gridSpan w:val="2"/>
            <w:tcBorders>
              <w:top w:val="nil"/>
              <w:left w:val="nil"/>
              <w:bottom w:val="single" w:sz="8" w:space="0" w:color="auto"/>
              <w:right w:val="single" w:sz="8" w:space="0" w:color="auto"/>
            </w:tcBorders>
            <w:noWrap/>
            <w:vAlign w:val="center"/>
            <w:hideMark/>
          </w:tcPr>
          <w:p w14:paraId="59F0D46F"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$363,812 </w:t>
            </w:r>
          </w:p>
        </w:tc>
        <w:tc>
          <w:tcPr>
            <w:tcW w:w="181" w:type="pct"/>
            <w:tcBorders>
              <w:top w:val="nil"/>
              <w:left w:val="nil"/>
              <w:bottom w:val="single" w:sz="8" w:space="0" w:color="auto"/>
              <w:right w:val="single" w:sz="8" w:space="0" w:color="auto"/>
            </w:tcBorders>
            <w:noWrap/>
            <w:vAlign w:val="center"/>
            <w:hideMark/>
          </w:tcPr>
          <w:p w14:paraId="0712881C"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7</w:t>
            </w:r>
          </w:p>
        </w:tc>
      </w:tr>
      <w:tr w:rsidR="00170617" w:rsidRPr="002926D7" w14:paraId="6D3161C8" w14:textId="77777777" w:rsidTr="00170617">
        <w:trPr>
          <w:trHeight w:val="288"/>
          <w:jc w:val="center"/>
        </w:trPr>
        <w:tc>
          <w:tcPr>
            <w:tcW w:w="423" w:type="pct"/>
            <w:vMerge/>
            <w:tcBorders>
              <w:left w:val="single" w:sz="8" w:space="0" w:color="auto"/>
              <w:right w:val="single" w:sz="8" w:space="0" w:color="auto"/>
            </w:tcBorders>
            <w:vAlign w:val="center"/>
          </w:tcPr>
          <w:p w14:paraId="26780843" w14:textId="0A6F980B"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65E1C1FD" w14:textId="1DBC2BDA"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20DBE3F9"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2EC591DD"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C798CEC"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E201813"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00483865"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72100</w:t>
            </w:r>
          </w:p>
        </w:tc>
        <w:tc>
          <w:tcPr>
            <w:tcW w:w="334" w:type="pct"/>
            <w:tcBorders>
              <w:top w:val="nil"/>
              <w:left w:val="nil"/>
              <w:bottom w:val="single" w:sz="8" w:space="0" w:color="auto"/>
              <w:right w:val="single" w:sz="8" w:space="0" w:color="auto"/>
            </w:tcBorders>
            <w:vAlign w:val="center"/>
            <w:hideMark/>
          </w:tcPr>
          <w:p w14:paraId="6DA8239A"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Contractual Services-Companies</w:t>
            </w:r>
          </w:p>
        </w:tc>
        <w:tc>
          <w:tcPr>
            <w:tcW w:w="363" w:type="pct"/>
            <w:tcBorders>
              <w:top w:val="nil"/>
              <w:left w:val="nil"/>
              <w:bottom w:val="single" w:sz="8" w:space="0" w:color="auto"/>
              <w:right w:val="single" w:sz="8" w:space="0" w:color="auto"/>
            </w:tcBorders>
            <w:noWrap/>
            <w:vAlign w:val="center"/>
            <w:hideMark/>
          </w:tcPr>
          <w:p w14:paraId="666AAB87"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$34,544 </w:t>
            </w:r>
          </w:p>
        </w:tc>
        <w:tc>
          <w:tcPr>
            <w:tcW w:w="364" w:type="pct"/>
            <w:tcBorders>
              <w:top w:val="nil"/>
              <w:left w:val="nil"/>
              <w:bottom w:val="single" w:sz="8" w:space="0" w:color="auto"/>
              <w:right w:val="single" w:sz="8" w:space="0" w:color="auto"/>
            </w:tcBorders>
            <w:noWrap/>
            <w:vAlign w:val="center"/>
            <w:hideMark/>
          </w:tcPr>
          <w:p w14:paraId="2543478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$46,802 </w:t>
            </w:r>
          </w:p>
        </w:tc>
        <w:tc>
          <w:tcPr>
            <w:tcW w:w="333" w:type="pct"/>
            <w:tcBorders>
              <w:top w:val="nil"/>
              <w:left w:val="nil"/>
              <w:bottom w:val="single" w:sz="8" w:space="0" w:color="auto"/>
              <w:right w:val="single" w:sz="8" w:space="0" w:color="auto"/>
            </w:tcBorders>
            <w:noWrap/>
            <w:vAlign w:val="center"/>
            <w:hideMark/>
          </w:tcPr>
          <w:p w14:paraId="211B54E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$21,172 </w:t>
            </w:r>
          </w:p>
        </w:tc>
        <w:tc>
          <w:tcPr>
            <w:tcW w:w="334" w:type="pct"/>
            <w:tcBorders>
              <w:top w:val="nil"/>
              <w:left w:val="nil"/>
              <w:bottom w:val="single" w:sz="8" w:space="0" w:color="auto"/>
              <w:right w:val="single" w:sz="8" w:space="0" w:color="auto"/>
            </w:tcBorders>
            <w:noWrap/>
            <w:vAlign w:val="center"/>
            <w:hideMark/>
          </w:tcPr>
          <w:p w14:paraId="309482AD"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$5,572 </w:t>
            </w:r>
          </w:p>
        </w:tc>
        <w:tc>
          <w:tcPr>
            <w:tcW w:w="276" w:type="pct"/>
            <w:tcBorders>
              <w:top w:val="nil"/>
              <w:left w:val="nil"/>
              <w:bottom w:val="single" w:sz="8" w:space="0" w:color="auto"/>
              <w:right w:val="single" w:sz="8" w:space="0" w:color="auto"/>
            </w:tcBorders>
            <w:vAlign w:val="center"/>
            <w:hideMark/>
          </w:tcPr>
          <w:p w14:paraId="4C65E423"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$3,343 </w:t>
            </w:r>
          </w:p>
        </w:tc>
        <w:tc>
          <w:tcPr>
            <w:tcW w:w="391" w:type="pct"/>
            <w:gridSpan w:val="2"/>
            <w:tcBorders>
              <w:top w:val="nil"/>
              <w:left w:val="nil"/>
              <w:bottom w:val="single" w:sz="8" w:space="0" w:color="auto"/>
              <w:right w:val="single" w:sz="8" w:space="0" w:color="auto"/>
            </w:tcBorders>
            <w:noWrap/>
            <w:vAlign w:val="center"/>
            <w:hideMark/>
          </w:tcPr>
          <w:p w14:paraId="7BEE02E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$111,433 </w:t>
            </w:r>
          </w:p>
        </w:tc>
        <w:tc>
          <w:tcPr>
            <w:tcW w:w="181" w:type="pct"/>
            <w:tcBorders>
              <w:top w:val="nil"/>
              <w:left w:val="nil"/>
              <w:bottom w:val="single" w:sz="8" w:space="0" w:color="auto"/>
              <w:right w:val="single" w:sz="8" w:space="0" w:color="auto"/>
            </w:tcBorders>
            <w:noWrap/>
            <w:vAlign w:val="center"/>
            <w:hideMark/>
          </w:tcPr>
          <w:p w14:paraId="74F16EB7"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12</w:t>
            </w:r>
          </w:p>
        </w:tc>
      </w:tr>
      <w:tr w:rsidR="00170617" w:rsidRPr="002926D7" w14:paraId="567AC23A" w14:textId="77777777" w:rsidTr="00170617">
        <w:trPr>
          <w:trHeight w:val="288"/>
          <w:jc w:val="center"/>
        </w:trPr>
        <w:tc>
          <w:tcPr>
            <w:tcW w:w="423" w:type="pct"/>
            <w:vMerge/>
            <w:tcBorders>
              <w:left w:val="single" w:sz="8" w:space="0" w:color="auto"/>
              <w:right w:val="single" w:sz="8" w:space="0" w:color="auto"/>
            </w:tcBorders>
            <w:vAlign w:val="center"/>
          </w:tcPr>
          <w:p w14:paraId="1A8126E0" w14:textId="36542D23"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67BD2488" w14:textId="2752B56B"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5E2F6858"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BC2EA3C"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FA0D9B6"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8CCF3C2"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29B02EBF"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72500</w:t>
            </w:r>
          </w:p>
        </w:tc>
        <w:tc>
          <w:tcPr>
            <w:tcW w:w="334" w:type="pct"/>
            <w:tcBorders>
              <w:top w:val="nil"/>
              <w:left w:val="nil"/>
              <w:bottom w:val="single" w:sz="8" w:space="0" w:color="auto"/>
              <w:right w:val="single" w:sz="8" w:space="0" w:color="auto"/>
            </w:tcBorders>
            <w:vAlign w:val="center"/>
            <w:hideMark/>
          </w:tcPr>
          <w:p w14:paraId="66FE23FC"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Supplies</w:t>
            </w:r>
          </w:p>
        </w:tc>
        <w:tc>
          <w:tcPr>
            <w:tcW w:w="363" w:type="pct"/>
            <w:tcBorders>
              <w:top w:val="nil"/>
              <w:left w:val="nil"/>
              <w:bottom w:val="single" w:sz="8" w:space="0" w:color="auto"/>
              <w:right w:val="single" w:sz="8" w:space="0" w:color="auto"/>
            </w:tcBorders>
            <w:noWrap/>
            <w:vAlign w:val="center"/>
            <w:hideMark/>
          </w:tcPr>
          <w:p w14:paraId="3EB7692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$9,595 </w:t>
            </w:r>
          </w:p>
        </w:tc>
        <w:tc>
          <w:tcPr>
            <w:tcW w:w="364" w:type="pct"/>
            <w:tcBorders>
              <w:top w:val="nil"/>
              <w:left w:val="nil"/>
              <w:bottom w:val="single" w:sz="8" w:space="0" w:color="auto"/>
              <w:right w:val="single" w:sz="8" w:space="0" w:color="auto"/>
            </w:tcBorders>
            <w:noWrap/>
            <w:vAlign w:val="center"/>
            <w:hideMark/>
          </w:tcPr>
          <w:p w14:paraId="1D4967D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$12,999 </w:t>
            </w:r>
          </w:p>
        </w:tc>
        <w:tc>
          <w:tcPr>
            <w:tcW w:w="333" w:type="pct"/>
            <w:tcBorders>
              <w:top w:val="nil"/>
              <w:left w:val="nil"/>
              <w:bottom w:val="single" w:sz="8" w:space="0" w:color="auto"/>
              <w:right w:val="single" w:sz="8" w:space="0" w:color="auto"/>
            </w:tcBorders>
            <w:noWrap/>
            <w:vAlign w:val="center"/>
            <w:hideMark/>
          </w:tcPr>
          <w:p w14:paraId="2420795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$5,881 </w:t>
            </w:r>
          </w:p>
        </w:tc>
        <w:tc>
          <w:tcPr>
            <w:tcW w:w="334" w:type="pct"/>
            <w:tcBorders>
              <w:top w:val="nil"/>
              <w:left w:val="nil"/>
              <w:bottom w:val="single" w:sz="8" w:space="0" w:color="auto"/>
              <w:right w:val="single" w:sz="8" w:space="0" w:color="auto"/>
            </w:tcBorders>
            <w:noWrap/>
            <w:vAlign w:val="center"/>
            <w:hideMark/>
          </w:tcPr>
          <w:p w14:paraId="0CDB01B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$1,548 </w:t>
            </w:r>
          </w:p>
        </w:tc>
        <w:tc>
          <w:tcPr>
            <w:tcW w:w="276" w:type="pct"/>
            <w:tcBorders>
              <w:top w:val="nil"/>
              <w:left w:val="nil"/>
              <w:bottom w:val="single" w:sz="8" w:space="0" w:color="auto"/>
              <w:right w:val="single" w:sz="8" w:space="0" w:color="auto"/>
            </w:tcBorders>
            <w:vAlign w:val="center"/>
            <w:hideMark/>
          </w:tcPr>
          <w:p w14:paraId="48DD11BC"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$929 </w:t>
            </w:r>
          </w:p>
        </w:tc>
        <w:tc>
          <w:tcPr>
            <w:tcW w:w="391" w:type="pct"/>
            <w:gridSpan w:val="2"/>
            <w:tcBorders>
              <w:top w:val="nil"/>
              <w:left w:val="nil"/>
              <w:bottom w:val="single" w:sz="8" w:space="0" w:color="auto"/>
              <w:right w:val="single" w:sz="8" w:space="0" w:color="auto"/>
            </w:tcBorders>
            <w:noWrap/>
            <w:vAlign w:val="center"/>
            <w:hideMark/>
          </w:tcPr>
          <w:p w14:paraId="63FE2DBD"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$30,952 </w:t>
            </w:r>
          </w:p>
        </w:tc>
        <w:tc>
          <w:tcPr>
            <w:tcW w:w="181" w:type="pct"/>
            <w:tcBorders>
              <w:top w:val="nil"/>
              <w:left w:val="nil"/>
              <w:bottom w:val="single" w:sz="8" w:space="0" w:color="auto"/>
              <w:right w:val="single" w:sz="8" w:space="0" w:color="auto"/>
            </w:tcBorders>
            <w:noWrap/>
            <w:vAlign w:val="center"/>
            <w:hideMark/>
          </w:tcPr>
          <w:p w14:paraId="292DA0B3"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10</w:t>
            </w:r>
          </w:p>
        </w:tc>
      </w:tr>
      <w:tr w:rsidR="00170617" w:rsidRPr="002926D7" w14:paraId="6D7F4055" w14:textId="77777777" w:rsidTr="00170617">
        <w:trPr>
          <w:trHeight w:val="288"/>
          <w:jc w:val="center"/>
        </w:trPr>
        <w:tc>
          <w:tcPr>
            <w:tcW w:w="423" w:type="pct"/>
            <w:vMerge/>
            <w:tcBorders>
              <w:left w:val="single" w:sz="8" w:space="0" w:color="auto"/>
              <w:right w:val="single" w:sz="8" w:space="0" w:color="auto"/>
            </w:tcBorders>
            <w:vAlign w:val="center"/>
          </w:tcPr>
          <w:p w14:paraId="3E7A04AF" w14:textId="61263B89"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6A1290B4" w14:textId="1423D4D2"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65462F24"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08B6B8B"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FA989D1"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618D3FD"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3189928A"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74500</w:t>
            </w:r>
          </w:p>
        </w:tc>
        <w:tc>
          <w:tcPr>
            <w:tcW w:w="334" w:type="pct"/>
            <w:tcBorders>
              <w:top w:val="nil"/>
              <w:left w:val="nil"/>
              <w:bottom w:val="single" w:sz="8" w:space="0" w:color="auto"/>
              <w:right w:val="single" w:sz="8" w:space="0" w:color="auto"/>
            </w:tcBorders>
            <w:vAlign w:val="center"/>
            <w:hideMark/>
          </w:tcPr>
          <w:p w14:paraId="05C774E7"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Miscellaneous Expenses</w:t>
            </w:r>
          </w:p>
        </w:tc>
        <w:tc>
          <w:tcPr>
            <w:tcW w:w="363" w:type="pct"/>
            <w:tcBorders>
              <w:top w:val="nil"/>
              <w:left w:val="nil"/>
              <w:bottom w:val="single" w:sz="8" w:space="0" w:color="auto"/>
              <w:right w:val="single" w:sz="8" w:space="0" w:color="auto"/>
            </w:tcBorders>
            <w:noWrap/>
            <w:vAlign w:val="center"/>
            <w:hideMark/>
          </w:tcPr>
          <w:p w14:paraId="4FDC814F"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$63,300 </w:t>
            </w:r>
          </w:p>
        </w:tc>
        <w:tc>
          <w:tcPr>
            <w:tcW w:w="364" w:type="pct"/>
            <w:tcBorders>
              <w:top w:val="nil"/>
              <w:left w:val="nil"/>
              <w:bottom w:val="single" w:sz="8" w:space="0" w:color="auto"/>
              <w:right w:val="single" w:sz="8" w:space="0" w:color="auto"/>
            </w:tcBorders>
            <w:noWrap/>
            <w:vAlign w:val="center"/>
            <w:hideMark/>
          </w:tcPr>
          <w:p w14:paraId="595980CD"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$85,761 </w:t>
            </w:r>
          </w:p>
        </w:tc>
        <w:tc>
          <w:tcPr>
            <w:tcW w:w="333" w:type="pct"/>
            <w:tcBorders>
              <w:top w:val="nil"/>
              <w:left w:val="nil"/>
              <w:bottom w:val="single" w:sz="8" w:space="0" w:color="auto"/>
              <w:right w:val="single" w:sz="8" w:space="0" w:color="auto"/>
            </w:tcBorders>
            <w:noWrap/>
            <w:vAlign w:val="center"/>
            <w:hideMark/>
          </w:tcPr>
          <w:p w14:paraId="59AF0ECA"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$38,797 </w:t>
            </w:r>
          </w:p>
        </w:tc>
        <w:tc>
          <w:tcPr>
            <w:tcW w:w="334" w:type="pct"/>
            <w:tcBorders>
              <w:top w:val="nil"/>
              <w:left w:val="nil"/>
              <w:bottom w:val="single" w:sz="8" w:space="0" w:color="auto"/>
              <w:right w:val="single" w:sz="8" w:space="0" w:color="auto"/>
            </w:tcBorders>
            <w:noWrap/>
            <w:vAlign w:val="center"/>
            <w:hideMark/>
          </w:tcPr>
          <w:p w14:paraId="2BD73ED0"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$10,210 </w:t>
            </w:r>
          </w:p>
        </w:tc>
        <w:tc>
          <w:tcPr>
            <w:tcW w:w="276" w:type="pct"/>
            <w:tcBorders>
              <w:top w:val="nil"/>
              <w:left w:val="nil"/>
              <w:bottom w:val="single" w:sz="8" w:space="0" w:color="auto"/>
              <w:right w:val="single" w:sz="8" w:space="0" w:color="auto"/>
            </w:tcBorders>
            <w:vAlign w:val="center"/>
            <w:hideMark/>
          </w:tcPr>
          <w:p w14:paraId="7B918CD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$6,126 </w:t>
            </w:r>
          </w:p>
        </w:tc>
        <w:tc>
          <w:tcPr>
            <w:tcW w:w="391" w:type="pct"/>
            <w:gridSpan w:val="2"/>
            <w:tcBorders>
              <w:top w:val="nil"/>
              <w:left w:val="nil"/>
              <w:bottom w:val="single" w:sz="8" w:space="0" w:color="auto"/>
              <w:right w:val="single" w:sz="8" w:space="0" w:color="auto"/>
            </w:tcBorders>
            <w:noWrap/>
            <w:vAlign w:val="center"/>
            <w:hideMark/>
          </w:tcPr>
          <w:p w14:paraId="19D45DA3"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$204,194 </w:t>
            </w:r>
          </w:p>
        </w:tc>
        <w:tc>
          <w:tcPr>
            <w:tcW w:w="181" w:type="pct"/>
            <w:tcBorders>
              <w:top w:val="nil"/>
              <w:left w:val="nil"/>
              <w:bottom w:val="single" w:sz="8" w:space="0" w:color="auto"/>
              <w:right w:val="single" w:sz="8" w:space="0" w:color="auto"/>
            </w:tcBorders>
            <w:noWrap/>
            <w:vAlign w:val="center"/>
            <w:hideMark/>
          </w:tcPr>
          <w:p w14:paraId="0318E7BF"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11</w:t>
            </w:r>
          </w:p>
        </w:tc>
      </w:tr>
      <w:tr w:rsidR="00170617" w:rsidRPr="002926D7" w14:paraId="6263DACB" w14:textId="77777777" w:rsidTr="00170617">
        <w:trPr>
          <w:trHeight w:val="288"/>
          <w:jc w:val="center"/>
        </w:trPr>
        <w:tc>
          <w:tcPr>
            <w:tcW w:w="423" w:type="pct"/>
            <w:vMerge/>
            <w:tcBorders>
              <w:left w:val="single" w:sz="8" w:space="0" w:color="auto"/>
              <w:right w:val="single" w:sz="8" w:space="0" w:color="auto"/>
            </w:tcBorders>
            <w:vAlign w:val="center"/>
          </w:tcPr>
          <w:p w14:paraId="45D3F4B1" w14:textId="5466291F"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6F5F05C9" w14:textId="592B3016"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2B6DE7E8"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2667ABC"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207F54C4"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4FE3AE35"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6C9EFA46"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75700</w:t>
            </w:r>
          </w:p>
        </w:tc>
        <w:tc>
          <w:tcPr>
            <w:tcW w:w="334" w:type="pct"/>
            <w:tcBorders>
              <w:top w:val="nil"/>
              <w:left w:val="nil"/>
              <w:bottom w:val="single" w:sz="8" w:space="0" w:color="auto"/>
              <w:right w:val="single" w:sz="8" w:space="0" w:color="auto"/>
            </w:tcBorders>
            <w:vAlign w:val="center"/>
            <w:hideMark/>
          </w:tcPr>
          <w:p w14:paraId="29F43329"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Training, Workshops and Confer</w:t>
            </w:r>
          </w:p>
        </w:tc>
        <w:tc>
          <w:tcPr>
            <w:tcW w:w="363" w:type="pct"/>
            <w:tcBorders>
              <w:top w:val="nil"/>
              <w:left w:val="nil"/>
              <w:bottom w:val="single" w:sz="8" w:space="0" w:color="auto"/>
              <w:right w:val="single" w:sz="8" w:space="0" w:color="auto"/>
            </w:tcBorders>
            <w:noWrap/>
            <w:vAlign w:val="center"/>
            <w:hideMark/>
          </w:tcPr>
          <w:p w14:paraId="185B7CBF"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$49,627 </w:t>
            </w:r>
          </w:p>
        </w:tc>
        <w:tc>
          <w:tcPr>
            <w:tcW w:w="364" w:type="pct"/>
            <w:tcBorders>
              <w:top w:val="nil"/>
              <w:left w:val="nil"/>
              <w:bottom w:val="single" w:sz="8" w:space="0" w:color="auto"/>
              <w:right w:val="single" w:sz="8" w:space="0" w:color="auto"/>
            </w:tcBorders>
            <w:noWrap/>
            <w:vAlign w:val="center"/>
            <w:hideMark/>
          </w:tcPr>
          <w:p w14:paraId="08CD5E7E"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$67,236 </w:t>
            </w:r>
          </w:p>
        </w:tc>
        <w:tc>
          <w:tcPr>
            <w:tcW w:w="333" w:type="pct"/>
            <w:tcBorders>
              <w:top w:val="nil"/>
              <w:left w:val="nil"/>
              <w:bottom w:val="single" w:sz="8" w:space="0" w:color="auto"/>
              <w:right w:val="single" w:sz="8" w:space="0" w:color="auto"/>
            </w:tcBorders>
            <w:noWrap/>
            <w:vAlign w:val="center"/>
            <w:hideMark/>
          </w:tcPr>
          <w:p w14:paraId="49AEB69A"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$30,416 </w:t>
            </w:r>
          </w:p>
        </w:tc>
        <w:tc>
          <w:tcPr>
            <w:tcW w:w="334" w:type="pct"/>
            <w:tcBorders>
              <w:top w:val="nil"/>
              <w:left w:val="nil"/>
              <w:bottom w:val="single" w:sz="8" w:space="0" w:color="auto"/>
              <w:right w:val="single" w:sz="8" w:space="0" w:color="auto"/>
            </w:tcBorders>
            <w:noWrap/>
            <w:vAlign w:val="center"/>
            <w:hideMark/>
          </w:tcPr>
          <w:p w14:paraId="4EA01FF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$8,004 </w:t>
            </w:r>
          </w:p>
        </w:tc>
        <w:tc>
          <w:tcPr>
            <w:tcW w:w="276" w:type="pct"/>
            <w:tcBorders>
              <w:top w:val="nil"/>
              <w:left w:val="nil"/>
              <w:bottom w:val="single" w:sz="8" w:space="0" w:color="auto"/>
              <w:right w:val="single" w:sz="8" w:space="0" w:color="auto"/>
            </w:tcBorders>
            <w:vAlign w:val="center"/>
            <w:hideMark/>
          </w:tcPr>
          <w:p w14:paraId="6FF62CE6"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$4,803 </w:t>
            </w:r>
          </w:p>
        </w:tc>
        <w:tc>
          <w:tcPr>
            <w:tcW w:w="391" w:type="pct"/>
            <w:gridSpan w:val="2"/>
            <w:tcBorders>
              <w:top w:val="nil"/>
              <w:left w:val="nil"/>
              <w:bottom w:val="single" w:sz="8" w:space="0" w:color="auto"/>
              <w:right w:val="single" w:sz="8" w:space="0" w:color="auto"/>
            </w:tcBorders>
            <w:noWrap/>
            <w:vAlign w:val="center"/>
            <w:hideMark/>
          </w:tcPr>
          <w:p w14:paraId="52257747"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$160,086 </w:t>
            </w:r>
          </w:p>
        </w:tc>
        <w:tc>
          <w:tcPr>
            <w:tcW w:w="181" w:type="pct"/>
            <w:tcBorders>
              <w:top w:val="nil"/>
              <w:left w:val="nil"/>
              <w:bottom w:val="single" w:sz="8" w:space="0" w:color="auto"/>
              <w:right w:val="single" w:sz="8" w:space="0" w:color="auto"/>
            </w:tcBorders>
            <w:noWrap/>
            <w:vAlign w:val="center"/>
            <w:hideMark/>
          </w:tcPr>
          <w:p w14:paraId="025DC539"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6</w:t>
            </w:r>
          </w:p>
        </w:tc>
      </w:tr>
      <w:tr w:rsidR="00170617" w:rsidRPr="002926D7" w14:paraId="7038F7FF" w14:textId="77777777" w:rsidTr="00170617">
        <w:trPr>
          <w:trHeight w:val="288"/>
          <w:jc w:val="center"/>
        </w:trPr>
        <w:tc>
          <w:tcPr>
            <w:tcW w:w="423" w:type="pct"/>
            <w:vMerge/>
            <w:tcBorders>
              <w:left w:val="single" w:sz="8" w:space="0" w:color="auto"/>
              <w:right w:val="single" w:sz="8" w:space="0" w:color="auto"/>
            </w:tcBorders>
            <w:vAlign w:val="center"/>
          </w:tcPr>
          <w:p w14:paraId="2BCD9BB4" w14:textId="2A458C0C"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09DB1FD6" w14:textId="31D3641B"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3661073F"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435FBFB2"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4B49F843"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FC6120E"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1CAF9C9F"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61300</w:t>
            </w:r>
          </w:p>
        </w:tc>
        <w:tc>
          <w:tcPr>
            <w:tcW w:w="334" w:type="pct"/>
            <w:tcBorders>
              <w:top w:val="nil"/>
              <w:left w:val="nil"/>
              <w:bottom w:val="single" w:sz="8" w:space="0" w:color="auto"/>
              <w:right w:val="single" w:sz="8" w:space="0" w:color="auto"/>
            </w:tcBorders>
            <w:vAlign w:val="center"/>
            <w:hideMark/>
          </w:tcPr>
          <w:p w14:paraId="18184B38"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 xml:space="preserve"> Salary &amp; Post Adj Cst-IP Staff</w:t>
            </w:r>
          </w:p>
        </w:tc>
        <w:tc>
          <w:tcPr>
            <w:tcW w:w="363" w:type="pct"/>
            <w:tcBorders>
              <w:top w:val="nil"/>
              <w:left w:val="nil"/>
              <w:bottom w:val="single" w:sz="8" w:space="0" w:color="auto"/>
              <w:right w:val="single" w:sz="8" w:space="0" w:color="auto"/>
            </w:tcBorders>
            <w:noWrap/>
            <w:vAlign w:val="center"/>
            <w:hideMark/>
          </w:tcPr>
          <w:p w14:paraId="770A537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$32,792 </w:t>
            </w:r>
          </w:p>
        </w:tc>
        <w:tc>
          <w:tcPr>
            <w:tcW w:w="364" w:type="pct"/>
            <w:tcBorders>
              <w:top w:val="nil"/>
              <w:left w:val="nil"/>
              <w:bottom w:val="single" w:sz="8" w:space="0" w:color="auto"/>
              <w:right w:val="single" w:sz="8" w:space="0" w:color="auto"/>
            </w:tcBorders>
            <w:noWrap/>
            <w:vAlign w:val="center"/>
            <w:hideMark/>
          </w:tcPr>
          <w:p w14:paraId="62302DC7"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$44,428 </w:t>
            </w:r>
          </w:p>
        </w:tc>
        <w:tc>
          <w:tcPr>
            <w:tcW w:w="333" w:type="pct"/>
            <w:tcBorders>
              <w:top w:val="nil"/>
              <w:left w:val="nil"/>
              <w:bottom w:val="single" w:sz="8" w:space="0" w:color="auto"/>
              <w:right w:val="single" w:sz="8" w:space="0" w:color="auto"/>
            </w:tcBorders>
            <w:noWrap/>
            <w:vAlign w:val="center"/>
            <w:hideMark/>
          </w:tcPr>
          <w:p w14:paraId="6D5924C0"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$20,098 </w:t>
            </w:r>
          </w:p>
        </w:tc>
        <w:tc>
          <w:tcPr>
            <w:tcW w:w="334" w:type="pct"/>
            <w:tcBorders>
              <w:top w:val="nil"/>
              <w:left w:val="nil"/>
              <w:bottom w:val="single" w:sz="8" w:space="0" w:color="auto"/>
              <w:right w:val="single" w:sz="8" w:space="0" w:color="auto"/>
            </w:tcBorders>
            <w:noWrap/>
            <w:vAlign w:val="center"/>
            <w:hideMark/>
          </w:tcPr>
          <w:p w14:paraId="0FE3C473"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$5,289 </w:t>
            </w:r>
          </w:p>
        </w:tc>
        <w:tc>
          <w:tcPr>
            <w:tcW w:w="276" w:type="pct"/>
            <w:tcBorders>
              <w:top w:val="nil"/>
              <w:left w:val="nil"/>
              <w:bottom w:val="single" w:sz="8" w:space="0" w:color="auto"/>
              <w:right w:val="single" w:sz="8" w:space="0" w:color="auto"/>
            </w:tcBorders>
            <w:vAlign w:val="center"/>
            <w:hideMark/>
          </w:tcPr>
          <w:p w14:paraId="2FF43C6E"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$3,173 </w:t>
            </w:r>
          </w:p>
        </w:tc>
        <w:tc>
          <w:tcPr>
            <w:tcW w:w="391" w:type="pct"/>
            <w:gridSpan w:val="2"/>
            <w:tcBorders>
              <w:top w:val="nil"/>
              <w:left w:val="nil"/>
              <w:bottom w:val="single" w:sz="8" w:space="0" w:color="auto"/>
              <w:right w:val="single" w:sz="8" w:space="0" w:color="auto"/>
            </w:tcBorders>
            <w:noWrap/>
            <w:vAlign w:val="center"/>
            <w:hideMark/>
          </w:tcPr>
          <w:p w14:paraId="47BF1AD5"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$105,780 </w:t>
            </w:r>
          </w:p>
        </w:tc>
        <w:tc>
          <w:tcPr>
            <w:tcW w:w="181" w:type="pct"/>
            <w:tcBorders>
              <w:top w:val="nil"/>
              <w:left w:val="nil"/>
              <w:bottom w:val="single" w:sz="8" w:space="0" w:color="auto"/>
              <w:right w:val="single" w:sz="8" w:space="0" w:color="auto"/>
            </w:tcBorders>
            <w:noWrap/>
            <w:vAlign w:val="center"/>
            <w:hideMark/>
          </w:tcPr>
          <w:p w14:paraId="0975332D"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4</w:t>
            </w:r>
          </w:p>
        </w:tc>
      </w:tr>
      <w:tr w:rsidR="00170617" w:rsidRPr="002926D7" w14:paraId="30315751" w14:textId="77777777" w:rsidTr="00170617">
        <w:trPr>
          <w:trHeight w:val="288"/>
          <w:jc w:val="center"/>
        </w:trPr>
        <w:tc>
          <w:tcPr>
            <w:tcW w:w="423" w:type="pct"/>
            <w:vMerge/>
            <w:tcBorders>
              <w:left w:val="single" w:sz="8" w:space="0" w:color="auto"/>
              <w:right w:val="single" w:sz="8" w:space="0" w:color="auto"/>
            </w:tcBorders>
            <w:vAlign w:val="center"/>
          </w:tcPr>
          <w:p w14:paraId="548EE9BF" w14:textId="43F0ED17"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09AA24D3" w14:textId="5B95E278"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5F535D5C" w14:textId="77777777" w:rsidR="001506D3" w:rsidRPr="002926D7" w:rsidRDefault="001506D3" w:rsidP="002926D7">
            <w:pPr>
              <w:contextualSpacing/>
              <w:jc w:val="left"/>
              <w:rPr>
                <w:rFonts w:eastAsia="Times New Roman" w:cs="Calibri"/>
                <w:i/>
                <w:iCs/>
                <w:color w:val="000000"/>
                <w:sz w:val="14"/>
                <w:szCs w:val="14"/>
              </w:rPr>
            </w:pPr>
          </w:p>
        </w:tc>
        <w:tc>
          <w:tcPr>
            <w:tcW w:w="1428" w:type="pct"/>
            <w:gridSpan w:val="5"/>
            <w:tcBorders>
              <w:top w:val="single" w:sz="8" w:space="0" w:color="auto"/>
              <w:left w:val="nil"/>
              <w:bottom w:val="single" w:sz="8" w:space="0" w:color="auto"/>
              <w:right w:val="nil"/>
            </w:tcBorders>
            <w:vAlign w:val="center"/>
            <w:hideMark/>
          </w:tcPr>
          <w:p w14:paraId="1C3180CB" w14:textId="77777777" w:rsidR="001506D3" w:rsidRPr="002926D7" w:rsidRDefault="001506D3" w:rsidP="002926D7">
            <w:pPr>
              <w:ind w:right="-8"/>
              <w:contextualSpacing/>
              <w:rPr>
                <w:rFonts w:eastAsia="Times New Roman" w:cs="Calibri"/>
                <w:b/>
                <w:bCs/>
                <w:i/>
                <w:iCs/>
                <w:color w:val="000000"/>
                <w:sz w:val="14"/>
                <w:szCs w:val="14"/>
              </w:rPr>
            </w:pPr>
            <w:r w:rsidRPr="002926D7">
              <w:rPr>
                <w:rFonts w:eastAsia="Times New Roman" w:cs="Calibri"/>
                <w:b/>
                <w:bCs/>
                <w:i/>
                <w:iCs/>
                <w:color w:val="000000"/>
                <w:sz w:val="14"/>
                <w:szCs w:val="14"/>
              </w:rPr>
              <w:t>Total UNDP</w:t>
            </w:r>
          </w:p>
        </w:tc>
        <w:tc>
          <w:tcPr>
            <w:tcW w:w="363" w:type="pct"/>
            <w:tcBorders>
              <w:top w:val="nil"/>
              <w:left w:val="nil"/>
              <w:bottom w:val="single" w:sz="8" w:space="0" w:color="auto"/>
              <w:right w:val="single" w:sz="8" w:space="0" w:color="auto"/>
            </w:tcBorders>
            <w:noWrap/>
            <w:vAlign w:val="center"/>
            <w:hideMark/>
          </w:tcPr>
          <w:p w14:paraId="3226B494"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$426,385 </w:t>
            </w:r>
          </w:p>
        </w:tc>
        <w:tc>
          <w:tcPr>
            <w:tcW w:w="364" w:type="pct"/>
            <w:tcBorders>
              <w:top w:val="nil"/>
              <w:left w:val="nil"/>
              <w:bottom w:val="single" w:sz="8" w:space="0" w:color="auto"/>
              <w:right w:val="single" w:sz="8" w:space="0" w:color="auto"/>
            </w:tcBorders>
            <w:noWrap/>
            <w:vAlign w:val="center"/>
            <w:hideMark/>
          </w:tcPr>
          <w:p w14:paraId="11EA5A86"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$577,682 </w:t>
            </w:r>
          </w:p>
        </w:tc>
        <w:tc>
          <w:tcPr>
            <w:tcW w:w="333" w:type="pct"/>
            <w:tcBorders>
              <w:top w:val="nil"/>
              <w:left w:val="nil"/>
              <w:bottom w:val="single" w:sz="8" w:space="0" w:color="auto"/>
              <w:right w:val="single" w:sz="8" w:space="0" w:color="auto"/>
            </w:tcBorders>
            <w:noWrap/>
            <w:vAlign w:val="center"/>
            <w:hideMark/>
          </w:tcPr>
          <w:p w14:paraId="669F8877"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$261,331 </w:t>
            </w:r>
          </w:p>
        </w:tc>
        <w:tc>
          <w:tcPr>
            <w:tcW w:w="334" w:type="pct"/>
            <w:tcBorders>
              <w:top w:val="nil"/>
              <w:left w:val="nil"/>
              <w:bottom w:val="single" w:sz="8" w:space="0" w:color="auto"/>
              <w:right w:val="single" w:sz="8" w:space="0" w:color="auto"/>
            </w:tcBorders>
            <w:noWrap/>
            <w:vAlign w:val="center"/>
            <w:hideMark/>
          </w:tcPr>
          <w:p w14:paraId="11432981"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$68,773 </w:t>
            </w:r>
          </w:p>
        </w:tc>
        <w:tc>
          <w:tcPr>
            <w:tcW w:w="276" w:type="pct"/>
            <w:tcBorders>
              <w:top w:val="nil"/>
              <w:left w:val="nil"/>
              <w:bottom w:val="single" w:sz="8" w:space="0" w:color="auto"/>
              <w:right w:val="single" w:sz="8" w:space="0" w:color="auto"/>
            </w:tcBorders>
            <w:noWrap/>
            <w:vAlign w:val="center"/>
            <w:hideMark/>
          </w:tcPr>
          <w:p w14:paraId="589BFF65"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$41,263 </w:t>
            </w:r>
          </w:p>
        </w:tc>
        <w:tc>
          <w:tcPr>
            <w:tcW w:w="391" w:type="pct"/>
            <w:gridSpan w:val="2"/>
            <w:tcBorders>
              <w:top w:val="nil"/>
              <w:left w:val="nil"/>
              <w:bottom w:val="single" w:sz="8" w:space="0" w:color="auto"/>
              <w:right w:val="single" w:sz="8" w:space="0" w:color="auto"/>
            </w:tcBorders>
            <w:noWrap/>
            <w:vAlign w:val="center"/>
            <w:hideMark/>
          </w:tcPr>
          <w:p w14:paraId="73A1B51B"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$1,375,434 </w:t>
            </w:r>
          </w:p>
        </w:tc>
        <w:tc>
          <w:tcPr>
            <w:tcW w:w="181" w:type="pct"/>
            <w:tcBorders>
              <w:top w:val="nil"/>
              <w:left w:val="nil"/>
              <w:bottom w:val="single" w:sz="8" w:space="0" w:color="auto"/>
              <w:right w:val="single" w:sz="8" w:space="0" w:color="auto"/>
            </w:tcBorders>
            <w:noWrap/>
            <w:vAlign w:val="center"/>
            <w:hideMark/>
          </w:tcPr>
          <w:p w14:paraId="1DADD0D6"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5C249746" w14:textId="77777777" w:rsidTr="00170617">
        <w:trPr>
          <w:trHeight w:val="288"/>
          <w:jc w:val="center"/>
        </w:trPr>
        <w:tc>
          <w:tcPr>
            <w:tcW w:w="423" w:type="pct"/>
            <w:vMerge/>
            <w:tcBorders>
              <w:left w:val="single" w:sz="8" w:space="0" w:color="auto"/>
              <w:right w:val="single" w:sz="8" w:space="0" w:color="auto"/>
            </w:tcBorders>
            <w:vAlign w:val="center"/>
          </w:tcPr>
          <w:p w14:paraId="6FEF9364" w14:textId="785FE916"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54F662C8" w14:textId="709B5694" w:rsidR="001506D3" w:rsidRPr="002926D7" w:rsidRDefault="001506D3" w:rsidP="002926D7">
            <w:pPr>
              <w:contextualSpacing/>
              <w:jc w:val="left"/>
              <w:rPr>
                <w:rFonts w:eastAsia="Times New Roman" w:cs="Calibri"/>
                <w:i/>
                <w:iCs/>
                <w:color w:val="000000"/>
                <w:sz w:val="14"/>
                <w:szCs w:val="14"/>
              </w:rPr>
            </w:pPr>
          </w:p>
        </w:tc>
        <w:tc>
          <w:tcPr>
            <w:tcW w:w="1881" w:type="pct"/>
            <w:gridSpan w:val="6"/>
            <w:tcBorders>
              <w:top w:val="single" w:sz="8" w:space="0" w:color="auto"/>
              <w:left w:val="nil"/>
              <w:bottom w:val="single" w:sz="8" w:space="0" w:color="auto"/>
              <w:right w:val="nil"/>
            </w:tcBorders>
            <w:vAlign w:val="center"/>
            <w:hideMark/>
          </w:tcPr>
          <w:p w14:paraId="0B386B73" w14:textId="77777777" w:rsidR="001506D3" w:rsidRPr="002926D7" w:rsidRDefault="001506D3" w:rsidP="002926D7">
            <w:pPr>
              <w:ind w:right="-8"/>
              <w:contextualSpacing/>
              <w:rPr>
                <w:rFonts w:eastAsia="Times New Roman" w:cs="Calibri"/>
                <w:i/>
                <w:iCs/>
                <w:color w:val="000000"/>
                <w:sz w:val="14"/>
                <w:szCs w:val="14"/>
              </w:rPr>
            </w:pPr>
            <w:r w:rsidRPr="002926D7">
              <w:rPr>
                <w:rFonts w:eastAsia="Times New Roman" w:cs="Calibri"/>
                <w:i/>
                <w:iCs/>
                <w:color w:val="000000"/>
                <w:sz w:val="14"/>
                <w:szCs w:val="14"/>
              </w:rPr>
              <w:t>Total Output 4.1.2</w:t>
            </w:r>
          </w:p>
        </w:tc>
        <w:tc>
          <w:tcPr>
            <w:tcW w:w="363" w:type="pct"/>
            <w:tcBorders>
              <w:top w:val="nil"/>
              <w:left w:val="nil"/>
              <w:bottom w:val="single" w:sz="8" w:space="0" w:color="auto"/>
              <w:right w:val="single" w:sz="8" w:space="0" w:color="auto"/>
            </w:tcBorders>
            <w:noWrap/>
            <w:vAlign w:val="center"/>
            <w:hideMark/>
          </w:tcPr>
          <w:p w14:paraId="0E7ED79F"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$426,385 </w:t>
            </w:r>
          </w:p>
        </w:tc>
        <w:tc>
          <w:tcPr>
            <w:tcW w:w="364" w:type="pct"/>
            <w:tcBorders>
              <w:top w:val="nil"/>
              <w:left w:val="nil"/>
              <w:bottom w:val="single" w:sz="8" w:space="0" w:color="auto"/>
              <w:right w:val="single" w:sz="8" w:space="0" w:color="auto"/>
            </w:tcBorders>
            <w:noWrap/>
            <w:vAlign w:val="center"/>
            <w:hideMark/>
          </w:tcPr>
          <w:p w14:paraId="3322B51F"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$577,682 </w:t>
            </w:r>
          </w:p>
        </w:tc>
        <w:tc>
          <w:tcPr>
            <w:tcW w:w="333" w:type="pct"/>
            <w:tcBorders>
              <w:top w:val="nil"/>
              <w:left w:val="nil"/>
              <w:bottom w:val="single" w:sz="8" w:space="0" w:color="auto"/>
              <w:right w:val="single" w:sz="8" w:space="0" w:color="auto"/>
            </w:tcBorders>
            <w:noWrap/>
            <w:vAlign w:val="center"/>
            <w:hideMark/>
          </w:tcPr>
          <w:p w14:paraId="558B2F3E"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$261,331 </w:t>
            </w:r>
          </w:p>
        </w:tc>
        <w:tc>
          <w:tcPr>
            <w:tcW w:w="334" w:type="pct"/>
            <w:tcBorders>
              <w:top w:val="nil"/>
              <w:left w:val="nil"/>
              <w:bottom w:val="single" w:sz="8" w:space="0" w:color="auto"/>
              <w:right w:val="single" w:sz="8" w:space="0" w:color="auto"/>
            </w:tcBorders>
            <w:noWrap/>
            <w:vAlign w:val="center"/>
            <w:hideMark/>
          </w:tcPr>
          <w:p w14:paraId="57A03437"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$68,773 </w:t>
            </w:r>
          </w:p>
        </w:tc>
        <w:tc>
          <w:tcPr>
            <w:tcW w:w="276" w:type="pct"/>
            <w:tcBorders>
              <w:top w:val="nil"/>
              <w:left w:val="nil"/>
              <w:bottom w:val="single" w:sz="8" w:space="0" w:color="auto"/>
              <w:right w:val="single" w:sz="8" w:space="0" w:color="auto"/>
            </w:tcBorders>
            <w:noWrap/>
            <w:vAlign w:val="center"/>
            <w:hideMark/>
          </w:tcPr>
          <w:p w14:paraId="380001E4"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$41,263 </w:t>
            </w:r>
          </w:p>
        </w:tc>
        <w:tc>
          <w:tcPr>
            <w:tcW w:w="391" w:type="pct"/>
            <w:gridSpan w:val="2"/>
            <w:tcBorders>
              <w:top w:val="nil"/>
              <w:left w:val="nil"/>
              <w:bottom w:val="single" w:sz="8" w:space="0" w:color="auto"/>
              <w:right w:val="single" w:sz="8" w:space="0" w:color="auto"/>
            </w:tcBorders>
            <w:noWrap/>
            <w:vAlign w:val="center"/>
            <w:hideMark/>
          </w:tcPr>
          <w:p w14:paraId="73554E7C"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$1,375,434 </w:t>
            </w:r>
          </w:p>
        </w:tc>
        <w:tc>
          <w:tcPr>
            <w:tcW w:w="181" w:type="pct"/>
            <w:tcBorders>
              <w:top w:val="nil"/>
              <w:left w:val="nil"/>
              <w:bottom w:val="single" w:sz="8" w:space="0" w:color="auto"/>
              <w:right w:val="single" w:sz="8" w:space="0" w:color="auto"/>
            </w:tcBorders>
            <w:noWrap/>
            <w:vAlign w:val="center"/>
            <w:hideMark/>
          </w:tcPr>
          <w:p w14:paraId="2AB0CFE7"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22CF09E7" w14:textId="77777777" w:rsidTr="00170617">
        <w:trPr>
          <w:trHeight w:val="288"/>
          <w:jc w:val="center"/>
        </w:trPr>
        <w:tc>
          <w:tcPr>
            <w:tcW w:w="423" w:type="pct"/>
            <w:vMerge/>
            <w:tcBorders>
              <w:left w:val="single" w:sz="8" w:space="0" w:color="auto"/>
              <w:right w:val="single" w:sz="8" w:space="0" w:color="auto"/>
            </w:tcBorders>
            <w:vAlign w:val="center"/>
          </w:tcPr>
          <w:p w14:paraId="02CC47C7" w14:textId="14BB6078"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71EA4D9E" w14:textId="13502F61" w:rsidR="001506D3" w:rsidRPr="002926D7" w:rsidRDefault="001506D3" w:rsidP="002926D7">
            <w:pPr>
              <w:contextualSpacing/>
              <w:jc w:val="left"/>
              <w:rPr>
                <w:rFonts w:eastAsia="Times New Roman" w:cs="Calibri"/>
                <w:i/>
                <w:iCs/>
                <w:color w:val="000000"/>
                <w:sz w:val="14"/>
                <w:szCs w:val="14"/>
              </w:rPr>
            </w:pPr>
          </w:p>
        </w:tc>
        <w:tc>
          <w:tcPr>
            <w:tcW w:w="454" w:type="pct"/>
            <w:vMerge w:val="restart"/>
            <w:tcBorders>
              <w:top w:val="nil"/>
              <w:left w:val="single" w:sz="8" w:space="0" w:color="auto"/>
              <w:bottom w:val="single" w:sz="8" w:space="0" w:color="000000"/>
              <w:right w:val="single" w:sz="8" w:space="0" w:color="auto"/>
            </w:tcBorders>
            <w:vAlign w:val="center"/>
            <w:hideMark/>
          </w:tcPr>
          <w:p w14:paraId="44B0ACAC" w14:textId="77777777" w:rsidR="001506D3" w:rsidRPr="002926D7" w:rsidRDefault="001506D3"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Output 4.1.3. Evaluate impact of local initiatives to address environmental and socio-economic concerns of communities and generate evidential basis to inform project. development by CSOs/ CBOs.</w:t>
            </w:r>
          </w:p>
        </w:tc>
        <w:tc>
          <w:tcPr>
            <w:tcW w:w="273" w:type="pct"/>
            <w:vMerge w:val="restart"/>
            <w:tcBorders>
              <w:top w:val="nil"/>
              <w:left w:val="single" w:sz="8" w:space="0" w:color="auto"/>
              <w:bottom w:val="single" w:sz="8" w:space="0" w:color="000000"/>
              <w:right w:val="single" w:sz="8" w:space="0" w:color="auto"/>
            </w:tcBorders>
            <w:vAlign w:val="center"/>
            <w:hideMark/>
          </w:tcPr>
          <w:p w14:paraId="48DD2038" w14:textId="77777777" w:rsidR="001506D3" w:rsidRPr="002926D7" w:rsidRDefault="001506D3"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UNDP</w:t>
            </w:r>
          </w:p>
        </w:tc>
        <w:tc>
          <w:tcPr>
            <w:tcW w:w="273" w:type="pct"/>
            <w:vMerge w:val="restart"/>
            <w:tcBorders>
              <w:top w:val="nil"/>
              <w:left w:val="single" w:sz="8" w:space="0" w:color="auto"/>
              <w:bottom w:val="single" w:sz="8" w:space="0" w:color="000000"/>
              <w:right w:val="single" w:sz="8" w:space="0" w:color="auto"/>
            </w:tcBorders>
            <w:vAlign w:val="center"/>
            <w:hideMark/>
          </w:tcPr>
          <w:p w14:paraId="6629E719"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62000</w:t>
            </w:r>
          </w:p>
        </w:tc>
        <w:tc>
          <w:tcPr>
            <w:tcW w:w="273" w:type="pct"/>
            <w:vMerge w:val="restart"/>
            <w:tcBorders>
              <w:top w:val="nil"/>
              <w:left w:val="single" w:sz="8" w:space="0" w:color="auto"/>
              <w:bottom w:val="single" w:sz="8" w:space="0" w:color="000000"/>
              <w:right w:val="single" w:sz="8" w:space="0" w:color="auto"/>
            </w:tcBorders>
            <w:vAlign w:val="center"/>
            <w:hideMark/>
          </w:tcPr>
          <w:p w14:paraId="7093935B" w14:textId="77777777" w:rsidR="001506D3" w:rsidRPr="002926D7" w:rsidRDefault="001506D3" w:rsidP="002926D7">
            <w:pPr>
              <w:ind w:right="-8"/>
              <w:contextualSpacing/>
              <w:jc w:val="center"/>
              <w:rPr>
                <w:rFonts w:eastAsia="Times New Roman" w:cs="Calibri"/>
                <w:i/>
                <w:iCs/>
                <w:color w:val="000000"/>
                <w:sz w:val="14"/>
                <w:szCs w:val="14"/>
              </w:rPr>
            </w:pPr>
            <w:r w:rsidRPr="002926D7">
              <w:rPr>
                <w:rFonts w:eastAsia="Times New Roman" w:cs="Calibri"/>
                <w:i/>
                <w:iCs/>
                <w:color w:val="000000"/>
                <w:sz w:val="14"/>
                <w:szCs w:val="14"/>
              </w:rPr>
              <w:t>10003</w:t>
            </w:r>
          </w:p>
        </w:tc>
        <w:tc>
          <w:tcPr>
            <w:tcW w:w="275" w:type="pct"/>
            <w:tcBorders>
              <w:top w:val="nil"/>
              <w:left w:val="nil"/>
              <w:bottom w:val="single" w:sz="8" w:space="0" w:color="auto"/>
              <w:right w:val="single" w:sz="8" w:space="0" w:color="auto"/>
            </w:tcBorders>
            <w:vAlign w:val="center"/>
            <w:hideMark/>
          </w:tcPr>
          <w:p w14:paraId="6888EBC3"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71200</w:t>
            </w:r>
          </w:p>
        </w:tc>
        <w:tc>
          <w:tcPr>
            <w:tcW w:w="334" w:type="pct"/>
            <w:tcBorders>
              <w:top w:val="nil"/>
              <w:left w:val="nil"/>
              <w:bottom w:val="single" w:sz="8" w:space="0" w:color="auto"/>
              <w:right w:val="single" w:sz="8" w:space="0" w:color="auto"/>
            </w:tcBorders>
            <w:vAlign w:val="center"/>
            <w:hideMark/>
          </w:tcPr>
          <w:p w14:paraId="67C992A5"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International Consultants</w:t>
            </w:r>
          </w:p>
        </w:tc>
        <w:tc>
          <w:tcPr>
            <w:tcW w:w="363" w:type="pct"/>
            <w:tcBorders>
              <w:top w:val="nil"/>
              <w:left w:val="nil"/>
              <w:bottom w:val="single" w:sz="8" w:space="0" w:color="auto"/>
              <w:right w:val="single" w:sz="8" w:space="0" w:color="auto"/>
            </w:tcBorders>
            <w:noWrap/>
            <w:vAlign w:val="center"/>
            <w:hideMark/>
          </w:tcPr>
          <w:p w14:paraId="3B0BB8FB"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$7,618 </w:t>
            </w:r>
          </w:p>
        </w:tc>
        <w:tc>
          <w:tcPr>
            <w:tcW w:w="364" w:type="pct"/>
            <w:tcBorders>
              <w:top w:val="nil"/>
              <w:left w:val="nil"/>
              <w:bottom w:val="single" w:sz="8" w:space="0" w:color="auto"/>
              <w:right w:val="single" w:sz="8" w:space="0" w:color="auto"/>
            </w:tcBorders>
            <w:noWrap/>
            <w:vAlign w:val="center"/>
            <w:hideMark/>
          </w:tcPr>
          <w:p w14:paraId="4BC4446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$10,322 </w:t>
            </w:r>
          </w:p>
        </w:tc>
        <w:tc>
          <w:tcPr>
            <w:tcW w:w="333" w:type="pct"/>
            <w:tcBorders>
              <w:top w:val="nil"/>
              <w:left w:val="nil"/>
              <w:bottom w:val="single" w:sz="8" w:space="0" w:color="auto"/>
              <w:right w:val="single" w:sz="8" w:space="0" w:color="auto"/>
            </w:tcBorders>
            <w:noWrap/>
            <w:vAlign w:val="center"/>
            <w:hideMark/>
          </w:tcPr>
          <w:p w14:paraId="43803D37"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$4,669 </w:t>
            </w:r>
          </w:p>
        </w:tc>
        <w:tc>
          <w:tcPr>
            <w:tcW w:w="334" w:type="pct"/>
            <w:tcBorders>
              <w:top w:val="nil"/>
              <w:left w:val="nil"/>
              <w:bottom w:val="single" w:sz="8" w:space="0" w:color="auto"/>
              <w:right w:val="single" w:sz="8" w:space="0" w:color="auto"/>
            </w:tcBorders>
            <w:noWrap/>
            <w:vAlign w:val="center"/>
            <w:hideMark/>
          </w:tcPr>
          <w:p w14:paraId="29B94A1D"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$1,229 </w:t>
            </w:r>
          </w:p>
        </w:tc>
        <w:tc>
          <w:tcPr>
            <w:tcW w:w="276" w:type="pct"/>
            <w:tcBorders>
              <w:top w:val="nil"/>
              <w:left w:val="nil"/>
              <w:bottom w:val="single" w:sz="8" w:space="0" w:color="auto"/>
              <w:right w:val="single" w:sz="8" w:space="0" w:color="auto"/>
            </w:tcBorders>
            <w:vAlign w:val="center"/>
            <w:hideMark/>
          </w:tcPr>
          <w:p w14:paraId="445CF9ED"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$737 </w:t>
            </w:r>
          </w:p>
        </w:tc>
        <w:tc>
          <w:tcPr>
            <w:tcW w:w="391" w:type="pct"/>
            <w:gridSpan w:val="2"/>
            <w:tcBorders>
              <w:top w:val="nil"/>
              <w:left w:val="nil"/>
              <w:bottom w:val="single" w:sz="8" w:space="0" w:color="auto"/>
              <w:right w:val="single" w:sz="8" w:space="0" w:color="auto"/>
            </w:tcBorders>
            <w:noWrap/>
            <w:vAlign w:val="center"/>
            <w:hideMark/>
          </w:tcPr>
          <w:p w14:paraId="3DECC633"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$24,575 </w:t>
            </w:r>
          </w:p>
        </w:tc>
        <w:tc>
          <w:tcPr>
            <w:tcW w:w="181" w:type="pct"/>
            <w:tcBorders>
              <w:top w:val="nil"/>
              <w:left w:val="nil"/>
              <w:bottom w:val="single" w:sz="8" w:space="0" w:color="auto"/>
              <w:right w:val="single" w:sz="8" w:space="0" w:color="auto"/>
            </w:tcBorders>
            <w:noWrap/>
            <w:vAlign w:val="center"/>
            <w:hideMark/>
          </w:tcPr>
          <w:p w14:paraId="3F7C68D8"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2</w:t>
            </w:r>
          </w:p>
        </w:tc>
      </w:tr>
      <w:tr w:rsidR="00170617" w:rsidRPr="002926D7" w14:paraId="0CEF188C" w14:textId="77777777" w:rsidTr="00170617">
        <w:trPr>
          <w:trHeight w:val="288"/>
          <w:jc w:val="center"/>
        </w:trPr>
        <w:tc>
          <w:tcPr>
            <w:tcW w:w="423" w:type="pct"/>
            <w:vMerge/>
            <w:tcBorders>
              <w:left w:val="single" w:sz="8" w:space="0" w:color="auto"/>
              <w:right w:val="single" w:sz="8" w:space="0" w:color="auto"/>
            </w:tcBorders>
            <w:vAlign w:val="center"/>
          </w:tcPr>
          <w:p w14:paraId="7BBB97D0" w14:textId="493D3878"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66BC0FE7" w14:textId="0F6A6C79"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57BB0F2C"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E41E74C"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1532010"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D01A3EE"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72FAE269"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71300</w:t>
            </w:r>
          </w:p>
        </w:tc>
        <w:tc>
          <w:tcPr>
            <w:tcW w:w="334" w:type="pct"/>
            <w:tcBorders>
              <w:top w:val="nil"/>
              <w:left w:val="nil"/>
              <w:bottom w:val="single" w:sz="8" w:space="0" w:color="auto"/>
              <w:right w:val="single" w:sz="8" w:space="0" w:color="auto"/>
            </w:tcBorders>
            <w:vAlign w:val="center"/>
            <w:hideMark/>
          </w:tcPr>
          <w:p w14:paraId="1DCCD2C1"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Local Consultants</w:t>
            </w:r>
          </w:p>
        </w:tc>
        <w:tc>
          <w:tcPr>
            <w:tcW w:w="363" w:type="pct"/>
            <w:tcBorders>
              <w:top w:val="nil"/>
              <w:left w:val="nil"/>
              <w:bottom w:val="single" w:sz="8" w:space="0" w:color="auto"/>
              <w:right w:val="single" w:sz="8" w:space="0" w:color="auto"/>
            </w:tcBorders>
            <w:noWrap/>
            <w:vAlign w:val="center"/>
            <w:hideMark/>
          </w:tcPr>
          <w:p w14:paraId="55BDEC49"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$30,392 </w:t>
            </w:r>
          </w:p>
        </w:tc>
        <w:tc>
          <w:tcPr>
            <w:tcW w:w="364" w:type="pct"/>
            <w:tcBorders>
              <w:top w:val="nil"/>
              <w:left w:val="nil"/>
              <w:bottom w:val="single" w:sz="8" w:space="0" w:color="auto"/>
              <w:right w:val="single" w:sz="8" w:space="0" w:color="auto"/>
            </w:tcBorders>
            <w:noWrap/>
            <w:vAlign w:val="center"/>
            <w:hideMark/>
          </w:tcPr>
          <w:p w14:paraId="721E92DE"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$41,176 </w:t>
            </w:r>
          </w:p>
        </w:tc>
        <w:tc>
          <w:tcPr>
            <w:tcW w:w="333" w:type="pct"/>
            <w:tcBorders>
              <w:top w:val="nil"/>
              <w:left w:val="nil"/>
              <w:bottom w:val="single" w:sz="8" w:space="0" w:color="auto"/>
              <w:right w:val="single" w:sz="8" w:space="0" w:color="auto"/>
            </w:tcBorders>
            <w:noWrap/>
            <w:vAlign w:val="center"/>
            <w:hideMark/>
          </w:tcPr>
          <w:p w14:paraId="19F55380"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$18,627 </w:t>
            </w:r>
          </w:p>
        </w:tc>
        <w:tc>
          <w:tcPr>
            <w:tcW w:w="334" w:type="pct"/>
            <w:tcBorders>
              <w:top w:val="nil"/>
              <w:left w:val="nil"/>
              <w:bottom w:val="single" w:sz="8" w:space="0" w:color="auto"/>
              <w:right w:val="single" w:sz="8" w:space="0" w:color="auto"/>
            </w:tcBorders>
            <w:noWrap/>
            <w:vAlign w:val="center"/>
            <w:hideMark/>
          </w:tcPr>
          <w:p w14:paraId="73910AEC"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$4,902 </w:t>
            </w:r>
          </w:p>
        </w:tc>
        <w:tc>
          <w:tcPr>
            <w:tcW w:w="276" w:type="pct"/>
            <w:tcBorders>
              <w:top w:val="nil"/>
              <w:left w:val="nil"/>
              <w:bottom w:val="single" w:sz="8" w:space="0" w:color="auto"/>
              <w:right w:val="single" w:sz="8" w:space="0" w:color="auto"/>
            </w:tcBorders>
            <w:vAlign w:val="center"/>
            <w:hideMark/>
          </w:tcPr>
          <w:p w14:paraId="1E5CED2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$2,941 </w:t>
            </w:r>
          </w:p>
        </w:tc>
        <w:tc>
          <w:tcPr>
            <w:tcW w:w="391" w:type="pct"/>
            <w:gridSpan w:val="2"/>
            <w:tcBorders>
              <w:top w:val="nil"/>
              <w:left w:val="nil"/>
              <w:bottom w:val="single" w:sz="8" w:space="0" w:color="auto"/>
              <w:right w:val="single" w:sz="8" w:space="0" w:color="auto"/>
            </w:tcBorders>
            <w:noWrap/>
            <w:vAlign w:val="center"/>
            <w:hideMark/>
          </w:tcPr>
          <w:p w14:paraId="6E01EC5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$98,038 </w:t>
            </w:r>
          </w:p>
        </w:tc>
        <w:tc>
          <w:tcPr>
            <w:tcW w:w="181" w:type="pct"/>
            <w:tcBorders>
              <w:top w:val="nil"/>
              <w:left w:val="nil"/>
              <w:bottom w:val="single" w:sz="8" w:space="0" w:color="auto"/>
              <w:right w:val="single" w:sz="8" w:space="0" w:color="auto"/>
            </w:tcBorders>
            <w:noWrap/>
            <w:vAlign w:val="center"/>
            <w:hideMark/>
          </w:tcPr>
          <w:p w14:paraId="5AD3DDC1"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3</w:t>
            </w:r>
          </w:p>
        </w:tc>
      </w:tr>
      <w:tr w:rsidR="00170617" w:rsidRPr="002926D7" w14:paraId="1DECFB5A" w14:textId="77777777" w:rsidTr="00170617">
        <w:trPr>
          <w:trHeight w:val="288"/>
          <w:jc w:val="center"/>
        </w:trPr>
        <w:tc>
          <w:tcPr>
            <w:tcW w:w="423" w:type="pct"/>
            <w:vMerge/>
            <w:tcBorders>
              <w:left w:val="single" w:sz="8" w:space="0" w:color="auto"/>
              <w:right w:val="single" w:sz="8" w:space="0" w:color="auto"/>
            </w:tcBorders>
            <w:vAlign w:val="center"/>
          </w:tcPr>
          <w:p w14:paraId="4B8D67C2" w14:textId="21B9F52E"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0AD26076" w14:textId="58128835"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43CB4052"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76F5F21"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6A170EC"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A75D1D8"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45002994"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71400</w:t>
            </w:r>
          </w:p>
        </w:tc>
        <w:tc>
          <w:tcPr>
            <w:tcW w:w="334" w:type="pct"/>
            <w:tcBorders>
              <w:top w:val="nil"/>
              <w:left w:val="nil"/>
              <w:bottom w:val="single" w:sz="8" w:space="0" w:color="auto"/>
              <w:right w:val="single" w:sz="8" w:space="0" w:color="auto"/>
            </w:tcBorders>
            <w:vAlign w:val="center"/>
            <w:hideMark/>
          </w:tcPr>
          <w:p w14:paraId="3247F200"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Contractual Services - Individ</w:t>
            </w:r>
          </w:p>
        </w:tc>
        <w:tc>
          <w:tcPr>
            <w:tcW w:w="363" w:type="pct"/>
            <w:tcBorders>
              <w:top w:val="nil"/>
              <w:left w:val="nil"/>
              <w:bottom w:val="single" w:sz="8" w:space="0" w:color="auto"/>
              <w:right w:val="single" w:sz="8" w:space="0" w:color="auto"/>
            </w:tcBorders>
            <w:noWrap/>
            <w:vAlign w:val="center"/>
            <w:hideMark/>
          </w:tcPr>
          <w:p w14:paraId="0D1BBEAC"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$85,735 </w:t>
            </w:r>
          </w:p>
        </w:tc>
        <w:tc>
          <w:tcPr>
            <w:tcW w:w="364" w:type="pct"/>
            <w:tcBorders>
              <w:top w:val="nil"/>
              <w:left w:val="nil"/>
              <w:bottom w:val="single" w:sz="8" w:space="0" w:color="auto"/>
              <w:right w:val="single" w:sz="8" w:space="0" w:color="auto"/>
            </w:tcBorders>
            <w:noWrap/>
            <w:vAlign w:val="center"/>
            <w:hideMark/>
          </w:tcPr>
          <w:p w14:paraId="7C6E89B3"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$116,157 </w:t>
            </w:r>
          </w:p>
        </w:tc>
        <w:tc>
          <w:tcPr>
            <w:tcW w:w="333" w:type="pct"/>
            <w:tcBorders>
              <w:top w:val="nil"/>
              <w:left w:val="nil"/>
              <w:bottom w:val="single" w:sz="8" w:space="0" w:color="auto"/>
              <w:right w:val="single" w:sz="8" w:space="0" w:color="auto"/>
            </w:tcBorders>
            <w:noWrap/>
            <w:vAlign w:val="center"/>
            <w:hideMark/>
          </w:tcPr>
          <w:p w14:paraId="37A5813A"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$52,547 </w:t>
            </w:r>
          </w:p>
        </w:tc>
        <w:tc>
          <w:tcPr>
            <w:tcW w:w="334" w:type="pct"/>
            <w:tcBorders>
              <w:top w:val="nil"/>
              <w:left w:val="nil"/>
              <w:bottom w:val="single" w:sz="8" w:space="0" w:color="auto"/>
              <w:right w:val="single" w:sz="8" w:space="0" w:color="auto"/>
            </w:tcBorders>
            <w:noWrap/>
            <w:vAlign w:val="center"/>
            <w:hideMark/>
          </w:tcPr>
          <w:p w14:paraId="635B68CF"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$13,828 </w:t>
            </w:r>
          </w:p>
        </w:tc>
        <w:tc>
          <w:tcPr>
            <w:tcW w:w="276" w:type="pct"/>
            <w:tcBorders>
              <w:top w:val="nil"/>
              <w:left w:val="nil"/>
              <w:bottom w:val="single" w:sz="8" w:space="0" w:color="auto"/>
              <w:right w:val="single" w:sz="8" w:space="0" w:color="auto"/>
            </w:tcBorders>
            <w:vAlign w:val="center"/>
            <w:hideMark/>
          </w:tcPr>
          <w:p w14:paraId="44D0A5C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$8,297 </w:t>
            </w:r>
          </w:p>
        </w:tc>
        <w:tc>
          <w:tcPr>
            <w:tcW w:w="391" w:type="pct"/>
            <w:gridSpan w:val="2"/>
            <w:tcBorders>
              <w:top w:val="nil"/>
              <w:left w:val="nil"/>
              <w:bottom w:val="single" w:sz="8" w:space="0" w:color="auto"/>
              <w:right w:val="single" w:sz="8" w:space="0" w:color="auto"/>
            </w:tcBorders>
            <w:noWrap/>
            <w:vAlign w:val="center"/>
            <w:hideMark/>
          </w:tcPr>
          <w:p w14:paraId="13741E8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$276,564 </w:t>
            </w:r>
          </w:p>
        </w:tc>
        <w:tc>
          <w:tcPr>
            <w:tcW w:w="181" w:type="pct"/>
            <w:tcBorders>
              <w:top w:val="nil"/>
              <w:left w:val="nil"/>
              <w:bottom w:val="single" w:sz="8" w:space="0" w:color="auto"/>
              <w:right w:val="single" w:sz="8" w:space="0" w:color="auto"/>
            </w:tcBorders>
            <w:noWrap/>
            <w:vAlign w:val="center"/>
            <w:hideMark/>
          </w:tcPr>
          <w:p w14:paraId="68C30D95"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5</w:t>
            </w:r>
          </w:p>
        </w:tc>
      </w:tr>
      <w:tr w:rsidR="00170617" w:rsidRPr="002926D7" w14:paraId="235EDB0B" w14:textId="77777777" w:rsidTr="00170617">
        <w:trPr>
          <w:trHeight w:val="288"/>
          <w:jc w:val="center"/>
        </w:trPr>
        <w:tc>
          <w:tcPr>
            <w:tcW w:w="423" w:type="pct"/>
            <w:vMerge/>
            <w:tcBorders>
              <w:left w:val="single" w:sz="8" w:space="0" w:color="auto"/>
              <w:right w:val="single" w:sz="8" w:space="0" w:color="auto"/>
            </w:tcBorders>
            <w:vAlign w:val="center"/>
          </w:tcPr>
          <w:p w14:paraId="27736697" w14:textId="671F34F7"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11337FDB" w14:textId="046BBCC3"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7FBCB598"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58F7B8A"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C82FF39"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8862058"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4C93CCE0"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71600</w:t>
            </w:r>
          </w:p>
        </w:tc>
        <w:tc>
          <w:tcPr>
            <w:tcW w:w="334" w:type="pct"/>
            <w:tcBorders>
              <w:top w:val="nil"/>
              <w:left w:val="nil"/>
              <w:bottom w:val="single" w:sz="8" w:space="0" w:color="auto"/>
              <w:right w:val="single" w:sz="8" w:space="0" w:color="auto"/>
            </w:tcBorders>
            <w:vAlign w:val="center"/>
            <w:hideMark/>
          </w:tcPr>
          <w:p w14:paraId="5D277F6C"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Travel</w:t>
            </w:r>
          </w:p>
        </w:tc>
        <w:tc>
          <w:tcPr>
            <w:tcW w:w="363" w:type="pct"/>
            <w:tcBorders>
              <w:top w:val="nil"/>
              <w:left w:val="nil"/>
              <w:bottom w:val="single" w:sz="8" w:space="0" w:color="auto"/>
              <w:right w:val="single" w:sz="8" w:space="0" w:color="auto"/>
            </w:tcBorders>
            <w:noWrap/>
            <w:vAlign w:val="center"/>
            <w:hideMark/>
          </w:tcPr>
          <w:p w14:paraId="4F50281A"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$112,782 </w:t>
            </w:r>
          </w:p>
        </w:tc>
        <w:tc>
          <w:tcPr>
            <w:tcW w:w="364" w:type="pct"/>
            <w:tcBorders>
              <w:top w:val="nil"/>
              <w:left w:val="nil"/>
              <w:bottom w:val="single" w:sz="8" w:space="0" w:color="auto"/>
              <w:right w:val="single" w:sz="8" w:space="0" w:color="auto"/>
            </w:tcBorders>
            <w:noWrap/>
            <w:vAlign w:val="center"/>
            <w:hideMark/>
          </w:tcPr>
          <w:p w14:paraId="511F4D6E"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$152,801 </w:t>
            </w:r>
          </w:p>
        </w:tc>
        <w:tc>
          <w:tcPr>
            <w:tcW w:w="333" w:type="pct"/>
            <w:tcBorders>
              <w:top w:val="nil"/>
              <w:left w:val="nil"/>
              <w:bottom w:val="single" w:sz="8" w:space="0" w:color="auto"/>
              <w:right w:val="single" w:sz="8" w:space="0" w:color="auto"/>
            </w:tcBorders>
            <w:noWrap/>
            <w:vAlign w:val="center"/>
            <w:hideMark/>
          </w:tcPr>
          <w:p w14:paraId="38EA4296"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$69,124 </w:t>
            </w:r>
          </w:p>
        </w:tc>
        <w:tc>
          <w:tcPr>
            <w:tcW w:w="334" w:type="pct"/>
            <w:tcBorders>
              <w:top w:val="nil"/>
              <w:left w:val="nil"/>
              <w:bottom w:val="single" w:sz="8" w:space="0" w:color="auto"/>
              <w:right w:val="single" w:sz="8" w:space="0" w:color="auto"/>
            </w:tcBorders>
            <w:noWrap/>
            <w:vAlign w:val="center"/>
            <w:hideMark/>
          </w:tcPr>
          <w:p w14:paraId="0E09553A"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$18,191 </w:t>
            </w:r>
          </w:p>
        </w:tc>
        <w:tc>
          <w:tcPr>
            <w:tcW w:w="276" w:type="pct"/>
            <w:tcBorders>
              <w:top w:val="nil"/>
              <w:left w:val="nil"/>
              <w:bottom w:val="single" w:sz="8" w:space="0" w:color="auto"/>
              <w:right w:val="single" w:sz="8" w:space="0" w:color="auto"/>
            </w:tcBorders>
            <w:vAlign w:val="center"/>
            <w:hideMark/>
          </w:tcPr>
          <w:p w14:paraId="171758A8"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$10,914 </w:t>
            </w:r>
          </w:p>
        </w:tc>
        <w:tc>
          <w:tcPr>
            <w:tcW w:w="391" w:type="pct"/>
            <w:gridSpan w:val="2"/>
            <w:tcBorders>
              <w:top w:val="nil"/>
              <w:left w:val="nil"/>
              <w:bottom w:val="single" w:sz="8" w:space="0" w:color="auto"/>
              <w:right w:val="single" w:sz="8" w:space="0" w:color="auto"/>
            </w:tcBorders>
            <w:noWrap/>
            <w:vAlign w:val="center"/>
            <w:hideMark/>
          </w:tcPr>
          <w:p w14:paraId="75B0DC8D"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$363,812 </w:t>
            </w:r>
          </w:p>
        </w:tc>
        <w:tc>
          <w:tcPr>
            <w:tcW w:w="181" w:type="pct"/>
            <w:tcBorders>
              <w:top w:val="nil"/>
              <w:left w:val="nil"/>
              <w:bottom w:val="single" w:sz="8" w:space="0" w:color="auto"/>
              <w:right w:val="single" w:sz="8" w:space="0" w:color="auto"/>
            </w:tcBorders>
            <w:noWrap/>
            <w:vAlign w:val="center"/>
            <w:hideMark/>
          </w:tcPr>
          <w:p w14:paraId="1D09FDEB"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7</w:t>
            </w:r>
          </w:p>
        </w:tc>
      </w:tr>
      <w:tr w:rsidR="00170617" w:rsidRPr="002926D7" w14:paraId="01CA7462" w14:textId="77777777" w:rsidTr="00170617">
        <w:trPr>
          <w:trHeight w:val="288"/>
          <w:jc w:val="center"/>
        </w:trPr>
        <w:tc>
          <w:tcPr>
            <w:tcW w:w="423" w:type="pct"/>
            <w:vMerge/>
            <w:tcBorders>
              <w:left w:val="single" w:sz="8" w:space="0" w:color="auto"/>
              <w:right w:val="single" w:sz="8" w:space="0" w:color="auto"/>
            </w:tcBorders>
            <w:vAlign w:val="center"/>
          </w:tcPr>
          <w:p w14:paraId="0905F118" w14:textId="20107801"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43FECCC2" w14:textId="00F5C44E"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2101FA4E"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3EC5548"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C9087EA"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4FBB1744"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57785DE6"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72100</w:t>
            </w:r>
          </w:p>
        </w:tc>
        <w:tc>
          <w:tcPr>
            <w:tcW w:w="334" w:type="pct"/>
            <w:tcBorders>
              <w:top w:val="nil"/>
              <w:left w:val="nil"/>
              <w:bottom w:val="single" w:sz="8" w:space="0" w:color="auto"/>
              <w:right w:val="single" w:sz="8" w:space="0" w:color="auto"/>
            </w:tcBorders>
            <w:vAlign w:val="center"/>
            <w:hideMark/>
          </w:tcPr>
          <w:p w14:paraId="3FB7245C"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Contractual Services-Companies</w:t>
            </w:r>
          </w:p>
        </w:tc>
        <w:tc>
          <w:tcPr>
            <w:tcW w:w="363" w:type="pct"/>
            <w:tcBorders>
              <w:top w:val="nil"/>
              <w:left w:val="nil"/>
              <w:bottom w:val="single" w:sz="8" w:space="0" w:color="auto"/>
              <w:right w:val="single" w:sz="8" w:space="0" w:color="auto"/>
            </w:tcBorders>
            <w:noWrap/>
            <w:vAlign w:val="center"/>
            <w:hideMark/>
          </w:tcPr>
          <w:p w14:paraId="6FFAB529"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$34,544 </w:t>
            </w:r>
          </w:p>
        </w:tc>
        <w:tc>
          <w:tcPr>
            <w:tcW w:w="364" w:type="pct"/>
            <w:tcBorders>
              <w:top w:val="nil"/>
              <w:left w:val="nil"/>
              <w:bottom w:val="single" w:sz="8" w:space="0" w:color="auto"/>
              <w:right w:val="single" w:sz="8" w:space="0" w:color="auto"/>
            </w:tcBorders>
            <w:noWrap/>
            <w:vAlign w:val="center"/>
            <w:hideMark/>
          </w:tcPr>
          <w:p w14:paraId="0004DAA3"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$46,802 </w:t>
            </w:r>
          </w:p>
        </w:tc>
        <w:tc>
          <w:tcPr>
            <w:tcW w:w="333" w:type="pct"/>
            <w:tcBorders>
              <w:top w:val="nil"/>
              <w:left w:val="nil"/>
              <w:bottom w:val="single" w:sz="8" w:space="0" w:color="auto"/>
              <w:right w:val="single" w:sz="8" w:space="0" w:color="auto"/>
            </w:tcBorders>
            <w:noWrap/>
            <w:vAlign w:val="center"/>
            <w:hideMark/>
          </w:tcPr>
          <w:p w14:paraId="554452B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$21,172 </w:t>
            </w:r>
          </w:p>
        </w:tc>
        <w:tc>
          <w:tcPr>
            <w:tcW w:w="334" w:type="pct"/>
            <w:tcBorders>
              <w:top w:val="nil"/>
              <w:left w:val="nil"/>
              <w:bottom w:val="single" w:sz="8" w:space="0" w:color="auto"/>
              <w:right w:val="single" w:sz="8" w:space="0" w:color="auto"/>
            </w:tcBorders>
            <w:noWrap/>
            <w:vAlign w:val="center"/>
            <w:hideMark/>
          </w:tcPr>
          <w:p w14:paraId="392521FA"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$5,572 </w:t>
            </w:r>
          </w:p>
        </w:tc>
        <w:tc>
          <w:tcPr>
            <w:tcW w:w="276" w:type="pct"/>
            <w:tcBorders>
              <w:top w:val="nil"/>
              <w:left w:val="nil"/>
              <w:bottom w:val="single" w:sz="8" w:space="0" w:color="auto"/>
              <w:right w:val="single" w:sz="8" w:space="0" w:color="auto"/>
            </w:tcBorders>
            <w:vAlign w:val="center"/>
            <w:hideMark/>
          </w:tcPr>
          <w:p w14:paraId="609534B5"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$3,343 </w:t>
            </w:r>
          </w:p>
        </w:tc>
        <w:tc>
          <w:tcPr>
            <w:tcW w:w="391" w:type="pct"/>
            <w:gridSpan w:val="2"/>
            <w:tcBorders>
              <w:top w:val="nil"/>
              <w:left w:val="nil"/>
              <w:bottom w:val="single" w:sz="8" w:space="0" w:color="auto"/>
              <w:right w:val="single" w:sz="8" w:space="0" w:color="auto"/>
            </w:tcBorders>
            <w:noWrap/>
            <w:vAlign w:val="center"/>
            <w:hideMark/>
          </w:tcPr>
          <w:p w14:paraId="5713E92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$111,433 </w:t>
            </w:r>
          </w:p>
        </w:tc>
        <w:tc>
          <w:tcPr>
            <w:tcW w:w="181" w:type="pct"/>
            <w:tcBorders>
              <w:top w:val="nil"/>
              <w:left w:val="nil"/>
              <w:bottom w:val="single" w:sz="8" w:space="0" w:color="auto"/>
              <w:right w:val="single" w:sz="8" w:space="0" w:color="auto"/>
            </w:tcBorders>
            <w:noWrap/>
            <w:vAlign w:val="center"/>
            <w:hideMark/>
          </w:tcPr>
          <w:p w14:paraId="31E38DFA"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12</w:t>
            </w:r>
          </w:p>
        </w:tc>
      </w:tr>
      <w:tr w:rsidR="00170617" w:rsidRPr="002926D7" w14:paraId="30A4FB1A" w14:textId="77777777" w:rsidTr="00170617">
        <w:trPr>
          <w:trHeight w:val="288"/>
          <w:jc w:val="center"/>
        </w:trPr>
        <w:tc>
          <w:tcPr>
            <w:tcW w:w="423" w:type="pct"/>
            <w:vMerge/>
            <w:tcBorders>
              <w:left w:val="single" w:sz="8" w:space="0" w:color="auto"/>
              <w:right w:val="single" w:sz="8" w:space="0" w:color="auto"/>
            </w:tcBorders>
            <w:vAlign w:val="center"/>
          </w:tcPr>
          <w:p w14:paraId="4EDF8ECB" w14:textId="0166B757"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7175EE9E" w14:textId="7B5B7222"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54501151"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EB53C40"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29D52557"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1063605"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16535F98"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72500</w:t>
            </w:r>
          </w:p>
        </w:tc>
        <w:tc>
          <w:tcPr>
            <w:tcW w:w="334" w:type="pct"/>
            <w:tcBorders>
              <w:top w:val="nil"/>
              <w:left w:val="nil"/>
              <w:bottom w:val="single" w:sz="8" w:space="0" w:color="auto"/>
              <w:right w:val="single" w:sz="8" w:space="0" w:color="auto"/>
            </w:tcBorders>
            <w:vAlign w:val="center"/>
            <w:hideMark/>
          </w:tcPr>
          <w:p w14:paraId="178714C6"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Supplies</w:t>
            </w:r>
          </w:p>
        </w:tc>
        <w:tc>
          <w:tcPr>
            <w:tcW w:w="363" w:type="pct"/>
            <w:tcBorders>
              <w:top w:val="nil"/>
              <w:left w:val="nil"/>
              <w:bottom w:val="single" w:sz="8" w:space="0" w:color="auto"/>
              <w:right w:val="single" w:sz="8" w:space="0" w:color="auto"/>
            </w:tcBorders>
            <w:noWrap/>
            <w:vAlign w:val="center"/>
            <w:hideMark/>
          </w:tcPr>
          <w:p w14:paraId="3434BF8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$9,595 </w:t>
            </w:r>
          </w:p>
        </w:tc>
        <w:tc>
          <w:tcPr>
            <w:tcW w:w="364" w:type="pct"/>
            <w:tcBorders>
              <w:top w:val="nil"/>
              <w:left w:val="nil"/>
              <w:bottom w:val="single" w:sz="8" w:space="0" w:color="auto"/>
              <w:right w:val="single" w:sz="8" w:space="0" w:color="auto"/>
            </w:tcBorders>
            <w:noWrap/>
            <w:vAlign w:val="center"/>
            <w:hideMark/>
          </w:tcPr>
          <w:p w14:paraId="66A38DF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$12,999 </w:t>
            </w:r>
          </w:p>
        </w:tc>
        <w:tc>
          <w:tcPr>
            <w:tcW w:w="333" w:type="pct"/>
            <w:tcBorders>
              <w:top w:val="nil"/>
              <w:left w:val="nil"/>
              <w:bottom w:val="single" w:sz="8" w:space="0" w:color="auto"/>
              <w:right w:val="single" w:sz="8" w:space="0" w:color="auto"/>
            </w:tcBorders>
            <w:noWrap/>
            <w:vAlign w:val="center"/>
            <w:hideMark/>
          </w:tcPr>
          <w:p w14:paraId="2B89BE88"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$5,881 </w:t>
            </w:r>
          </w:p>
        </w:tc>
        <w:tc>
          <w:tcPr>
            <w:tcW w:w="334" w:type="pct"/>
            <w:tcBorders>
              <w:top w:val="nil"/>
              <w:left w:val="nil"/>
              <w:bottom w:val="single" w:sz="8" w:space="0" w:color="auto"/>
              <w:right w:val="single" w:sz="8" w:space="0" w:color="auto"/>
            </w:tcBorders>
            <w:noWrap/>
            <w:vAlign w:val="center"/>
            <w:hideMark/>
          </w:tcPr>
          <w:p w14:paraId="5E5F28AB"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$1,548 </w:t>
            </w:r>
          </w:p>
        </w:tc>
        <w:tc>
          <w:tcPr>
            <w:tcW w:w="276" w:type="pct"/>
            <w:tcBorders>
              <w:top w:val="nil"/>
              <w:left w:val="nil"/>
              <w:bottom w:val="single" w:sz="8" w:space="0" w:color="auto"/>
              <w:right w:val="single" w:sz="8" w:space="0" w:color="auto"/>
            </w:tcBorders>
            <w:vAlign w:val="center"/>
            <w:hideMark/>
          </w:tcPr>
          <w:p w14:paraId="03A809FB"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$929 </w:t>
            </w:r>
          </w:p>
        </w:tc>
        <w:tc>
          <w:tcPr>
            <w:tcW w:w="391" w:type="pct"/>
            <w:gridSpan w:val="2"/>
            <w:tcBorders>
              <w:top w:val="nil"/>
              <w:left w:val="nil"/>
              <w:bottom w:val="single" w:sz="8" w:space="0" w:color="auto"/>
              <w:right w:val="single" w:sz="8" w:space="0" w:color="auto"/>
            </w:tcBorders>
            <w:noWrap/>
            <w:vAlign w:val="center"/>
            <w:hideMark/>
          </w:tcPr>
          <w:p w14:paraId="60939E33"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$30,952 </w:t>
            </w:r>
          </w:p>
        </w:tc>
        <w:tc>
          <w:tcPr>
            <w:tcW w:w="181" w:type="pct"/>
            <w:tcBorders>
              <w:top w:val="nil"/>
              <w:left w:val="nil"/>
              <w:bottom w:val="single" w:sz="8" w:space="0" w:color="auto"/>
              <w:right w:val="single" w:sz="8" w:space="0" w:color="auto"/>
            </w:tcBorders>
            <w:noWrap/>
            <w:vAlign w:val="center"/>
            <w:hideMark/>
          </w:tcPr>
          <w:p w14:paraId="1A28F753"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10</w:t>
            </w:r>
          </w:p>
        </w:tc>
      </w:tr>
      <w:tr w:rsidR="00170617" w:rsidRPr="002926D7" w14:paraId="75A486BF" w14:textId="77777777" w:rsidTr="00170617">
        <w:trPr>
          <w:trHeight w:val="288"/>
          <w:jc w:val="center"/>
        </w:trPr>
        <w:tc>
          <w:tcPr>
            <w:tcW w:w="423" w:type="pct"/>
            <w:vMerge/>
            <w:tcBorders>
              <w:left w:val="single" w:sz="8" w:space="0" w:color="auto"/>
              <w:right w:val="single" w:sz="8" w:space="0" w:color="auto"/>
            </w:tcBorders>
            <w:vAlign w:val="center"/>
          </w:tcPr>
          <w:p w14:paraId="4441E704" w14:textId="453FC859"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2F4864BD" w14:textId="7E611901"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074D69CD"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FE0875C"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23B59C81"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941D0AA"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3CEECE65"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74500</w:t>
            </w:r>
          </w:p>
        </w:tc>
        <w:tc>
          <w:tcPr>
            <w:tcW w:w="334" w:type="pct"/>
            <w:tcBorders>
              <w:top w:val="nil"/>
              <w:left w:val="nil"/>
              <w:bottom w:val="single" w:sz="8" w:space="0" w:color="auto"/>
              <w:right w:val="single" w:sz="8" w:space="0" w:color="auto"/>
            </w:tcBorders>
            <w:vAlign w:val="center"/>
            <w:hideMark/>
          </w:tcPr>
          <w:p w14:paraId="3070BADB"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Miscellaneous Expenses</w:t>
            </w:r>
          </w:p>
        </w:tc>
        <w:tc>
          <w:tcPr>
            <w:tcW w:w="363" w:type="pct"/>
            <w:tcBorders>
              <w:top w:val="nil"/>
              <w:left w:val="nil"/>
              <w:bottom w:val="single" w:sz="8" w:space="0" w:color="auto"/>
              <w:right w:val="single" w:sz="8" w:space="0" w:color="auto"/>
            </w:tcBorders>
            <w:noWrap/>
            <w:vAlign w:val="center"/>
            <w:hideMark/>
          </w:tcPr>
          <w:p w14:paraId="6FBD25F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$63,300 </w:t>
            </w:r>
          </w:p>
        </w:tc>
        <w:tc>
          <w:tcPr>
            <w:tcW w:w="364" w:type="pct"/>
            <w:tcBorders>
              <w:top w:val="nil"/>
              <w:left w:val="nil"/>
              <w:bottom w:val="single" w:sz="8" w:space="0" w:color="auto"/>
              <w:right w:val="single" w:sz="8" w:space="0" w:color="auto"/>
            </w:tcBorders>
            <w:noWrap/>
            <w:vAlign w:val="center"/>
            <w:hideMark/>
          </w:tcPr>
          <w:p w14:paraId="46658C35"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$85,761 </w:t>
            </w:r>
          </w:p>
        </w:tc>
        <w:tc>
          <w:tcPr>
            <w:tcW w:w="333" w:type="pct"/>
            <w:tcBorders>
              <w:top w:val="nil"/>
              <w:left w:val="nil"/>
              <w:bottom w:val="single" w:sz="8" w:space="0" w:color="auto"/>
              <w:right w:val="single" w:sz="8" w:space="0" w:color="auto"/>
            </w:tcBorders>
            <w:noWrap/>
            <w:vAlign w:val="center"/>
            <w:hideMark/>
          </w:tcPr>
          <w:p w14:paraId="40C0984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$38,797 </w:t>
            </w:r>
          </w:p>
        </w:tc>
        <w:tc>
          <w:tcPr>
            <w:tcW w:w="334" w:type="pct"/>
            <w:tcBorders>
              <w:top w:val="nil"/>
              <w:left w:val="nil"/>
              <w:bottom w:val="single" w:sz="8" w:space="0" w:color="auto"/>
              <w:right w:val="single" w:sz="8" w:space="0" w:color="auto"/>
            </w:tcBorders>
            <w:noWrap/>
            <w:vAlign w:val="center"/>
            <w:hideMark/>
          </w:tcPr>
          <w:p w14:paraId="379DEEFF"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$10,210 </w:t>
            </w:r>
          </w:p>
        </w:tc>
        <w:tc>
          <w:tcPr>
            <w:tcW w:w="276" w:type="pct"/>
            <w:tcBorders>
              <w:top w:val="nil"/>
              <w:left w:val="nil"/>
              <w:bottom w:val="single" w:sz="8" w:space="0" w:color="auto"/>
              <w:right w:val="single" w:sz="8" w:space="0" w:color="auto"/>
            </w:tcBorders>
            <w:vAlign w:val="center"/>
            <w:hideMark/>
          </w:tcPr>
          <w:p w14:paraId="40E6905E"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$6,126 </w:t>
            </w:r>
          </w:p>
        </w:tc>
        <w:tc>
          <w:tcPr>
            <w:tcW w:w="391" w:type="pct"/>
            <w:gridSpan w:val="2"/>
            <w:tcBorders>
              <w:top w:val="nil"/>
              <w:left w:val="nil"/>
              <w:bottom w:val="single" w:sz="8" w:space="0" w:color="auto"/>
              <w:right w:val="single" w:sz="8" w:space="0" w:color="auto"/>
            </w:tcBorders>
            <w:noWrap/>
            <w:vAlign w:val="center"/>
            <w:hideMark/>
          </w:tcPr>
          <w:p w14:paraId="683D36EB"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$204,194 </w:t>
            </w:r>
          </w:p>
        </w:tc>
        <w:tc>
          <w:tcPr>
            <w:tcW w:w="181" w:type="pct"/>
            <w:tcBorders>
              <w:top w:val="nil"/>
              <w:left w:val="nil"/>
              <w:bottom w:val="single" w:sz="8" w:space="0" w:color="auto"/>
              <w:right w:val="single" w:sz="8" w:space="0" w:color="auto"/>
            </w:tcBorders>
            <w:noWrap/>
            <w:vAlign w:val="center"/>
            <w:hideMark/>
          </w:tcPr>
          <w:p w14:paraId="0F70CE3C"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11</w:t>
            </w:r>
          </w:p>
        </w:tc>
      </w:tr>
      <w:tr w:rsidR="00170617" w:rsidRPr="002926D7" w14:paraId="288EE7BC" w14:textId="77777777" w:rsidTr="00170617">
        <w:trPr>
          <w:trHeight w:val="288"/>
          <w:jc w:val="center"/>
        </w:trPr>
        <w:tc>
          <w:tcPr>
            <w:tcW w:w="423" w:type="pct"/>
            <w:vMerge/>
            <w:tcBorders>
              <w:left w:val="single" w:sz="8" w:space="0" w:color="auto"/>
              <w:right w:val="single" w:sz="8" w:space="0" w:color="auto"/>
            </w:tcBorders>
            <w:vAlign w:val="center"/>
          </w:tcPr>
          <w:p w14:paraId="43D23B02" w14:textId="1BB59B92"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732E8BAC" w14:textId="6DCD5CFB"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5BB13E6B"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9B46F4E"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A1ED468"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BC78826"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60BF08FF"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75700</w:t>
            </w:r>
          </w:p>
        </w:tc>
        <w:tc>
          <w:tcPr>
            <w:tcW w:w="334" w:type="pct"/>
            <w:tcBorders>
              <w:top w:val="nil"/>
              <w:left w:val="nil"/>
              <w:bottom w:val="single" w:sz="8" w:space="0" w:color="auto"/>
              <w:right w:val="single" w:sz="8" w:space="0" w:color="auto"/>
            </w:tcBorders>
            <w:vAlign w:val="center"/>
            <w:hideMark/>
          </w:tcPr>
          <w:p w14:paraId="1BC90DC2"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Training, Workshops and Confer</w:t>
            </w:r>
          </w:p>
        </w:tc>
        <w:tc>
          <w:tcPr>
            <w:tcW w:w="363" w:type="pct"/>
            <w:tcBorders>
              <w:top w:val="nil"/>
              <w:left w:val="nil"/>
              <w:bottom w:val="single" w:sz="8" w:space="0" w:color="auto"/>
              <w:right w:val="single" w:sz="8" w:space="0" w:color="auto"/>
            </w:tcBorders>
            <w:noWrap/>
            <w:vAlign w:val="center"/>
            <w:hideMark/>
          </w:tcPr>
          <w:p w14:paraId="0B218D44"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$49,627 </w:t>
            </w:r>
          </w:p>
        </w:tc>
        <w:tc>
          <w:tcPr>
            <w:tcW w:w="364" w:type="pct"/>
            <w:tcBorders>
              <w:top w:val="nil"/>
              <w:left w:val="nil"/>
              <w:bottom w:val="single" w:sz="8" w:space="0" w:color="auto"/>
              <w:right w:val="single" w:sz="8" w:space="0" w:color="auto"/>
            </w:tcBorders>
            <w:noWrap/>
            <w:vAlign w:val="center"/>
            <w:hideMark/>
          </w:tcPr>
          <w:p w14:paraId="21352F9D"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$67,236 </w:t>
            </w:r>
          </w:p>
        </w:tc>
        <w:tc>
          <w:tcPr>
            <w:tcW w:w="333" w:type="pct"/>
            <w:tcBorders>
              <w:top w:val="nil"/>
              <w:left w:val="nil"/>
              <w:bottom w:val="single" w:sz="8" w:space="0" w:color="auto"/>
              <w:right w:val="single" w:sz="8" w:space="0" w:color="auto"/>
            </w:tcBorders>
            <w:noWrap/>
            <w:vAlign w:val="center"/>
            <w:hideMark/>
          </w:tcPr>
          <w:p w14:paraId="10705F9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$30,416 </w:t>
            </w:r>
          </w:p>
        </w:tc>
        <w:tc>
          <w:tcPr>
            <w:tcW w:w="334" w:type="pct"/>
            <w:tcBorders>
              <w:top w:val="nil"/>
              <w:left w:val="nil"/>
              <w:bottom w:val="single" w:sz="8" w:space="0" w:color="auto"/>
              <w:right w:val="single" w:sz="8" w:space="0" w:color="auto"/>
            </w:tcBorders>
            <w:noWrap/>
            <w:vAlign w:val="center"/>
            <w:hideMark/>
          </w:tcPr>
          <w:p w14:paraId="420F2D18"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$8,004 </w:t>
            </w:r>
          </w:p>
        </w:tc>
        <w:tc>
          <w:tcPr>
            <w:tcW w:w="276" w:type="pct"/>
            <w:tcBorders>
              <w:top w:val="nil"/>
              <w:left w:val="nil"/>
              <w:bottom w:val="single" w:sz="8" w:space="0" w:color="auto"/>
              <w:right w:val="single" w:sz="8" w:space="0" w:color="auto"/>
            </w:tcBorders>
            <w:vAlign w:val="center"/>
            <w:hideMark/>
          </w:tcPr>
          <w:p w14:paraId="5B41CF6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$4,803 </w:t>
            </w:r>
          </w:p>
        </w:tc>
        <w:tc>
          <w:tcPr>
            <w:tcW w:w="391" w:type="pct"/>
            <w:gridSpan w:val="2"/>
            <w:tcBorders>
              <w:top w:val="nil"/>
              <w:left w:val="nil"/>
              <w:bottom w:val="single" w:sz="8" w:space="0" w:color="auto"/>
              <w:right w:val="single" w:sz="8" w:space="0" w:color="auto"/>
            </w:tcBorders>
            <w:noWrap/>
            <w:vAlign w:val="center"/>
            <w:hideMark/>
          </w:tcPr>
          <w:p w14:paraId="06BD9807"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$160,086 </w:t>
            </w:r>
          </w:p>
        </w:tc>
        <w:tc>
          <w:tcPr>
            <w:tcW w:w="181" w:type="pct"/>
            <w:tcBorders>
              <w:top w:val="nil"/>
              <w:left w:val="nil"/>
              <w:bottom w:val="single" w:sz="8" w:space="0" w:color="auto"/>
              <w:right w:val="single" w:sz="8" w:space="0" w:color="auto"/>
            </w:tcBorders>
            <w:noWrap/>
            <w:vAlign w:val="center"/>
            <w:hideMark/>
          </w:tcPr>
          <w:p w14:paraId="327E0B93"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6</w:t>
            </w:r>
          </w:p>
        </w:tc>
      </w:tr>
      <w:tr w:rsidR="00170617" w:rsidRPr="002926D7" w14:paraId="673CBB79" w14:textId="77777777" w:rsidTr="00170617">
        <w:trPr>
          <w:trHeight w:val="288"/>
          <w:jc w:val="center"/>
        </w:trPr>
        <w:tc>
          <w:tcPr>
            <w:tcW w:w="423" w:type="pct"/>
            <w:vMerge/>
            <w:tcBorders>
              <w:left w:val="single" w:sz="8" w:space="0" w:color="auto"/>
              <w:right w:val="single" w:sz="8" w:space="0" w:color="auto"/>
            </w:tcBorders>
            <w:vAlign w:val="center"/>
          </w:tcPr>
          <w:p w14:paraId="0D5CEF44" w14:textId="5FAD8593"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4153C09F" w14:textId="053A6F03"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45116116"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46C67437"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4665390C" w14:textId="77777777" w:rsidR="001506D3" w:rsidRPr="002926D7" w:rsidRDefault="001506D3"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44A5DBF" w14:textId="77777777" w:rsidR="001506D3" w:rsidRPr="002926D7" w:rsidRDefault="001506D3"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23FB40CE"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61300</w:t>
            </w:r>
          </w:p>
        </w:tc>
        <w:tc>
          <w:tcPr>
            <w:tcW w:w="334" w:type="pct"/>
            <w:tcBorders>
              <w:top w:val="nil"/>
              <w:left w:val="nil"/>
              <w:bottom w:val="single" w:sz="8" w:space="0" w:color="auto"/>
              <w:right w:val="single" w:sz="8" w:space="0" w:color="auto"/>
            </w:tcBorders>
            <w:vAlign w:val="center"/>
            <w:hideMark/>
          </w:tcPr>
          <w:p w14:paraId="78F1DF32" w14:textId="77777777" w:rsidR="001506D3" w:rsidRPr="002926D7" w:rsidRDefault="001506D3"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 xml:space="preserve"> Salary &amp; Post Adj Cst-IP Staff</w:t>
            </w:r>
          </w:p>
        </w:tc>
        <w:tc>
          <w:tcPr>
            <w:tcW w:w="363" w:type="pct"/>
            <w:tcBorders>
              <w:top w:val="nil"/>
              <w:left w:val="nil"/>
              <w:bottom w:val="single" w:sz="8" w:space="0" w:color="auto"/>
              <w:right w:val="single" w:sz="8" w:space="0" w:color="auto"/>
            </w:tcBorders>
            <w:noWrap/>
            <w:vAlign w:val="center"/>
            <w:hideMark/>
          </w:tcPr>
          <w:p w14:paraId="720C827D"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$32,792 </w:t>
            </w:r>
          </w:p>
        </w:tc>
        <w:tc>
          <w:tcPr>
            <w:tcW w:w="364" w:type="pct"/>
            <w:tcBorders>
              <w:top w:val="nil"/>
              <w:left w:val="nil"/>
              <w:bottom w:val="single" w:sz="8" w:space="0" w:color="auto"/>
              <w:right w:val="single" w:sz="8" w:space="0" w:color="auto"/>
            </w:tcBorders>
            <w:noWrap/>
            <w:vAlign w:val="center"/>
            <w:hideMark/>
          </w:tcPr>
          <w:p w14:paraId="64F6E307"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$44,428 </w:t>
            </w:r>
          </w:p>
        </w:tc>
        <w:tc>
          <w:tcPr>
            <w:tcW w:w="333" w:type="pct"/>
            <w:tcBorders>
              <w:top w:val="nil"/>
              <w:left w:val="nil"/>
              <w:bottom w:val="single" w:sz="8" w:space="0" w:color="auto"/>
              <w:right w:val="single" w:sz="8" w:space="0" w:color="auto"/>
            </w:tcBorders>
            <w:noWrap/>
            <w:vAlign w:val="center"/>
            <w:hideMark/>
          </w:tcPr>
          <w:p w14:paraId="6E7079DA"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$20,098 </w:t>
            </w:r>
          </w:p>
        </w:tc>
        <w:tc>
          <w:tcPr>
            <w:tcW w:w="334" w:type="pct"/>
            <w:tcBorders>
              <w:top w:val="nil"/>
              <w:left w:val="nil"/>
              <w:bottom w:val="single" w:sz="8" w:space="0" w:color="auto"/>
              <w:right w:val="single" w:sz="8" w:space="0" w:color="auto"/>
            </w:tcBorders>
            <w:noWrap/>
            <w:vAlign w:val="center"/>
            <w:hideMark/>
          </w:tcPr>
          <w:p w14:paraId="6BFF9921"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$5,289 </w:t>
            </w:r>
          </w:p>
        </w:tc>
        <w:tc>
          <w:tcPr>
            <w:tcW w:w="276" w:type="pct"/>
            <w:tcBorders>
              <w:top w:val="nil"/>
              <w:left w:val="nil"/>
              <w:bottom w:val="single" w:sz="8" w:space="0" w:color="auto"/>
              <w:right w:val="single" w:sz="8" w:space="0" w:color="auto"/>
            </w:tcBorders>
            <w:vAlign w:val="center"/>
            <w:hideMark/>
          </w:tcPr>
          <w:p w14:paraId="47A2676C"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$3,173 </w:t>
            </w:r>
          </w:p>
        </w:tc>
        <w:tc>
          <w:tcPr>
            <w:tcW w:w="391" w:type="pct"/>
            <w:gridSpan w:val="2"/>
            <w:tcBorders>
              <w:top w:val="nil"/>
              <w:left w:val="nil"/>
              <w:bottom w:val="single" w:sz="8" w:space="0" w:color="auto"/>
              <w:right w:val="single" w:sz="8" w:space="0" w:color="auto"/>
            </w:tcBorders>
            <w:noWrap/>
            <w:vAlign w:val="center"/>
            <w:hideMark/>
          </w:tcPr>
          <w:p w14:paraId="3C666B62" w14:textId="77777777" w:rsidR="001506D3" w:rsidRPr="002926D7" w:rsidRDefault="001506D3" w:rsidP="002926D7">
            <w:pPr>
              <w:contextualSpacing/>
              <w:rPr>
                <w:rFonts w:eastAsia="Times New Roman" w:cs="Calibri"/>
                <w:color w:val="000000"/>
                <w:sz w:val="14"/>
                <w:szCs w:val="14"/>
              </w:rPr>
            </w:pPr>
            <w:r w:rsidRPr="002926D7">
              <w:rPr>
                <w:rFonts w:eastAsia="Times New Roman" w:cs="Calibri"/>
                <w:color w:val="000000"/>
                <w:sz w:val="14"/>
                <w:szCs w:val="14"/>
              </w:rPr>
              <w:t xml:space="preserve">$105,780 </w:t>
            </w:r>
          </w:p>
        </w:tc>
        <w:tc>
          <w:tcPr>
            <w:tcW w:w="181" w:type="pct"/>
            <w:tcBorders>
              <w:top w:val="nil"/>
              <w:left w:val="nil"/>
              <w:bottom w:val="single" w:sz="8" w:space="0" w:color="auto"/>
              <w:right w:val="single" w:sz="8" w:space="0" w:color="auto"/>
            </w:tcBorders>
            <w:noWrap/>
            <w:vAlign w:val="center"/>
            <w:hideMark/>
          </w:tcPr>
          <w:p w14:paraId="40325D94"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4</w:t>
            </w:r>
          </w:p>
        </w:tc>
      </w:tr>
      <w:tr w:rsidR="00170617" w:rsidRPr="002926D7" w14:paraId="15E34F84" w14:textId="77777777" w:rsidTr="00170617">
        <w:trPr>
          <w:trHeight w:val="288"/>
          <w:jc w:val="center"/>
        </w:trPr>
        <w:tc>
          <w:tcPr>
            <w:tcW w:w="423" w:type="pct"/>
            <w:vMerge/>
            <w:tcBorders>
              <w:left w:val="single" w:sz="8" w:space="0" w:color="auto"/>
              <w:right w:val="single" w:sz="8" w:space="0" w:color="auto"/>
            </w:tcBorders>
            <w:vAlign w:val="center"/>
          </w:tcPr>
          <w:p w14:paraId="1FF10074" w14:textId="40FAAE13"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7BAB2067" w14:textId="31AFA5D4" w:rsidR="001506D3" w:rsidRPr="002926D7" w:rsidRDefault="001506D3"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6F070D72" w14:textId="77777777" w:rsidR="001506D3" w:rsidRPr="002926D7" w:rsidRDefault="001506D3" w:rsidP="002926D7">
            <w:pPr>
              <w:contextualSpacing/>
              <w:jc w:val="left"/>
              <w:rPr>
                <w:rFonts w:eastAsia="Times New Roman" w:cs="Calibri"/>
                <w:i/>
                <w:iCs/>
                <w:color w:val="000000"/>
                <w:sz w:val="14"/>
                <w:szCs w:val="14"/>
              </w:rPr>
            </w:pPr>
          </w:p>
        </w:tc>
        <w:tc>
          <w:tcPr>
            <w:tcW w:w="1428" w:type="pct"/>
            <w:gridSpan w:val="5"/>
            <w:tcBorders>
              <w:top w:val="single" w:sz="8" w:space="0" w:color="auto"/>
              <w:left w:val="nil"/>
              <w:bottom w:val="single" w:sz="8" w:space="0" w:color="auto"/>
              <w:right w:val="nil"/>
            </w:tcBorders>
            <w:vAlign w:val="center"/>
            <w:hideMark/>
          </w:tcPr>
          <w:p w14:paraId="7C9BBC55" w14:textId="77777777" w:rsidR="001506D3" w:rsidRPr="002926D7" w:rsidRDefault="001506D3" w:rsidP="002926D7">
            <w:pPr>
              <w:ind w:right="-8"/>
              <w:contextualSpacing/>
              <w:rPr>
                <w:rFonts w:eastAsia="Times New Roman" w:cs="Calibri"/>
                <w:b/>
                <w:bCs/>
                <w:i/>
                <w:iCs/>
                <w:color w:val="000000"/>
                <w:sz w:val="14"/>
                <w:szCs w:val="14"/>
              </w:rPr>
            </w:pPr>
            <w:r w:rsidRPr="002926D7">
              <w:rPr>
                <w:rFonts w:eastAsia="Times New Roman" w:cs="Calibri"/>
                <w:b/>
                <w:bCs/>
                <w:i/>
                <w:iCs/>
                <w:color w:val="000000"/>
                <w:sz w:val="14"/>
                <w:szCs w:val="14"/>
              </w:rPr>
              <w:t>Total UNDP</w:t>
            </w:r>
          </w:p>
        </w:tc>
        <w:tc>
          <w:tcPr>
            <w:tcW w:w="363" w:type="pct"/>
            <w:tcBorders>
              <w:top w:val="nil"/>
              <w:left w:val="nil"/>
              <w:bottom w:val="single" w:sz="8" w:space="0" w:color="auto"/>
              <w:right w:val="single" w:sz="8" w:space="0" w:color="auto"/>
            </w:tcBorders>
            <w:noWrap/>
            <w:vAlign w:val="center"/>
            <w:hideMark/>
          </w:tcPr>
          <w:p w14:paraId="7D94F4B3"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$426,385 </w:t>
            </w:r>
          </w:p>
        </w:tc>
        <w:tc>
          <w:tcPr>
            <w:tcW w:w="364" w:type="pct"/>
            <w:tcBorders>
              <w:top w:val="nil"/>
              <w:left w:val="nil"/>
              <w:bottom w:val="single" w:sz="8" w:space="0" w:color="auto"/>
              <w:right w:val="single" w:sz="8" w:space="0" w:color="auto"/>
            </w:tcBorders>
            <w:noWrap/>
            <w:vAlign w:val="center"/>
            <w:hideMark/>
          </w:tcPr>
          <w:p w14:paraId="567C5F8D"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$577,682 </w:t>
            </w:r>
          </w:p>
        </w:tc>
        <w:tc>
          <w:tcPr>
            <w:tcW w:w="333" w:type="pct"/>
            <w:tcBorders>
              <w:top w:val="nil"/>
              <w:left w:val="nil"/>
              <w:bottom w:val="single" w:sz="8" w:space="0" w:color="auto"/>
              <w:right w:val="single" w:sz="8" w:space="0" w:color="auto"/>
            </w:tcBorders>
            <w:noWrap/>
            <w:vAlign w:val="center"/>
            <w:hideMark/>
          </w:tcPr>
          <w:p w14:paraId="7C6A8D0B"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$261,331 </w:t>
            </w:r>
          </w:p>
        </w:tc>
        <w:tc>
          <w:tcPr>
            <w:tcW w:w="334" w:type="pct"/>
            <w:tcBorders>
              <w:top w:val="nil"/>
              <w:left w:val="nil"/>
              <w:bottom w:val="single" w:sz="8" w:space="0" w:color="auto"/>
              <w:right w:val="single" w:sz="8" w:space="0" w:color="auto"/>
            </w:tcBorders>
            <w:noWrap/>
            <w:vAlign w:val="center"/>
            <w:hideMark/>
          </w:tcPr>
          <w:p w14:paraId="1EB1E39F"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$68,773 </w:t>
            </w:r>
          </w:p>
        </w:tc>
        <w:tc>
          <w:tcPr>
            <w:tcW w:w="276" w:type="pct"/>
            <w:tcBorders>
              <w:top w:val="nil"/>
              <w:left w:val="nil"/>
              <w:bottom w:val="single" w:sz="8" w:space="0" w:color="auto"/>
              <w:right w:val="single" w:sz="8" w:space="0" w:color="auto"/>
            </w:tcBorders>
            <w:noWrap/>
            <w:vAlign w:val="center"/>
            <w:hideMark/>
          </w:tcPr>
          <w:p w14:paraId="297611B8"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$41,263 </w:t>
            </w:r>
          </w:p>
        </w:tc>
        <w:tc>
          <w:tcPr>
            <w:tcW w:w="391" w:type="pct"/>
            <w:gridSpan w:val="2"/>
            <w:tcBorders>
              <w:top w:val="nil"/>
              <w:left w:val="nil"/>
              <w:bottom w:val="single" w:sz="8" w:space="0" w:color="auto"/>
              <w:right w:val="single" w:sz="8" w:space="0" w:color="auto"/>
            </w:tcBorders>
            <w:noWrap/>
            <w:vAlign w:val="center"/>
            <w:hideMark/>
          </w:tcPr>
          <w:p w14:paraId="31929A35"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$1,375,434 </w:t>
            </w:r>
          </w:p>
        </w:tc>
        <w:tc>
          <w:tcPr>
            <w:tcW w:w="181" w:type="pct"/>
            <w:tcBorders>
              <w:top w:val="nil"/>
              <w:left w:val="nil"/>
              <w:bottom w:val="single" w:sz="8" w:space="0" w:color="auto"/>
              <w:right w:val="single" w:sz="8" w:space="0" w:color="auto"/>
            </w:tcBorders>
            <w:noWrap/>
            <w:vAlign w:val="center"/>
            <w:hideMark/>
          </w:tcPr>
          <w:p w14:paraId="6032BF57"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1F250738" w14:textId="77777777" w:rsidTr="00170617">
        <w:trPr>
          <w:trHeight w:val="288"/>
          <w:jc w:val="center"/>
        </w:trPr>
        <w:tc>
          <w:tcPr>
            <w:tcW w:w="423" w:type="pct"/>
            <w:vMerge/>
            <w:tcBorders>
              <w:left w:val="single" w:sz="8" w:space="0" w:color="auto"/>
              <w:right w:val="single" w:sz="8" w:space="0" w:color="auto"/>
            </w:tcBorders>
            <w:vAlign w:val="center"/>
          </w:tcPr>
          <w:p w14:paraId="4C6E2570" w14:textId="782AFC16" w:rsidR="001506D3" w:rsidRPr="002926D7" w:rsidRDefault="001506D3" w:rsidP="002926D7">
            <w:pPr>
              <w:contextualSpacing/>
              <w:jc w:val="left"/>
              <w:rPr>
                <w:rFonts w:eastAsia="Times New Roman" w:cs="Calibri"/>
                <w:i/>
                <w:iCs/>
                <w:color w:val="000000"/>
                <w:sz w:val="14"/>
                <w:szCs w:val="14"/>
              </w:rPr>
            </w:pPr>
          </w:p>
        </w:tc>
        <w:tc>
          <w:tcPr>
            <w:tcW w:w="454" w:type="pct"/>
            <w:vMerge/>
            <w:tcBorders>
              <w:left w:val="nil"/>
              <w:bottom w:val="nil"/>
              <w:right w:val="single" w:sz="8" w:space="0" w:color="auto"/>
            </w:tcBorders>
            <w:vAlign w:val="center"/>
            <w:hideMark/>
          </w:tcPr>
          <w:p w14:paraId="389F1327" w14:textId="0E5513B1" w:rsidR="001506D3" w:rsidRPr="002926D7" w:rsidRDefault="001506D3" w:rsidP="002926D7">
            <w:pPr>
              <w:contextualSpacing/>
              <w:jc w:val="left"/>
              <w:rPr>
                <w:rFonts w:eastAsia="Times New Roman" w:cs="Calibri"/>
                <w:i/>
                <w:iCs/>
                <w:color w:val="000000"/>
                <w:sz w:val="14"/>
                <w:szCs w:val="14"/>
              </w:rPr>
            </w:pPr>
          </w:p>
        </w:tc>
        <w:tc>
          <w:tcPr>
            <w:tcW w:w="1881" w:type="pct"/>
            <w:gridSpan w:val="6"/>
            <w:tcBorders>
              <w:top w:val="single" w:sz="8" w:space="0" w:color="auto"/>
              <w:left w:val="nil"/>
              <w:bottom w:val="single" w:sz="8" w:space="0" w:color="auto"/>
              <w:right w:val="nil"/>
            </w:tcBorders>
            <w:vAlign w:val="center"/>
            <w:hideMark/>
          </w:tcPr>
          <w:p w14:paraId="49AE945C" w14:textId="77777777" w:rsidR="001506D3" w:rsidRPr="002926D7" w:rsidRDefault="001506D3" w:rsidP="002926D7">
            <w:pPr>
              <w:ind w:right="-8"/>
              <w:contextualSpacing/>
              <w:rPr>
                <w:rFonts w:eastAsia="Times New Roman" w:cs="Calibri"/>
                <w:i/>
                <w:iCs/>
                <w:color w:val="000000"/>
                <w:sz w:val="14"/>
                <w:szCs w:val="14"/>
              </w:rPr>
            </w:pPr>
            <w:r w:rsidRPr="002926D7">
              <w:rPr>
                <w:rFonts w:eastAsia="Times New Roman" w:cs="Calibri"/>
                <w:i/>
                <w:iCs/>
                <w:color w:val="000000"/>
                <w:sz w:val="14"/>
                <w:szCs w:val="14"/>
              </w:rPr>
              <w:t>Total Output 4.1.3</w:t>
            </w:r>
          </w:p>
        </w:tc>
        <w:tc>
          <w:tcPr>
            <w:tcW w:w="363" w:type="pct"/>
            <w:tcBorders>
              <w:top w:val="nil"/>
              <w:left w:val="nil"/>
              <w:bottom w:val="single" w:sz="8" w:space="0" w:color="auto"/>
              <w:right w:val="single" w:sz="8" w:space="0" w:color="auto"/>
            </w:tcBorders>
            <w:noWrap/>
            <w:vAlign w:val="center"/>
            <w:hideMark/>
          </w:tcPr>
          <w:p w14:paraId="497E7B6B"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$426,385 </w:t>
            </w:r>
          </w:p>
        </w:tc>
        <w:tc>
          <w:tcPr>
            <w:tcW w:w="364" w:type="pct"/>
            <w:tcBorders>
              <w:top w:val="nil"/>
              <w:left w:val="nil"/>
              <w:bottom w:val="single" w:sz="8" w:space="0" w:color="auto"/>
              <w:right w:val="single" w:sz="8" w:space="0" w:color="auto"/>
            </w:tcBorders>
            <w:noWrap/>
            <w:vAlign w:val="center"/>
            <w:hideMark/>
          </w:tcPr>
          <w:p w14:paraId="1451843A"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$577,682 </w:t>
            </w:r>
          </w:p>
        </w:tc>
        <w:tc>
          <w:tcPr>
            <w:tcW w:w="333" w:type="pct"/>
            <w:tcBorders>
              <w:top w:val="nil"/>
              <w:left w:val="nil"/>
              <w:bottom w:val="single" w:sz="8" w:space="0" w:color="auto"/>
              <w:right w:val="single" w:sz="8" w:space="0" w:color="auto"/>
            </w:tcBorders>
            <w:noWrap/>
            <w:vAlign w:val="center"/>
            <w:hideMark/>
          </w:tcPr>
          <w:p w14:paraId="164A5C12"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$261,331 </w:t>
            </w:r>
          </w:p>
        </w:tc>
        <w:tc>
          <w:tcPr>
            <w:tcW w:w="334" w:type="pct"/>
            <w:tcBorders>
              <w:top w:val="nil"/>
              <w:left w:val="nil"/>
              <w:bottom w:val="single" w:sz="8" w:space="0" w:color="auto"/>
              <w:right w:val="single" w:sz="8" w:space="0" w:color="auto"/>
            </w:tcBorders>
            <w:noWrap/>
            <w:vAlign w:val="center"/>
            <w:hideMark/>
          </w:tcPr>
          <w:p w14:paraId="3DBADE74"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$68,773 </w:t>
            </w:r>
          </w:p>
        </w:tc>
        <w:tc>
          <w:tcPr>
            <w:tcW w:w="276" w:type="pct"/>
            <w:tcBorders>
              <w:top w:val="nil"/>
              <w:left w:val="nil"/>
              <w:bottom w:val="single" w:sz="8" w:space="0" w:color="auto"/>
              <w:right w:val="single" w:sz="8" w:space="0" w:color="auto"/>
            </w:tcBorders>
            <w:noWrap/>
            <w:vAlign w:val="center"/>
            <w:hideMark/>
          </w:tcPr>
          <w:p w14:paraId="44F4DFA8"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$41,263 </w:t>
            </w:r>
          </w:p>
        </w:tc>
        <w:tc>
          <w:tcPr>
            <w:tcW w:w="391" w:type="pct"/>
            <w:gridSpan w:val="2"/>
            <w:tcBorders>
              <w:top w:val="nil"/>
              <w:left w:val="nil"/>
              <w:bottom w:val="single" w:sz="8" w:space="0" w:color="auto"/>
              <w:right w:val="single" w:sz="8" w:space="0" w:color="auto"/>
            </w:tcBorders>
            <w:noWrap/>
            <w:vAlign w:val="center"/>
            <w:hideMark/>
          </w:tcPr>
          <w:p w14:paraId="01350FDE"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$1,375,434 </w:t>
            </w:r>
          </w:p>
        </w:tc>
        <w:tc>
          <w:tcPr>
            <w:tcW w:w="181" w:type="pct"/>
            <w:tcBorders>
              <w:top w:val="nil"/>
              <w:left w:val="nil"/>
              <w:bottom w:val="single" w:sz="8" w:space="0" w:color="auto"/>
              <w:right w:val="single" w:sz="8" w:space="0" w:color="auto"/>
            </w:tcBorders>
            <w:noWrap/>
            <w:vAlign w:val="center"/>
            <w:hideMark/>
          </w:tcPr>
          <w:p w14:paraId="6BAE7756"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34F86387" w14:textId="77777777" w:rsidTr="00170617">
        <w:trPr>
          <w:trHeight w:val="288"/>
          <w:jc w:val="center"/>
        </w:trPr>
        <w:tc>
          <w:tcPr>
            <w:tcW w:w="423" w:type="pct"/>
            <w:vMerge/>
            <w:tcBorders>
              <w:left w:val="single" w:sz="8" w:space="0" w:color="auto"/>
              <w:bottom w:val="nil"/>
              <w:right w:val="single" w:sz="8" w:space="0" w:color="auto"/>
            </w:tcBorders>
            <w:vAlign w:val="center"/>
            <w:hideMark/>
          </w:tcPr>
          <w:p w14:paraId="6A92C0CA" w14:textId="0ECEB56B" w:rsidR="001506D3" w:rsidRPr="002926D7" w:rsidRDefault="001506D3" w:rsidP="002926D7">
            <w:pPr>
              <w:contextualSpacing/>
              <w:jc w:val="left"/>
              <w:rPr>
                <w:rFonts w:eastAsia="Times New Roman" w:cs="Calibri"/>
                <w:i/>
                <w:iCs/>
                <w:color w:val="000000"/>
                <w:sz w:val="14"/>
                <w:szCs w:val="14"/>
              </w:rPr>
            </w:pPr>
          </w:p>
        </w:tc>
        <w:tc>
          <w:tcPr>
            <w:tcW w:w="2335" w:type="pct"/>
            <w:gridSpan w:val="7"/>
            <w:tcBorders>
              <w:top w:val="single" w:sz="8" w:space="0" w:color="auto"/>
              <w:left w:val="nil"/>
              <w:bottom w:val="single" w:sz="8" w:space="0" w:color="auto"/>
              <w:right w:val="nil"/>
            </w:tcBorders>
            <w:vAlign w:val="center"/>
            <w:hideMark/>
          </w:tcPr>
          <w:p w14:paraId="1AFAF03C" w14:textId="77777777" w:rsidR="001506D3" w:rsidRPr="002926D7" w:rsidRDefault="001506D3" w:rsidP="002926D7">
            <w:pPr>
              <w:ind w:right="-8"/>
              <w:contextualSpacing/>
              <w:jc w:val="left"/>
              <w:rPr>
                <w:rFonts w:eastAsia="Times New Roman" w:cs="Calibri"/>
                <w:i/>
                <w:iCs/>
                <w:color w:val="000000"/>
                <w:sz w:val="14"/>
                <w:szCs w:val="14"/>
              </w:rPr>
            </w:pPr>
            <w:r w:rsidRPr="002926D7">
              <w:rPr>
                <w:rFonts w:eastAsia="Times New Roman" w:cs="Calibri"/>
                <w:i/>
                <w:iCs/>
                <w:color w:val="000000"/>
                <w:sz w:val="14"/>
                <w:szCs w:val="14"/>
              </w:rPr>
              <w:t>Total Outcome 4.1.</w:t>
            </w:r>
          </w:p>
        </w:tc>
        <w:tc>
          <w:tcPr>
            <w:tcW w:w="363" w:type="pct"/>
            <w:tcBorders>
              <w:top w:val="nil"/>
              <w:left w:val="nil"/>
              <w:bottom w:val="single" w:sz="8" w:space="0" w:color="auto"/>
              <w:right w:val="single" w:sz="8" w:space="0" w:color="auto"/>
            </w:tcBorders>
            <w:noWrap/>
            <w:vAlign w:val="center"/>
            <w:hideMark/>
          </w:tcPr>
          <w:p w14:paraId="27DEE206" w14:textId="77777777" w:rsidR="001506D3" w:rsidRPr="002926D7" w:rsidRDefault="001506D3" w:rsidP="002926D7">
            <w:pPr>
              <w:ind w:left="-75"/>
              <w:contextualSpacing/>
              <w:rPr>
                <w:rFonts w:eastAsia="Times New Roman" w:cs="Calibri"/>
                <w:b/>
                <w:bCs/>
                <w:color w:val="000000"/>
                <w:sz w:val="14"/>
                <w:szCs w:val="14"/>
              </w:rPr>
            </w:pPr>
            <w:r w:rsidRPr="002926D7">
              <w:rPr>
                <w:rFonts w:eastAsia="Times New Roman" w:cs="Calibri"/>
                <w:b/>
                <w:bCs/>
                <w:color w:val="000000"/>
                <w:sz w:val="14"/>
                <w:szCs w:val="14"/>
              </w:rPr>
              <w:t xml:space="preserve">$1,279,155 </w:t>
            </w:r>
          </w:p>
        </w:tc>
        <w:tc>
          <w:tcPr>
            <w:tcW w:w="364" w:type="pct"/>
            <w:tcBorders>
              <w:top w:val="nil"/>
              <w:left w:val="nil"/>
              <w:bottom w:val="single" w:sz="8" w:space="0" w:color="auto"/>
              <w:right w:val="single" w:sz="8" w:space="0" w:color="auto"/>
            </w:tcBorders>
            <w:noWrap/>
            <w:vAlign w:val="center"/>
            <w:hideMark/>
          </w:tcPr>
          <w:p w14:paraId="2C91CACF"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$1,733,046 </w:t>
            </w:r>
          </w:p>
        </w:tc>
        <w:tc>
          <w:tcPr>
            <w:tcW w:w="333" w:type="pct"/>
            <w:tcBorders>
              <w:top w:val="nil"/>
              <w:left w:val="nil"/>
              <w:bottom w:val="single" w:sz="8" w:space="0" w:color="auto"/>
              <w:right w:val="single" w:sz="8" w:space="0" w:color="auto"/>
            </w:tcBorders>
            <w:noWrap/>
            <w:vAlign w:val="center"/>
            <w:hideMark/>
          </w:tcPr>
          <w:p w14:paraId="701E3DBD"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$783,993 </w:t>
            </w:r>
          </w:p>
        </w:tc>
        <w:tc>
          <w:tcPr>
            <w:tcW w:w="334" w:type="pct"/>
            <w:tcBorders>
              <w:top w:val="nil"/>
              <w:left w:val="nil"/>
              <w:bottom w:val="single" w:sz="8" w:space="0" w:color="auto"/>
              <w:right w:val="single" w:sz="8" w:space="0" w:color="auto"/>
            </w:tcBorders>
            <w:noWrap/>
            <w:vAlign w:val="center"/>
            <w:hideMark/>
          </w:tcPr>
          <w:p w14:paraId="533373FF"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$206,319 </w:t>
            </w:r>
          </w:p>
        </w:tc>
        <w:tc>
          <w:tcPr>
            <w:tcW w:w="279" w:type="pct"/>
            <w:gridSpan w:val="2"/>
            <w:tcBorders>
              <w:top w:val="nil"/>
              <w:left w:val="nil"/>
              <w:bottom w:val="single" w:sz="8" w:space="0" w:color="auto"/>
              <w:right w:val="single" w:sz="8" w:space="0" w:color="auto"/>
            </w:tcBorders>
            <w:noWrap/>
            <w:vAlign w:val="center"/>
            <w:hideMark/>
          </w:tcPr>
          <w:p w14:paraId="77F5CCAF"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$123,789 </w:t>
            </w:r>
          </w:p>
        </w:tc>
        <w:tc>
          <w:tcPr>
            <w:tcW w:w="388" w:type="pct"/>
            <w:tcBorders>
              <w:top w:val="nil"/>
              <w:left w:val="nil"/>
              <w:bottom w:val="single" w:sz="8" w:space="0" w:color="auto"/>
              <w:right w:val="single" w:sz="8" w:space="0" w:color="auto"/>
            </w:tcBorders>
            <w:noWrap/>
            <w:vAlign w:val="center"/>
            <w:hideMark/>
          </w:tcPr>
          <w:p w14:paraId="2BBA479E" w14:textId="77777777" w:rsidR="001506D3" w:rsidRPr="002926D7" w:rsidRDefault="001506D3"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$4,126,302 </w:t>
            </w:r>
          </w:p>
        </w:tc>
        <w:tc>
          <w:tcPr>
            <w:tcW w:w="181" w:type="pct"/>
            <w:tcBorders>
              <w:top w:val="nil"/>
              <w:left w:val="nil"/>
              <w:bottom w:val="single" w:sz="8" w:space="0" w:color="auto"/>
              <w:right w:val="single" w:sz="8" w:space="0" w:color="auto"/>
            </w:tcBorders>
            <w:noWrap/>
            <w:vAlign w:val="center"/>
            <w:hideMark/>
          </w:tcPr>
          <w:p w14:paraId="245A3D8F" w14:textId="77777777" w:rsidR="001506D3" w:rsidRPr="002926D7" w:rsidRDefault="001506D3" w:rsidP="002926D7">
            <w:pPr>
              <w:contextualSpacing/>
              <w:jc w:val="center"/>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72C4BBD2" w14:textId="77777777" w:rsidTr="00170617">
        <w:trPr>
          <w:trHeight w:val="288"/>
          <w:jc w:val="center"/>
        </w:trPr>
        <w:tc>
          <w:tcPr>
            <w:tcW w:w="423" w:type="pct"/>
            <w:vMerge w:val="restart"/>
            <w:tcBorders>
              <w:top w:val="single" w:sz="8" w:space="0" w:color="auto"/>
              <w:left w:val="single" w:sz="8" w:space="0" w:color="auto"/>
              <w:right w:val="single" w:sz="8" w:space="0" w:color="auto"/>
            </w:tcBorders>
            <w:vAlign w:val="center"/>
          </w:tcPr>
          <w:p w14:paraId="380EFDF2" w14:textId="390C3C9B" w:rsidR="00A25129" w:rsidRPr="002926D7" w:rsidRDefault="00A25129"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Project Management Cost (PMC)</w:t>
            </w:r>
          </w:p>
        </w:tc>
        <w:tc>
          <w:tcPr>
            <w:tcW w:w="454" w:type="pct"/>
            <w:vMerge w:val="restart"/>
            <w:tcBorders>
              <w:top w:val="nil"/>
              <w:left w:val="nil"/>
              <w:right w:val="single" w:sz="8" w:space="0" w:color="auto"/>
            </w:tcBorders>
            <w:vAlign w:val="center"/>
          </w:tcPr>
          <w:p w14:paraId="323106D4" w14:textId="73F7D3E4" w:rsidR="00A25129" w:rsidRPr="002926D7" w:rsidRDefault="00A25129"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PMC</w:t>
            </w:r>
          </w:p>
        </w:tc>
        <w:tc>
          <w:tcPr>
            <w:tcW w:w="454" w:type="pct"/>
            <w:vMerge w:val="restart"/>
            <w:tcBorders>
              <w:top w:val="nil"/>
              <w:left w:val="single" w:sz="8" w:space="0" w:color="auto"/>
              <w:bottom w:val="single" w:sz="8" w:space="0" w:color="000000"/>
              <w:right w:val="single" w:sz="8" w:space="0" w:color="auto"/>
            </w:tcBorders>
            <w:vAlign w:val="center"/>
            <w:hideMark/>
          </w:tcPr>
          <w:p w14:paraId="1DDFCBA9" w14:textId="77777777" w:rsidR="00A25129" w:rsidRPr="002926D7" w:rsidRDefault="00A25129"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PMC</w:t>
            </w:r>
          </w:p>
        </w:tc>
        <w:tc>
          <w:tcPr>
            <w:tcW w:w="273" w:type="pct"/>
            <w:vMerge w:val="restart"/>
            <w:tcBorders>
              <w:top w:val="nil"/>
              <w:left w:val="single" w:sz="8" w:space="0" w:color="auto"/>
              <w:bottom w:val="single" w:sz="8" w:space="0" w:color="000000"/>
              <w:right w:val="single" w:sz="8" w:space="0" w:color="auto"/>
            </w:tcBorders>
            <w:vAlign w:val="center"/>
            <w:hideMark/>
          </w:tcPr>
          <w:p w14:paraId="2D94C14D" w14:textId="77777777" w:rsidR="00A25129" w:rsidRPr="002926D7" w:rsidRDefault="00A25129" w:rsidP="002926D7">
            <w:pPr>
              <w:contextualSpacing/>
              <w:jc w:val="left"/>
              <w:rPr>
                <w:rFonts w:eastAsia="Times New Roman" w:cs="Calibri"/>
                <w:i/>
                <w:iCs/>
                <w:color w:val="000000"/>
                <w:sz w:val="14"/>
                <w:szCs w:val="14"/>
              </w:rPr>
            </w:pPr>
            <w:r w:rsidRPr="002926D7">
              <w:rPr>
                <w:rFonts w:eastAsia="Times New Roman" w:cs="Calibri"/>
                <w:i/>
                <w:iCs/>
                <w:color w:val="000000"/>
                <w:sz w:val="14"/>
                <w:szCs w:val="14"/>
              </w:rPr>
              <w:t>UNDP</w:t>
            </w:r>
          </w:p>
        </w:tc>
        <w:tc>
          <w:tcPr>
            <w:tcW w:w="273" w:type="pct"/>
            <w:vMerge w:val="restart"/>
            <w:tcBorders>
              <w:top w:val="nil"/>
              <w:left w:val="single" w:sz="8" w:space="0" w:color="auto"/>
              <w:bottom w:val="single" w:sz="8" w:space="0" w:color="000000"/>
              <w:right w:val="single" w:sz="8" w:space="0" w:color="auto"/>
            </w:tcBorders>
            <w:vAlign w:val="center"/>
            <w:hideMark/>
          </w:tcPr>
          <w:p w14:paraId="3EC87593"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62000</w:t>
            </w:r>
          </w:p>
        </w:tc>
        <w:tc>
          <w:tcPr>
            <w:tcW w:w="273" w:type="pct"/>
            <w:vMerge w:val="restart"/>
            <w:tcBorders>
              <w:top w:val="nil"/>
              <w:left w:val="single" w:sz="8" w:space="0" w:color="auto"/>
              <w:bottom w:val="single" w:sz="8" w:space="0" w:color="000000"/>
              <w:right w:val="single" w:sz="8" w:space="0" w:color="auto"/>
            </w:tcBorders>
            <w:vAlign w:val="center"/>
            <w:hideMark/>
          </w:tcPr>
          <w:p w14:paraId="2B5350A3" w14:textId="77777777" w:rsidR="00A25129" w:rsidRPr="002926D7" w:rsidRDefault="00A25129" w:rsidP="002926D7">
            <w:pPr>
              <w:ind w:right="-8"/>
              <w:contextualSpacing/>
              <w:jc w:val="center"/>
              <w:rPr>
                <w:rFonts w:eastAsia="Times New Roman" w:cs="Calibri"/>
                <w:i/>
                <w:iCs/>
                <w:color w:val="000000"/>
                <w:sz w:val="14"/>
                <w:szCs w:val="14"/>
              </w:rPr>
            </w:pPr>
            <w:r w:rsidRPr="002926D7">
              <w:rPr>
                <w:rFonts w:eastAsia="Times New Roman" w:cs="Calibri"/>
                <w:i/>
                <w:iCs/>
                <w:color w:val="000000"/>
                <w:sz w:val="14"/>
                <w:szCs w:val="14"/>
              </w:rPr>
              <w:t>10003</w:t>
            </w:r>
          </w:p>
        </w:tc>
        <w:tc>
          <w:tcPr>
            <w:tcW w:w="275" w:type="pct"/>
            <w:tcBorders>
              <w:top w:val="nil"/>
              <w:left w:val="nil"/>
              <w:bottom w:val="single" w:sz="8" w:space="0" w:color="auto"/>
              <w:right w:val="single" w:sz="8" w:space="0" w:color="auto"/>
            </w:tcBorders>
            <w:vAlign w:val="center"/>
            <w:hideMark/>
          </w:tcPr>
          <w:p w14:paraId="36493496"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71400</w:t>
            </w:r>
          </w:p>
        </w:tc>
        <w:tc>
          <w:tcPr>
            <w:tcW w:w="334" w:type="pct"/>
            <w:tcBorders>
              <w:top w:val="nil"/>
              <w:left w:val="nil"/>
              <w:bottom w:val="single" w:sz="8" w:space="0" w:color="auto"/>
              <w:right w:val="single" w:sz="8" w:space="0" w:color="auto"/>
            </w:tcBorders>
            <w:vAlign w:val="center"/>
            <w:hideMark/>
          </w:tcPr>
          <w:p w14:paraId="31734140"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Contractual Services - Individ</w:t>
            </w:r>
          </w:p>
        </w:tc>
        <w:tc>
          <w:tcPr>
            <w:tcW w:w="363" w:type="pct"/>
            <w:tcBorders>
              <w:top w:val="nil"/>
              <w:left w:val="nil"/>
              <w:bottom w:val="single" w:sz="8" w:space="0" w:color="auto"/>
              <w:right w:val="single" w:sz="8" w:space="0" w:color="auto"/>
            </w:tcBorders>
            <w:noWrap/>
            <w:vAlign w:val="center"/>
            <w:hideMark/>
          </w:tcPr>
          <w:p w14:paraId="2D9AF72A"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$1,607,740 </w:t>
            </w:r>
          </w:p>
        </w:tc>
        <w:tc>
          <w:tcPr>
            <w:tcW w:w="364" w:type="pct"/>
            <w:tcBorders>
              <w:top w:val="nil"/>
              <w:left w:val="nil"/>
              <w:bottom w:val="single" w:sz="8" w:space="0" w:color="auto"/>
              <w:right w:val="single" w:sz="8" w:space="0" w:color="auto"/>
            </w:tcBorders>
            <w:noWrap/>
            <w:vAlign w:val="center"/>
            <w:hideMark/>
          </w:tcPr>
          <w:p w14:paraId="2D08C19A"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$2,178,228 </w:t>
            </w:r>
          </w:p>
        </w:tc>
        <w:tc>
          <w:tcPr>
            <w:tcW w:w="333" w:type="pct"/>
            <w:tcBorders>
              <w:top w:val="nil"/>
              <w:left w:val="nil"/>
              <w:bottom w:val="single" w:sz="8" w:space="0" w:color="auto"/>
              <w:right w:val="single" w:sz="8" w:space="0" w:color="auto"/>
            </w:tcBorders>
            <w:noWrap/>
            <w:vAlign w:val="center"/>
            <w:hideMark/>
          </w:tcPr>
          <w:p w14:paraId="43F80564"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$985,389 </w:t>
            </w:r>
          </w:p>
        </w:tc>
        <w:tc>
          <w:tcPr>
            <w:tcW w:w="334" w:type="pct"/>
            <w:tcBorders>
              <w:top w:val="nil"/>
              <w:left w:val="nil"/>
              <w:bottom w:val="single" w:sz="8" w:space="0" w:color="auto"/>
              <w:right w:val="single" w:sz="8" w:space="0" w:color="auto"/>
            </w:tcBorders>
            <w:noWrap/>
            <w:vAlign w:val="center"/>
            <w:hideMark/>
          </w:tcPr>
          <w:p w14:paraId="1CF39C01"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$259,313 </w:t>
            </w:r>
          </w:p>
        </w:tc>
        <w:tc>
          <w:tcPr>
            <w:tcW w:w="276" w:type="pct"/>
            <w:tcBorders>
              <w:top w:val="nil"/>
              <w:left w:val="nil"/>
              <w:bottom w:val="single" w:sz="8" w:space="0" w:color="auto"/>
              <w:right w:val="single" w:sz="8" w:space="0" w:color="auto"/>
            </w:tcBorders>
            <w:vAlign w:val="center"/>
            <w:hideMark/>
          </w:tcPr>
          <w:p w14:paraId="48B4A190"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$155,588 </w:t>
            </w:r>
          </w:p>
        </w:tc>
        <w:tc>
          <w:tcPr>
            <w:tcW w:w="391" w:type="pct"/>
            <w:gridSpan w:val="2"/>
            <w:tcBorders>
              <w:top w:val="nil"/>
              <w:left w:val="nil"/>
              <w:bottom w:val="single" w:sz="8" w:space="0" w:color="auto"/>
              <w:right w:val="single" w:sz="8" w:space="0" w:color="auto"/>
            </w:tcBorders>
            <w:noWrap/>
            <w:vAlign w:val="center"/>
            <w:hideMark/>
          </w:tcPr>
          <w:p w14:paraId="54A6EAED"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$5,186,258 </w:t>
            </w:r>
          </w:p>
        </w:tc>
        <w:tc>
          <w:tcPr>
            <w:tcW w:w="181" w:type="pct"/>
            <w:tcBorders>
              <w:top w:val="nil"/>
              <w:left w:val="nil"/>
              <w:bottom w:val="single" w:sz="8" w:space="0" w:color="auto"/>
              <w:right w:val="single" w:sz="8" w:space="0" w:color="auto"/>
            </w:tcBorders>
            <w:noWrap/>
            <w:vAlign w:val="center"/>
            <w:hideMark/>
          </w:tcPr>
          <w:p w14:paraId="228F693B"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5</w:t>
            </w:r>
          </w:p>
        </w:tc>
      </w:tr>
      <w:tr w:rsidR="00170617" w:rsidRPr="002926D7" w14:paraId="75BCFB67" w14:textId="77777777" w:rsidTr="00170617">
        <w:trPr>
          <w:trHeight w:val="288"/>
          <w:jc w:val="center"/>
        </w:trPr>
        <w:tc>
          <w:tcPr>
            <w:tcW w:w="423" w:type="pct"/>
            <w:vMerge/>
            <w:tcBorders>
              <w:left w:val="single" w:sz="8" w:space="0" w:color="auto"/>
              <w:right w:val="single" w:sz="8" w:space="0" w:color="auto"/>
            </w:tcBorders>
            <w:vAlign w:val="center"/>
          </w:tcPr>
          <w:p w14:paraId="00665AC2" w14:textId="512950C3"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71B47481" w14:textId="2DFD92DC"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32E66344"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4B7AE6DE"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44F7B135"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D5620EF"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1C3A5322"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71600</w:t>
            </w:r>
          </w:p>
        </w:tc>
        <w:tc>
          <w:tcPr>
            <w:tcW w:w="334" w:type="pct"/>
            <w:tcBorders>
              <w:top w:val="nil"/>
              <w:left w:val="nil"/>
              <w:bottom w:val="single" w:sz="8" w:space="0" w:color="auto"/>
              <w:right w:val="single" w:sz="8" w:space="0" w:color="auto"/>
            </w:tcBorders>
            <w:vAlign w:val="center"/>
            <w:hideMark/>
          </w:tcPr>
          <w:p w14:paraId="0493FED2"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Travel</w:t>
            </w:r>
          </w:p>
        </w:tc>
        <w:tc>
          <w:tcPr>
            <w:tcW w:w="363" w:type="pct"/>
            <w:tcBorders>
              <w:top w:val="nil"/>
              <w:left w:val="nil"/>
              <w:bottom w:val="single" w:sz="8" w:space="0" w:color="auto"/>
              <w:right w:val="single" w:sz="8" w:space="0" w:color="auto"/>
            </w:tcBorders>
            <w:noWrap/>
            <w:vAlign w:val="center"/>
            <w:hideMark/>
          </w:tcPr>
          <w:p w14:paraId="3CA36BFF"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$157,011 </w:t>
            </w:r>
          </w:p>
        </w:tc>
        <w:tc>
          <w:tcPr>
            <w:tcW w:w="364" w:type="pct"/>
            <w:tcBorders>
              <w:top w:val="nil"/>
              <w:left w:val="nil"/>
              <w:bottom w:val="single" w:sz="8" w:space="0" w:color="auto"/>
              <w:right w:val="single" w:sz="8" w:space="0" w:color="auto"/>
            </w:tcBorders>
            <w:noWrap/>
            <w:vAlign w:val="center"/>
            <w:hideMark/>
          </w:tcPr>
          <w:p w14:paraId="6472E7D5"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$212,725 </w:t>
            </w:r>
          </w:p>
        </w:tc>
        <w:tc>
          <w:tcPr>
            <w:tcW w:w="333" w:type="pct"/>
            <w:tcBorders>
              <w:top w:val="nil"/>
              <w:left w:val="nil"/>
              <w:bottom w:val="single" w:sz="8" w:space="0" w:color="auto"/>
              <w:right w:val="single" w:sz="8" w:space="0" w:color="auto"/>
            </w:tcBorders>
            <w:noWrap/>
            <w:vAlign w:val="center"/>
            <w:hideMark/>
          </w:tcPr>
          <w:p w14:paraId="2734BA2F"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$96,233 </w:t>
            </w:r>
          </w:p>
        </w:tc>
        <w:tc>
          <w:tcPr>
            <w:tcW w:w="334" w:type="pct"/>
            <w:tcBorders>
              <w:top w:val="nil"/>
              <w:left w:val="nil"/>
              <w:bottom w:val="single" w:sz="8" w:space="0" w:color="auto"/>
              <w:right w:val="single" w:sz="8" w:space="0" w:color="auto"/>
            </w:tcBorders>
            <w:noWrap/>
            <w:vAlign w:val="center"/>
            <w:hideMark/>
          </w:tcPr>
          <w:p w14:paraId="2CD774D1"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$25,324 </w:t>
            </w:r>
          </w:p>
        </w:tc>
        <w:tc>
          <w:tcPr>
            <w:tcW w:w="276" w:type="pct"/>
            <w:tcBorders>
              <w:top w:val="nil"/>
              <w:left w:val="nil"/>
              <w:bottom w:val="single" w:sz="8" w:space="0" w:color="auto"/>
              <w:right w:val="single" w:sz="8" w:space="0" w:color="auto"/>
            </w:tcBorders>
            <w:vAlign w:val="center"/>
            <w:hideMark/>
          </w:tcPr>
          <w:p w14:paraId="60A9444D"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$15,195 </w:t>
            </w:r>
          </w:p>
        </w:tc>
        <w:tc>
          <w:tcPr>
            <w:tcW w:w="391" w:type="pct"/>
            <w:gridSpan w:val="2"/>
            <w:tcBorders>
              <w:top w:val="nil"/>
              <w:left w:val="nil"/>
              <w:bottom w:val="single" w:sz="8" w:space="0" w:color="auto"/>
              <w:right w:val="single" w:sz="8" w:space="0" w:color="auto"/>
            </w:tcBorders>
            <w:noWrap/>
            <w:vAlign w:val="center"/>
            <w:hideMark/>
          </w:tcPr>
          <w:p w14:paraId="58AE17A9"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$506,487 </w:t>
            </w:r>
          </w:p>
        </w:tc>
        <w:tc>
          <w:tcPr>
            <w:tcW w:w="181" w:type="pct"/>
            <w:tcBorders>
              <w:top w:val="nil"/>
              <w:left w:val="nil"/>
              <w:bottom w:val="single" w:sz="8" w:space="0" w:color="auto"/>
              <w:right w:val="single" w:sz="8" w:space="0" w:color="auto"/>
            </w:tcBorders>
            <w:noWrap/>
            <w:vAlign w:val="center"/>
            <w:hideMark/>
          </w:tcPr>
          <w:p w14:paraId="29CE987F"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7</w:t>
            </w:r>
          </w:p>
        </w:tc>
      </w:tr>
      <w:tr w:rsidR="00170617" w:rsidRPr="002926D7" w14:paraId="52DF2BEE" w14:textId="77777777" w:rsidTr="00170617">
        <w:trPr>
          <w:trHeight w:val="288"/>
          <w:jc w:val="center"/>
        </w:trPr>
        <w:tc>
          <w:tcPr>
            <w:tcW w:w="423" w:type="pct"/>
            <w:vMerge/>
            <w:tcBorders>
              <w:left w:val="single" w:sz="8" w:space="0" w:color="auto"/>
              <w:right w:val="single" w:sz="8" w:space="0" w:color="auto"/>
            </w:tcBorders>
            <w:vAlign w:val="center"/>
          </w:tcPr>
          <w:p w14:paraId="6E059241" w14:textId="632965C4"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66C8C0EC" w14:textId="099A8989"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3E9DFA92"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4DA28EE7"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05101EA"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EC37194"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5AE93978"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72200</w:t>
            </w:r>
          </w:p>
        </w:tc>
        <w:tc>
          <w:tcPr>
            <w:tcW w:w="334" w:type="pct"/>
            <w:tcBorders>
              <w:top w:val="nil"/>
              <w:left w:val="nil"/>
              <w:bottom w:val="single" w:sz="8" w:space="0" w:color="auto"/>
              <w:right w:val="single" w:sz="8" w:space="0" w:color="auto"/>
            </w:tcBorders>
            <w:vAlign w:val="center"/>
            <w:hideMark/>
          </w:tcPr>
          <w:p w14:paraId="404E906D"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Equipment and Furniture</w:t>
            </w:r>
          </w:p>
        </w:tc>
        <w:tc>
          <w:tcPr>
            <w:tcW w:w="363" w:type="pct"/>
            <w:tcBorders>
              <w:top w:val="nil"/>
              <w:left w:val="nil"/>
              <w:bottom w:val="single" w:sz="8" w:space="0" w:color="auto"/>
              <w:right w:val="single" w:sz="8" w:space="0" w:color="auto"/>
            </w:tcBorders>
            <w:noWrap/>
            <w:vAlign w:val="center"/>
            <w:hideMark/>
          </w:tcPr>
          <w:p w14:paraId="21078BA7"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$11,359 </w:t>
            </w:r>
          </w:p>
        </w:tc>
        <w:tc>
          <w:tcPr>
            <w:tcW w:w="364" w:type="pct"/>
            <w:tcBorders>
              <w:top w:val="nil"/>
              <w:left w:val="nil"/>
              <w:bottom w:val="single" w:sz="8" w:space="0" w:color="auto"/>
              <w:right w:val="single" w:sz="8" w:space="0" w:color="auto"/>
            </w:tcBorders>
            <w:noWrap/>
            <w:vAlign w:val="center"/>
            <w:hideMark/>
          </w:tcPr>
          <w:p w14:paraId="39854848"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$15,390 </w:t>
            </w:r>
          </w:p>
        </w:tc>
        <w:tc>
          <w:tcPr>
            <w:tcW w:w="333" w:type="pct"/>
            <w:tcBorders>
              <w:top w:val="nil"/>
              <w:left w:val="nil"/>
              <w:bottom w:val="single" w:sz="8" w:space="0" w:color="auto"/>
              <w:right w:val="single" w:sz="8" w:space="0" w:color="auto"/>
            </w:tcBorders>
            <w:noWrap/>
            <w:vAlign w:val="center"/>
            <w:hideMark/>
          </w:tcPr>
          <w:p w14:paraId="4932B7FD"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$6,962 </w:t>
            </w:r>
          </w:p>
        </w:tc>
        <w:tc>
          <w:tcPr>
            <w:tcW w:w="334" w:type="pct"/>
            <w:tcBorders>
              <w:top w:val="nil"/>
              <w:left w:val="nil"/>
              <w:bottom w:val="single" w:sz="8" w:space="0" w:color="auto"/>
              <w:right w:val="single" w:sz="8" w:space="0" w:color="auto"/>
            </w:tcBorders>
            <w:noWrap/>
            <w:vAlign w:val="center"/>
            <w:hideMark/>
          </w:tcPr>
          <w:p w14:paraId="39C949D7"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$1,832 </w:t>
            </w:r>
          </w:p>
        </w:tc>
        <w:tc>
          <w:tcPr>
            <w:tcW w:w="276" w:type="pct"/>
            <w:tcBorders>
              <w:top w:val="nil"/>
              <w:left w:val="nil"/>
              <w:bottom w:val="single" w:sz="8" w:space="0" w:color="auto"/>
              <w:right w:val="single" w:sz="8" w:space="0" w:color="auto"/>
            </w:tcBorders>
            <w:vAlign w:val="center"/>
            <w:hideMark/>
          </w:tcPr>
          <w:p w14:paraId="7A228A47"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$1,099 </w:t>
            </w:r>
          </w:p>
        </w:tc>
        <w:tc>
          <w:tcPr>
            <w:tcW w:w="391" w:type="pct"/>
            <w:gridSpan w:val="2"/>
            <w:tcBorders>
              <w:top w:val="nil"/>
              <w:left w:val="nil"/>
              <w:bottom w:val="single" w:sz="8" w:space="0" w:color="auto"/>
              <w:right w:val="single" w:sz="8" w:space="0" w:color="auto"/>
            </w:tcBorders>
            <w:noWrap/>
            <w:vAlign w:val="center"/>
            <w:hideMark/>
          </w:tcPr>
          <w:p w14:paraId="1A1FC972"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$36,642 </w:t>
            </w:r>
          </w:p>
        </w:tc>
        <w:tc>
          <w:tcPr>
            <w:tcW w:w="181" w:type="pct"/>
            <w:tcBorders>
              <w:top w:val="nil"/>
              <w:left w:val="nil"/>
              <w:bottom w:val="single" w:sz="8" w:space="0" w:color="auto"/>
              <w:right w:val="single" w:sz="8" w:space="0" w:color="auto"/>
            </w:tcBorders>
            <w:noWrap/>
            <w:vAlign w:val="center"/>
            <w:hideMark/>
          </w:tcPr>
          <w:p w14:paraId="507FD36F"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13</w:t>
            </w:r>
          </w:p>
        </w:tc>
      </w:tr>
      <w:tr w:rsidR="00170617" w:rsidRPr="002926D7" w14:paraId="437F2294" w14:textId="77777777" w:rsidTr="00170617">
        <w:trPr>
          <w:trHeight w:val="288"/>
          <w:jc w:val="center"/>
        </w:trPr>
        <w:tc>
          <w:tcPr>
            <w:tcW w:w="423" w:type="pct"/>
            <w:vMerge/>
            <w:tcBorders>
              <w:left w:val="single" w:sz="8" w:space="0" w:color="auto"/>
              <w:right w:val="single" w:sz="8" w:space="0" w:color="auto"/>
            </w:tcBorders>
            <w:vAlign w:val="center"/>
          </w:tcPr>
          <w:p w14:paraId="56A524CC" w14:textId="5941D7A7"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18819010" w14:textId="035E531B"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3D806325"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168582A"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B0AEEF2"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D7D696C"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1F42195C"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72300</w:t>
            </w:r>
          </w:p>
        </w:tc>
        <w:tc>
          <w:tcPr>
            <w:tcW w:w="334" w:type="pct"/>
            <w:tcBorders>
              <w:top w:val="nil"/>
              <w:left w:val="nil"/>
              <w:bottom w:val="single" w:sz="8" w:space="0" w:color="auto"/>
              <w:right w:val="single" w:sz="8" w:space="0" w:color="auto"/>
            </w:tcBorders>
            <w:vAlign w:val="center"/>
            <w:hideMark/>
          </w:tcPr>
          <w:p w14:paraId="45D39455"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Materials &amp; Goods</w:t>
            </w:r>
          </w:p>
        </w:tc>
        <w:tc>
          <w:tcPr>
            <w:tcW w:w="363" w:type="pct"/>
            <w:tcBorders>
              <w:top w:val="nil"/>
              <w:left w:val="nil"/>
              <w:bottom w:val="single" w:sz="8" w:space="0" w:color="auto"/>
              <w:right w:val="single" w:sz="8" w:space="0" w:color="auto"/>
            </w:tcBorders>
            <w:noWrap/>
            <w:vAlign w:val="center"/>
            <w:hideMark/>
          </w:tcPr>
          <w:p w14:paraId="60EE6206"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$27,396 </w:t>
            </w:r>
          </w:p>
        </w:tc>
        <w:tc>
          <w:tcPr>
            <w:tcW w:w="364" w:type="pct"/>
            <w:tcBorders>
              <w:top w:val="nil"/>
              <w:left w:val="nil"/>
              <w:bottom w:val="single" w:sz="8" w:space="0" w:color="auto"/>
              <w:right w:val="single" w:sz="8" w:space="0" w:color="auto"/>
            </w:tcBorders>
            <w:noWrap/>
            <w:vAlign w:val="center"/>
            <w:hideMark/>
          </w:tcPr>
          <w:p w14:paraId="343359F2"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$37,117 </w:t>
            </w:r>
          </w:p>
        </w:tc>
        <w:tc>
          <w:tcPr>
            <w:tcW w:w="333" w:type="pct"/>
            <w:tcBorders>
              <w:top w:val="nil"/>
              <w:left w:val="nil"/>
              <w:bottom w:val="single" w:sz="8" w:space="0" w:color="auto"/>
              <w:right w:val="single" w:sz="8" w:space="0" w:color="auto"/>
            </w:tcBorders>
            <w:noWrap/>
            <w:vAlign w:val="center"/>
            <w:hideMark/>
          </w:tcPr>
          <w:p w14:paraId="310E639E"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$16,791 </w:t>
            </w:r>
          </w:p>
        </w:tc>
        <w:tc>
          <w:tcPr>
            <w:tcW w:w="334" w:type="pct"/>
            <w:tcBorders>
              <w:top w:val="nil"/>
              <w:left w:val="nil"/>
              <w:bottom w:val="single" w:sz="8" w:space="0" w:color="auto"/>
              <w:right w:val="single" w:sz="8" w:space="0" w:color="auto"/>
            </w:tcBorders>
            <w:noWrap/>
            <w:vAlign w:val="center"/>
            <w:hideMark/>
          </w:tcPr>
          <w:p w14:paraId="101081EA"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$4,419 </w:t>
            </w:r>
          </w:p>
        </w:tc>
        <w:tc>
          <w:tcPr>
            <w:tcW w:w="276" w:type="pct"/>
            <w:tcBorders>
              <w:top w:val="nil"/>
              <w:left w:val="nil"/>
              <w:bottom w:val="single" w:sz="8" w:space="0" w:color="auto"/>
              <w:right w:val="single" w:sz="8" w:space="0" w:color="auto"/>
            </w:tcBorders>
            <w:vAlign w:val="center"/>
            <w:hideMark/>
          </w:tcPr>
          <w:p w14:paraId="6454957E"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$2,651 </w:t>
            </w:r>
          </w:p>
        </w:tc>
        <w:tc>
          <w:tcPr>
            <w:tcW w:w="391" w:type="pct"/>
            <w:gridSpan w:val="2"/>
            <w:tcBorders>
              <w:top w:val="nil"/>
              <w:left w:val="nil"/>
              <w:bottom w:val="single" w:sz="8" w:space="0" w:color="auto"/>
              <w:right w:val="single" w:sz="8" w:space="0" w:color="auto"/>
            </w:tcBorders>
            <w:noWrap/>
            <w:vAlign w:val="center"/>
            <w:hideMark/>
          </w:tcPr>
          <w:p w14:paraId="1BF7F86A"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$88,374 </w:t>
            </w:r>
          </w:p>
        </w:tc>
        <w:tc>
          <w:tcPr>
            <w:tcW w:w="181" w:type="pct"/>
            <w:tcBorders>
              <w:top w:val="nil"/>
              <w:left w:val="nil"/>
              <w:bottom w:val="single" w:sz="8" w:space="0" w:color="auto"/>
              <w:right w:val="single" w:sz="8" w:space="0" w:color="auto"/>
            </w:tcBorders>
            <w:noWrap/>
            <w:vAlign w:val="center"/>
            <w:hideMark/>
          </w:tcPr>
          <w:p w14:paraId="1301B4BB"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14</w:t>
            </w:r>
          </w:p>
        </w:tc>
      </w:tr>
      <w:tr w:rsidR="00170617" w:rsidRPr="002926D7" w14:paraId="7763332B" w14:textId="77777777" w:rsidTr="00170617">
        <w:trPr>
          <w:trHeight w:val="288"/>
          <w:jc w:val="center"/>
        </w:trPr>
        <w:tc>
          <w:tcPr>
            <w:tcW w:w="423" w:type="pct"/>
            <w:vMerge/>
            <w:tcBorders>
              <w:left w:val="single" w:sz="8" w:space="0" w:color="auto"/>
              <w:right w:val="single" w:sz="8" w:space="0" w:color="auto"/>
            </w:tcBorders>
            <w:vAlign w:val="center"/>
          </w:tcPr>
          <w:p w14:paraId="7F5E6DE4" w14:textId="46AFA58B"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64AAB3C5" w14:textId="091A59A8"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03BF74CC"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2F05C9F"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A1E278A"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1DFA290"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6B6C4873"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72400</w:t>
            </w:r>
          </w:p>
        </w:tc>
        <w:tc>
          <w:tcPr>
            <w:tcW w:w="334" w:type="pct"/>
            <w:tcBorders>
              <w:top w:val="nil"/>
              <w:left w:val="nil"/>
              <w:bottom w:val="single" w:sz="8" w:space="0" w:color="auto"/>
              <w:right w:val="single" w:sz="8" w:space="0" w:color="auto"/>
            </w:tcBorders>
            <w:vAlign w:val="center"/>
            <w:hideMark/>
          </w:tcPr>
          <w:p w14:paraId="34245153"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Communic &amp; Audio Visual Equip</w:t>
            </w:r>
          </w:p>
        </w:tc>
        <w:tc>
          <w:tcPr>
            <w:tcW w:w="363" w:type="pct"/>
            <w:tcBorders>
              <w:top w:val="nil"/>
              <w:left w:val="nil"/>
              <w:bottom w:val="single" w:sz="8" w:space="0" w:color="auto"/>
              <w:right w:val="single" w:sz="8" w:space="0" w:color="auto"/>
            </w:tcBorders>
            <w:noWrap/>
            <w:vAlign w:val="center"/>
            <w:hideMark/>
          </w:tcPr>
          <w:p w14:paraId="7050A634"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$80,852 </w:t>
            </w:r>
          </w:p>
        </w:tc>
        <w:tc>
          <w:tcPr>
            <w:tcW w:w="364" w:type="pct"/>
            <w:tcBorders>
              <w:top w:val="nil"/>
              <w:left w:val="nil"/>
              <w:bottom w:val="single" w:sz="8" w:space="0" w:color="auto"/>
              <w:right w:val="single" w:sz="8" w:space="0" w:color="auto"/>
            </w:tcBorders>
            <w:noWrap/>
            <w:vAlign w:val="center"/>
            <w:hideMark/>
          </w:tcPr>
          <w:p w14:paraId="61051CEA"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$109,541 </w:t>
            </w:r>
          </w:p>
        </w:tc>
        <w:tc>
          <w:tcPr>
            <w:tcW w:w="333" w:type="pct"/>
            <w:tcBorders>
              <w:top w:val="nil"/>
              <w:left w:val="nil"/>
              <w:bottom w:val="single" w:sz="8" w:space="0" w:color="auto"/>
              <w:right w:val="single" w:sz="8" w:space="0" w:color="auto"/>
            </w:tcBorders>
            <w:noWrap/>
            <w:vAlign w:val="center"/>
            <w:hideMark/>
          </w:tcPr>
          <w:p w14:paraId="1C3318F3"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$49,554 </w:t>
            </w:r>
          </w:p>
        </w:tc>
        <w:tc>
          <w:tcPr>
            <w:tcW w:w="334" w:type="pct"/>
            <w:tcBorders>
              <w:top w:val="nil"/>
              <w:left w:val="nil"/>
              <w:bottom w:val="single" w:sz="8" w:space="0" w:color="auto"/>
              <w:right w:val="single" w:sz="8" w:space="0" w:color="auto"/>
            </w:tcBorders>
            <w:noWrap/>
            <w:vAlign w:val="center"/>
            <w:hideMark/>
          </w:tcPr>
          <w:p w14:paraId="6F50D0E1"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$13,041 </w:t>
            </w:r>
          </w:p>
        </w:tc>
        <w:tc>
          <w:tcPr>
            <w:tcW w:w="276" w:type="pct"/>
            <w:tcBorders>
              <w:top w:val="nil"/>
              <w:left w:val="nil"/>
              <w:bottom w:val="single" w:sz="8" w:space="0" w:color="auto"/>
              <w:right w:val="single" w:sz="8" w:space="0" w:color="auto"/>
            </w:tcBorders>
            <w:vAlign w:val="center"/>
            <w:hideMark/>
          </w:tcPr>
          <w:p w14:paraId="0A6A4732"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$7,824 </w:t>
            </w:r>
          </w:p>
        </w:tc>
        <w:tc>
          <w:tcPr>
            <w:tcW w:w="391" w:type="pct"/>
            <w:gridSpan w:val="2"/>
            <w:tcBorders>
              <w:top w:val="nil"/>
              <w:left w:val="nil"/>
              <w:bottom w:val="single" w:sz="8" w:space="0" w:color="auto"/>
              <w:right w:val="single" w:sz="8" w:space="0" w:color="auto"/>
            </w:tcBorders>
            <w:noWrap/>
            <w:vAlign w:val="center"/>
            <w:hideMark/>
          </w:tcPr>
          <w:p w14:paraId="2A39FB98"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$260,812 </w:t>
            </w:r>
          </w:p>
        </w:tc>
        <w:tc>
          <w:tcPr>
            <w:tcW w:w="181" w:type="pct"/>
            <w:tcBorders>
              <w:top w:val="nil"/>
              <w:left w:val="nil"/>
              <w:bottom w:val="single" w:sz="8" w:space="0" w:color="auto"/>
              <w:right w:val="single" w:sz="8" w:space="0" w:color="auto"/>
            </w:tcBorders>
            <w:noWrap/>
            <w:vAlign w:val="center"/>
            <w:hideMark/>
          </w:tcPr>
          <w:p w14:paraId="0D75B310"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15</w:t>
            </w:r>
          </w:p>
        </w:tc>
      </w:tr>
      <w:tr w:rsidR="00170617" w:rsidRPr="002926D7" w14:paraId="2CEE17E1" w14:textId="77777777" w:rsidTr="00170617">
        <w:trPr>
          <w:trHeight w:val="288"/>
          <w:jc w:val="center"/>
        </w:trPr>
        <w:tc>
          <w:tcPr>
            <w:tcW w:w="423" w:type="pct"/>
            <w:vMerge/>
            <w:tcBorders>
              <w:left w:val="single" w:sz="8" w:space="0" w:color="auto"/>
              <w:right w:val="single" w:sz="8" w:space="0" w:color="auto"/>
            </w:tcBorders>
            <w:vAlign w:val="center"/>
          </w:tcPr>
          <w:p w14:paraId="33AEE7F7" w14:textId="02CF7D64"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5805C592" w14:textId="36B6E165"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70795FE2"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B6045E0"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765AE6B"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2E10514"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1D8CB1AD"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72500</w:t>
            </w:r>
          </w:p>
        </w:tc>
        <w:tc>
          <w:tcPr>
            <w:tcW w:w="334" w:type="pct"/>
            <w:tcBorders>
              <w:top w:val="nil"/>
              <w:left w:val="nil"/>
              <w:bottom w:val="single" w:sz="8" w:space="0" w:color="auto"/>
              <w:right w:val="single" w:sz="8" w:space="0" w:color="auto"/>
            </w:tcBorders>
            <w:vAlign w:val="center"/>
            <w:hideMark/>
          </w:tcPr>
          <w:p w14:paraId="3988F26B"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Supplies</w:t>
            </w:r>
          </w:p>
        </w:tc>
        <w:tc>
          <w:tcPr>
            <w:tcW w:w="363" w:type="pct"/>
            <w:tcBorders>
              <w:top w:val="nil"/>
              <w:left w:val="nil"/>
              <w:bottom w:val="single" w:sz="8" w:space="0" w:color="auto"/>
              <w:right w:val="single" w:sz="8" w:space="0" w:color="auto"/>
            </w:tcBorders>
            <w:noWrap/>
            <w:vAlign w:val="center"/>
            <w:hideMark/>
          </w:tcPr>
          <w:p w14:paraId="55C8D207"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$73,496 </w:t>
            </w:r>
          </w:p>
        </w:tc>
        <w:tc>
          <w:tcPr>
            <w:tcW w:w="364" w:type="pct"/>
            <w:tcBorders>
              <w:top w:val="nil"/>
              <w:left w:val="nil"/>
              <w:bottom w:val="single" w:sz="8" w:space="0" w:color="auto"/>
              <w:right w:val="single" w:sz="8" w:space="0" w:color="auto"/>
            </w:tcBorders>
            <w:noWrap/>
            <w:vAlign w:val="center"/>
            <w:hideMark/>
          </w:tcPr>
          <w:p w14:paraId="142E4A9C"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$99,575 </w:t>
            </w:r>
          </w:p>
        </w:tc>
        <w:tc>
          <w:tcPr>
            <w:tcW w:w="333" w:type="pct"/>
            <w:tcBorders>
              <w:top w:val="nil"/>
              <w:left w:val="nil"/>
              <w:bottom w:val="single" w:sz="8" w:space="0" w:color="auto"/>
              <w:right w:val="single" w:sz="8" w:space="0" w:color="auto"/>
            </w:tcBorders>
            <w:noWrap/>
            <w:vAlign w:val="center"/>
            <w:hideMark/>
          </w:tcPr>
          <w:p w14:paraId="4EF10402"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$45,046 </w:t>
            </w:r>
          </w:p>
        </w:tc>
        <w:tc>
          <w:tcPr>
            <w:tcW w:w="334" w:type="pct"/>
            <w:tcBorders>
              <w:top w:val="nil"/>
              <w:left w:val="nil"/>
              <w:bottom w:val="single" w:sz="8" w:space="0" w:color="auto"/>
              <w:right w:val="single" w:sz="8" w:space="0" w:color="auto"/>
            </w:tcBorders>
            <w:noWrap/>
            <w:vAlign w:val="center"/>
            <w:hideMark/>
          </w:tcPr>
          <w:p w14:paraId="0F33A98E"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$11,854 </w:t>
            </w:r>
          </w:p>
        </w:tc>
        <w:tc>
          <w:tcPr>
            <w:tcW w:w="276" w:type="pct"/>
            <w:tcBorders>
              <w:top w:val="nil"/>
              <w:left w:val="nil"/>
              <w:bottom w:val="single" w:sz="8" w:space="0" w:color="auto"/>
              <w:right w:val="single" w:sz="8" w:space="0" w:color="auto"/>
            </w:tcBorders>
            <w:vAlign w:val="center"/>
            <w:hideMark/>
          </w:tcPr>
          <w:p w14:paraId="4BFC647B"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$7,113 </w:t>
            </w:r>
          </w:p>
        </w:tc>
        <w:tc>
          <w:tcPr>
            <w:tcW w:w="391" w:type="pct"/>
            <w:gridSpan w:val="2"/>
            <w:tcBorders>
              <w:top w:val="nil"/>
              <w:left w:val="nil"/>
              <w:bottom w:val="single" w:sz="8" w:space="0" w:color="auto"/>
              <w:right w:val="single" w:sz="8" w:space="0" w:color="auto"/>
            </w:tcBorders>
            <w:noWrap/>
            <w:vAlign w:val="center"/>
            <w:hideMark/>
          </w:tcPr>
          <w:p w14:paraId="2CA7AFDB"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$237,084 </w:t>
            </w:r>
          </w:p>
        </w:tc>
        <w:tc>
          <w:tcPr>
            <w:tcW w:w="181" w:type="pct"/>
            <w:tcBorders>
              <w:top w:val="nil"/>
              <w:left w:val="nil"/>
              <w:bottom w:val="single" w:sz="8" w:space="0" w:color="auto"/>
              <w:right w:val="single" w:sz="8" w:space="0" w:color="auto"/>
            </w:tcBorders>
            <w:noWrap/>
            <w:vAlign w:val="center"/>
            <w:hideMark/>
          </w:tcPr>
          <w:p w14:paraId="381230FC"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10</w:t>
            </w:r>
          </w:p>
        </w:tc>
      </w:tr>
      <w:tr w:rsidR="00170617" w:rsidRPr="002926D7" w14:paraId="517BE507" w14:textId="77777777" w:rsidTr="00170617">
        <w:trPr>
          <w:trHeight w:val="288"/>
          <w:jc w:val="center"/>
        </w:trPr>
        <w:tc>
          <w:tcPr>
            <w:tcW w:w="423" w:type="pct"/>
            <w:vMerge/>
            <w:tcBorders>
              <w:left w:val="single" w:sz="8" w:space="0" w:color="auto"/>
              <w:right w:val="single" w:sz="8" w:space="0" w:color="auto"/>
            </w:tcBorders>
            <w:vAlign w:val="center"/>
          </w:tcPr>
          <w:p w14:paraId="4516CE88" w14:textId="635D77E1"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16FE0F4D" w14:textId="63E00EAA"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2B9DB2EC"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BE5D92E"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BC9A490"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21BADC8A"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18AB64C4"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72800</w:t>
            </w:r>
          </w:p>
        </w:tc>
        <w:tc>
          <w:tcPr>
            <w:tcW w:w="334" w:type="pct"/>
            <w:tcBorders>
              <w:top w:val="nil"/>
              <w:left w:val="nil"/>
              <w:bottom w:val="single" w:sz="8" w:space="0" w:color="auto"/>
              <w:right w:val="single" w:sz="8" w:space="0" w:color="auto"/>
            </w:tcBorders>
            <w:vAlign w:val="center"/>
            <w:hideMark/>
          </w:tcPr>
          <w:p w14:paraId="02456363"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Information Technology Equipmt</w:t>
            </w:r>
          </w:p>
        </w:tc>
        <w:tc>
          <w:tcPr>
            <w:tcW w:w="363" w:type="pct"/>
            <w:tcBorders>
              <w:top w:val="nil"/>
              <w:left w:val="nil"/>
              <w:bottom w:val="single" w:sz="8" w:space="0" w:color="auto"/>
              <w:right w:val="single" w:sz="8" w:space="0" w:color="auto"/>
            </w:tcBorders>
            <w:noWrap/>
            <w:vAlign w:val="center"/>
            <w:hideMark/>
          </w:tcPr>
          <w:p w14:paraId="3B027893"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$51,564 </w:t>
            </w:r>
          </w:p>
        </w:tc>
        <w:tc>
          <w:tcPr>
            <w:tcW w:w="364" w:type="pct"/>
            <w:tcBorders>
              <w:top w:val="nil"/>
              <w:left w:val="nil"/>
              <w:bottom w:val="single" w:sz="8" w:space="0" w:color="auto"/>
              <w:right w:val="single" w:sz="8" w:space="0" w:color="auto"/>
            </w:tcBorders>
            <w:noWrap/>
            <w:vAlign w:val="center"/>
            <w:hideMark/>
          </w:tcPr>
          <w:p w14:paraId="68D86E4D"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$69,861 </w:t>
            </w:r>
          </w:p>
        </w:tc>
        <w:tc>
          <w:tcPr>
            <w:tcW w:w="333" w:type="pct"/>
            <w:tcBorders>
              <w:top w:val="nil"/>
              <w:left w:val="nil"/>
              <w:bottom w:val="single" w:sz="8" w:space="0" w:color="auto"/>
              <w:right w:val="single" w:sz="8" w:space="0" w:color="auto"/>
            </w:tcBorders>
            <w:noWrap/>
            <w:vAlign w:val="center"/>
            <w:hideMark/>
          </w:tcPr>
          <w:p w14:paraId="520C7B14"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$31,604 </w:t>
            </w:r>
          </w:p>
        </w:tc>
        <w:tc>
          <w:tcPr>
            <w:tcW w:w="334" w:type="pct"/>
            <w:tcBorders>
              <w:top w:val="nil"/>
              <w:left w:val="nil"/>
              <w:bottom w:val="single" w:sz="8" w:space="0" w:color="auto"/>
              <w:right w:val="single" w:sz="8" w:space="0" w:color="auto"/>
            </w:tcBorders>
            <w:noWrap/>
            <w:vAlign w:val="center"/>
            <w:hideMark/>
          </w:tcPr>
          <w:p w14:paraId="43DA98D0"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$8,317 </w:t>
            </w:r>
          </w:p>
        </w:tc>
        <w:tc>
          <w:tcPr>
            <w:tcW w:w="276" w:type="pct"/>
            <w:tcBorders>
              <w:top w:val="nil"/>
              <w:left w:val="nil"/>
              <w:bottom w:val="single" w:sz="8" w:space="0" w:color="auto"/>
              <w:right w:val="single" w:sz="8" w:space="0" w:color="auto"/>
            </w:tcBorders>
            <w:vAlign w:val="center"/>
            <w:hideMark/>
          </w:tcPr>
          <w:p w14:paraId="342548A4"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$4,990 </w:t>
            </w:r>
          </w:p>
        </w:tc>
        <w:tc>
          <w:tcPr>
            <w:tcW w:w="391" w:type="pct"/>
            <w:gridSpan w:val="2"/>
            <w:tcBorders>
              <w:top w:val="nil"/>
              <w:left w:val="nil"/>
              <w:bottom w:val="single" w:sz="8" w:space="0" w:color="auto"/>
              <w:right w:val="single" w:sz="8" w:space="0" w:color="auto"/>
            </w:tcBorders>
            <w:noWrap/>
            <w:vAlign w:val="center"/>
            <w:hideMark/>
          </w:tcPr>
          <w:p w14:paraId="156096B2"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$166,336 </w:t>
            </w:r>
          </w:p>
        </w:tc>
        <w:tc>
          <w:tcPr>
            <w:tcW w:w="181" w:type="pct"/>
            <w:tcBorders>
              <w:top w:val="nil"/>
              <w:left w:val="nil"/>
              <w:bottom w:val="single" w:sz="8" w:space="0" w:color="auto"/>
              <w:right w:val="single" w:sz="8" w:space="0" w:color="auto"/>
            </w:tcBorders>
            <w:noWrap/>
            <w:vAlign w:val="center"/>
            <w:hideMark/>
          </w:tcPr>
          <w:p w14:paraId="3581D958"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16</w:t>
            </w:r>
          </w:p>
        </w:tc>
      </w:tr>
      <w:tr w:rsidR="00170617" w:rsidRPr="002926D7" w14:paraId="2E191637" w14:textId="77777777" w:rsidTr="00170617">
        <w:trPr>
          <w:trHeight w:val="288"/>
          <w:jc w:val="center"/>
        </w:trPr>
        <w:tc>
          <w:tcPr>
            <w:tcW w:w="423" w:type="pct"/>
            <w:vMerge/>
            <w:tcBorders>
              <w:left w:val="single" w:sz="8" w:space="0" w:color="auto"/>
              <w:right w:val="single" w:sz="8" w:space="0" w:color="auto"/>
            </w:tcBorders>
            <w:vAlign w:val="center"/>
          </w:tcPr>
          <w:p w14:paraId="190E1224" w14:textId="2F2F42F2"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4BDAA553" w14:textId="172DCA28"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1E054E7A"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4CA05252"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D82EFE0"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3394747"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27706601"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73100</w:t>
            </w:r>
          </w:p>
        </w:tc>
        <w:tc>
          <w:tcPr>
            <w:tcW w:w="334" w:type="pct"/>
            <w:tcBorders>
              <w:top w:val="nil"/>
              <w:left w:val="nil"/>
              <w:bottom w:val="single" w:sz="8" w:space="0" w:color="auto"/>
              <w:right w:val="single" w:sz="8" w:space="0" w:color="auto"/>
            </w:tcBorders>
            <w:vAlign w:val="center"/>
            <w:hideMark/>
          </w:tcPr>
          <w:p w14:paraId="1E060DD4"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Rental &amp; Maintenance-Premises</w:t>
            </w:r>
          </w:p>
        </w:tc>
        <w:tc>
          <w:tcPr>
            <w:tcW w:w="363" w:type="pct"/>
            <w:tcBorders>
              <w:top w:val="nil"/>
              <w:left w:val="nil"/>
              <w:bottom w:val="single" w:sz="8" w:space="0" w:color="auto"/>
              <w:right w:val="single" w:sz="8" w:space="0" w:color="auto"/>
            </w:tcBorders>
            <w:noWrap/>
            <w:vAlign w:val="center"/>
            <w:hideMark/>
          </w:tcPr>
          <w:p w14:paraId="694D5335"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$663,937 </w:t>
            </w:r>
          </w:p>
        </w:tc>
        <w:tc>
          <w:tcPr>
            <w:tcW w:w="364" w:type="pct"/>
            <w:tcBorders>
              <w:top w:val="nil"/>
              <w:left w:val="nil"/>
              <w:bottom w:val="single" w:sz="8" w:space="0" w:color="auto"/>
              <w:right w:val="single" w:sz="8" w:space="0" w:color="auto"/>
            </w:tcBorders>
            <w:noWrap/>
            <w:vAlign w:val="center"/>
            <w:hideMark/>
          </w:tcPr>
          <w:p w14:paraId="567E063F"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$899,527 </w:t>
            </w:r>
          </w:p>
        </w:tc>
        <w:tc>
          <w:tcPr>
            <w:tcW w:w="333" w:type="pct"/>
            <w:tcBorders>
              <w:top w:val="nil"/>
              <w:left w:val="nil"/>
              <w:bottom w:val="single" w:sz="8" w:space="0" w:color="auto"/>
              <w:right w:val="single" w:sz="8" w:space="0" w:color="auto"/>
            </w:tcBorders>
            <w:noWrap/>
            <w:vAlign w:val="center"/>
            <w:hideMark/>
          </w:tcPr>
          <w:p w14:paraId="3BC2919A"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$406,929 </w:t>
            </w:r>
          </w:p>
        </w:tc>
        <w:tc>
          <w:tcPr>
            <w:tcW w:w="334" w:type="pct"/>
            <w:tcBorders>
              <w:top w:val="nil"/>
              <w:left w:val="nil"/>
              <w:bottom w:val="single" w:sz="8" w:space="0" w:color="auto"/>
              <w:right w:val="single" w:sz="8" w:space="0" w:color="auto"/>
            </w:tcBorders>
            <w:noWrap/>
            <w:vAlign w:val="center"/>
            <w:hideMark/>
          </w:tcPr>
          <w:p w14:paraId="32589E4F"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$107,087 </w:t>
            </w:r>
          </w:p>
        </w:tc>
        <w:tc>
          <w:tcPr>
            <w:tcW w:w="276" w:type="pct"/>
            <w:tcBorders>
              <w:top w:val="nil"/>
              <w:left w:val="nil"/>
              <w:bottom w:val="single" w:sz="8" w:space="0" w:color="auto"/>
              <w:right w:val="single" w:sz="8" w:space="0" w:color="auto"/>
            </w:tcBorders>
            <w:vAlign w:val="center"/>
            <w:hideMark/>
          </w:tcPr>
          <w:p w14:paraId="0CBDFC9E"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$64,252 </w:t>
            </w:r>
          </w:p>
        </w:tc>
        <w:tc>
          <w:tcPr>
            <w:tcW w:w="391" w:type="pct"/>
            <w:gridSpan w:val="2"/>
            <w:tcBorders>
              <w:top w:val="nil"/>
              <w:left w:val="nil"/>
              <w:bottom w:val="single" w:sz="8" w:space="0" w:color="auto"/>
              <w:right w:val="single" w:sz="8" w:space="0" w:color="auto"/>
            </w:tcBorders>
            <w:noWrap/>
            <w:vAlign w:val="center"/>
            <w:hideMark/>
          </w:tcPr>
          <w:p w14:paraId="6F90EA8C"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$2,141,732 </w:t>
            </w:r>
          </w:p>
        </w:tc>
        <w:tc>
          <w:tcPr>
            <w:tcW w:w="181" w:type="pct"/>
            <w:tcBorders>
              <w:top w:val="nil"/>
              <w:left w:val="nil"/>
              <w:bottom w:val="single" w:sz="8" w:space="0" w:color="auto"/>
              <w:right w:val="single" w:sz="8" w:space="0" w:color="auto"/>
            </w:tcBorders>
            <w:noWrap/>
            <w:vAlign w:val="center"/>
            <w:hideMark/>
          </w:tcPr>
          <w:p w14:paraId="2583030F"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8</w:t>
            </w:r>
          </w:p>
        </w:tc>
      </w:tr>
      <w:tr w:rsidR="00170617" w:rsidRPr="002926D7" w14:paraId="796F1654" w14:textId="77777777" w:rsidTr="00170617">
        <w:trPr>
          <w:trHeight w:val="288"/>
          <w:jc w:val="center"/>
        </w:trPr>
        <w:tc>
          <w:tcPr>
            <w:tcW w:w="423" w:type="pct"/>
            <w:vMerge/>
            <w:tcBorders>
              <w:left w:val="single" w:sz="8" w:space="0" w:color="auto"/>
              <w:right w:val="single" w:sz="8" w:space="0" w:color="auto"/>
            </w:tcBorders>
            <w:vAlign w:val="center"/>
          </w:tcPr>
          <w:p w14:paraId="13760590" w14:textId="1ACD44E9"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31C02707" w14:textId="77DB2B5B"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33A5F67C"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0EDBCB5"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3B6D0E12"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1C1A9B8"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5D98F3B3"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73400</w:t>
            </w:r>
          </w:p>
        </w:tc>
        <w:tc>
          <w:tcPr>
            <w:tcW w:w="334" w:type="pct"/>
            <w:tcBorders>
              <w:top w:val="nil"/>
              <w:left w:val="nil"/>
              <w:bottom w:val="single" w:sz="8" w:space="0" w:color="auto"/>
              <w:right w:val="single" w:sz="8" w:space="0" w:color="auto"/>
            </w:tcBorders>
            <w:vAlign w:val="center"/>
            <w:hideMark/>
          </w:tcPr>
          <w:p w14:paraId="4FC9FD88"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Rental &amp; Maint of Other Equip</w:t>
            </w:r>
          </w:p>
        </w:tc>
        <w:tc>
          <w:tcPr>
            <w:tcW w:w="363" w:type="pct"/>
            <w:tcBorders>
              <w:top w:val="nil"/>
              <w:left w:val="nil"/>
              <w:bottom w:val="single" w:sz="8" w:space="0" w:color="auto"/>
              <w:right w:val="single" w:sz="8" w:space="0" w:color="auto"/>
            </w:tcBorders>
            <w:noWrap/>
            <w:vAlign w:val="center"/>
            <w:hideMark/>
          </w:tcPr>
          <w:p w14:paraId="13102CA4"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$39,034 </w:t>
            </w:r>
          </w:p>
        </w:tc>
        <w:tc>
          <w:tcPr>
            <w:tcW w:w="364" w:type="pct"/>
            <w:tcBorders>
              <w:top w:val="nil"/>
              <w:left w:val="nil"/>
              <w:bottom w:val="single" w:sz="8" w:space="0" w:color="auto"/>
              <w:right w:val="single" w:sz="8" w:space="0" w:color="auto"/>
            </w:tcBorders>
            <w:noWrap/>
            <w:vAlign w:val="center"/>
            <w:hideMark/>
          </w:tcPr>
          <w:p w14:paraId="6E8D4812"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$52,884 </w:t>
            </w:r>
          </w:p>
        </w:tc>
        <w:tc>
          <w:tcPr>
            <w:tcW w:w="333" w:type="pct"/>
            <w:tcBorders>
              <w:top w:val="nil"/>
              <w:left w:val="nil"/>
              <w:bottom w:val="single" w:sz="8" w:space="0" w:color="auto"/>
              <w:right w:val="single" w:sz="8" w:space="0" w:color="auto"/>
            </w:tcBorders>
            <w:noWrap/>
            <w:vAlign w:val="center"/>
            <w:hideMark/>
          </w:tcPr>
          <w:p w14:paraId="3D12D918"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$23,924 </w:t>
            </w:r>
          </w:p>
        </w:tc>
        <w:tc>
          <w:tcPr>
            <w:tcW w:w="334" w:type="pct"/>
            <w:tcBorders>
              <w:top w:val="nil"/>
              <w:left w:val="nil"/>
              <w:bottom w:val="single" w:sz="8" w:space="0" w:color="auto"/>
              <w:right w:val="single" w:sz="8" w:space="0" w:color="auto"/>
            </w:tcBorders>
            <w:noWrap/>
            <w:vAlign w:val="center"/>
            <w:hideMark/>
          </w:tcPr>
          <w:p w14:paraId="171F3F9E"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$6,296 </w:t>
            </w:r>
          </w:p>
        </w:tc>
        <w:tc>
          <w:tcPr>
            <w:tcW w:w="276" w:type="pct"/>
            <w:tcBorders>
              <w:top w:val="nil"/>
              <w:left w:val="nil"/>
              <w:bottom w:val="single" w:sz="8" w:space="0" w:color="auto"/>
              <w:right w:val="single" w:sz="8" w:space="0" w:color="auto"/>
            </w:tcBorders>
            <w:vAlign w:val="center"/>
            <w:hideMark/>
          </w:tcPr>
          <w:p w14:paraId="24D85855"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$3,777 </w:t>
            </w:r>
          </w:p>
        </w:tc>
        <w:tc>
          <w:tcPr>
            <w:tcW w:w="391" w:type="pct"/>
            <w:gridSpan w:val="2"/>
            <w:tcBorders>
              <w:top w:val="nil"/>
              <w:left w:val="nil"/>
              <w:bottom w:val="single" w:sz="8" w:space="0" w:color="auto"/>
              <w:right w:val="single" w:sz="8" w:space="0" w:color="auto"/>
            </w:tcBorders>
            <w:noWrap/>
            <w:vAlign w:val="center"/>
            <w:hideMark/>
          </w:tcPr>
          <w:p w14:paraId="1AC176BE"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$125,915 </w:t>
            </w:r>
          </w:p>
        </w:tc>
        <w:tc>
          <w:tcPr>
            <w:tcW w:w="181" w:type="pct"/>
            <w:tcBorders>
              <w:top w:val="nil"/>
              <w:left w:val="nil"/>
              <w:bottom w:val="single" w:sz="8" w:space="0" w:color="auto"/>
              <w:right w:val="single" w:sz="8" w:space="0" w:color="auto"/>
            </w:tcBorders>
            <w:noWrap/>
            <w:vAlign w:val="center"/>
            <w:hideMark/>
          </w:tcPr>
          <w:p w14:paraId="0AF523E7"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17</w:t>
            </w:r>
          </w:p>
        </w:tc>
      </w:tr>
      <w:tr w:rsidR="00170617" w:rsidRPr="002926D7" w14:paraId="708DDE72" w14:textId="77777777" w:rsidTr="00170617">
        <w:trPr>
          <w:trHeight w:val="288"/>
          <w:jc w:val="center"/>
        </w:trPr>
        <w:tc>
          <w:tcPr>
            <w:tcW w:w="423" w:type="pct"/>
            <w:vMerge/>
            <w:tcBorders>
              <w:left w:val="single" w:sz="8" w:space="0" w:color="auto"/>
              <w:right w:val="single" w:sz="8" w:space="0" w:color="auto"/>
            </w:tcBorders>
            <w:vAlign w:val="center"/>
          </w:tcPr>
          <w:p w14:paraId="35B8844F" w14:textId="65B64A3C"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02B8A4D8" w14:textId="4BBD1F7F"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0098934B"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85746CA"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47439A1B"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77BC5AB"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325AEC04"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74100</w:t>
            </w:r>
          </w:p>
        </w:tc>
        <w:tc>
          <w:tcPr>
            <w:tcW w:w="334" w:type="pct"/>
            <w:tcBorders>
              <w:top w:val="nil"/>
              <w:left w:val="nil"/>
              <w:bottom w:val="single" w:sz="8" w:space="0" w:color="auto"/>
              <w:right w:val="single" w:sz="8" w:space="0" w:color="auto"/>
            </w:tcBorders>
            <w:vAlign w:val="center"/>
            <w:hideMark/>
          </w:tcPr>
          <w:p w14:paraId="651D2673"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Professional Services</w:t>
            </w:r>
          </w:p>
        </w:tc>
        <w:tc>
          <w:tcPr>
            <w:tcW w:w="363" w:type="pct"/>
            <w:tcBorders>
              <w:top w:val="nil"/>
              <w:left w:val="nil"/>
              <w:bottom w:val="single" w:sz="8" w:space="0" w:color="auto"/>
              <w:right w:val="single" w:sz="8" w:space="0" w:color="auto"/>
            </w:tcBorders>
            <w:noWrap/>
            <w:vAlign w:val="center"/>
            <w:hideMark/>
          </w:tcPr>
          <w:p w14:paraId="2A58F12E"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$105,263 </w:t>
            </w:r>
          </w:p>
        </w:tc>
        <w:tc>
          <w:tcPr>
            <w:tcW w:w="364" w:type="pct"/>
            <w:tcBorders>
              <w:top w:val="nil"/>
              <w:left w:val="nil"/>
              <w:bottom w:val="single" w:sz="8" w:space="0" w:color="auto"/>
              <w:right w:val="single" w:sz="8" w:space="0" w:color="auto"/>
            </w:tcBorders>
            <w:noWrap/>
            <w:vAlign w:val="center"/>
            <w:hideMark/>
          </w:tcPr>
          <w:p w14:paraId="31293EAA"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$142,614 </w:t>
            </w:r>
          </w:p>
        </w:tc>
        <w:tc>
          <w:tcPr>
            <w:tcW w:w="333" w:type="pct"/>
            <w:tcBorders>
              <w:top w:val="nil"/>
              <w:left w:val="nil"/>
              <w:bottom w:val="single" w:sz="8" w:space="0" w:color="auto"/>
              <w:right w:val="single" w:sz="8" w:space="0" w:color="auto"/>
            </w:tcBorders>
            <w:noWrap/>
            <w:vAlign w:val="center"/>
            <w:hideMark/>
          </w:tcPr>
          <w:p w14:paraId="1655C824"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$64,516 </w:t>
            </w:r>
          </w:p>
        </w:tc>
        <w:tc>
          <w:tcPr>
            <w:tcW w:w="334" w:type="pct"/>
            <w:tcBorders>
              <w:top w:val="nil"/>
              <w:left w:val="nil"/>
              <w:bottom w:val="single" w:sz="8" w:space="0" w:color="auto"/>
              <w:right w:val="single" w:sz="8" w:space="0" w:color="auto"/>
            </w:tcBorders>
            <w:noWrap/>
            <w:vAlign w:val="center"/>
            <w:hideMark/>
          </w:tcPr>
          <w:p w14:paraId="73EBD262"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$16,978 </w:t>
            </w:r>
          </w:p>
        </w:tc>
        <w:tc>
          <w:tcPr>
            <w:tcW w:w="276" w:type="pct"/>
            <w:tcBorders>
              <w:top w:val="nil"/>
              <w:left w:val="nil"/>
              <w:bottom w:val="single" w:sz="8" w:space="0" w:color="auto"/>
              <w:right w:val="single" w:sz="8" w:space="0" w:color="auto"/>
            </w:tcBorders>
            <w:vAlign w:val="center"/>
            <w:hideMark/>
          </w:tcPr>
          <w:p w14:paraId="38F2FA7B"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$10,187 </w:t>
            </w:r>
          </w:p>
        </w:tc>
        <w:tc>
          <w:tcPr>
            <w:tcW w:w="391" w:type="pct"/>
            <w:gridSpan w:val="2"/>
            <w:tcBorders>
              <w:top w:val="nil"/>
              <w:left w:val="nil"/>
              <w:bottom w:val="single" w:sz="8" w:space="0" w:color="auto"/>
              <w:right w:val="single" w:sz="8" w:space="0" w:color="auto"/>
            </w:tcBorders>
            <w:noWrap/>
            <w:vAlign w:val="center"/>
            <w:hideMark/>
          </w:tcPr>
          <w:p w14:paraId="5C800458"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$339,558 </w:t>
            </w:r>
          </w:p>
        </w:tc>
        <w:tc>
          <w:tcPr>
            <w:tcW w:w="181" w:type="pct"/>
            <w:tcBorders>
              <w:top w:val="nil"/>
              <w:left w:val="nil"/>
              <w:bottom w:val="single" w:sz="8" w:space="0" w:color="auto"/>
              <w:right w:val="single" w:sz="8" w:space="0" w:color="auto"/>
            </w:tcBorders>
            <w:noWrap/>
            <w:vAlign w:val="center"/>
            <w:hideMark/>
          </w:tcPr>
          <w:p w14:paraId="36337EA2"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9</w:t>
            </w:r>
          </w:p>
        </w:tc>
      </w:tr>
      <w:tr w:rsidR="00170617" w:rsidRPr="002926D7" w14:paraId="34A92428" w14:textId="77777777" w:rsidTr="00170617">
        <w:trPr>
          <w:trHeight w:val="288"/>
          <w:jc w:val="center"/>
        </w:trPr>
        <w:tc>
          <w:tcPr>
            <w:tcW w:w="423" w:type="pct"/>
            <w:vMerge/>
            <w:tcBorders>
              <w:left w:val="single" w:sz="8" w:space="0" w:color="auto"/>
              <w:right w:val="single" w:sz="8" w:space="0" w:color="auto"/>
            </w:tcBorders>
            <w:vAlign w:val="center"/>
          </w:tcPr>
          <w:p w14:paraId="0D9BB434" w14:textId="3142CB85"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295CDAE0" w14:textId="0DCB6B40"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6A458EC0"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982519E"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781C328"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828CE8A"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50886B62"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74200</w:t>
            </w:r>
          </w:p>
        </w:tc>
        <w:tc>
          <w:tcPr>
            <w:tcW w:w="334" w:type="pct"/>
            <w:tcBorders>
              <w:top w:val="nil"/>
              <w:left w:val="nil"/>
              <w:bottom w:val="single" w:sz="8" w:space="0" w:color="auto"/>
              <w:right w:val="single" w:sz="8" w:space="0" w:color="auto"/>
            </w:tcBorders>
            <w:vAlign w:val="center"/>
            <w:hideMark/>
          </w:tcPr>
          <w:p w14:paraId="1C8C7422"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Audio Visual&amp;Print Prod Costs</w:t>
            </w:r>
          </w:p>
        </w:tc>
        <w:tc>
          <w:tcPr>
            <w:tcW w:w="363" w:type="pct"/>
            <w:tcBorders>
              <w:top w:val="nil"/>
              <w:left w:val="nil"/>
              <w:bottom w:val="single" w:sz="8" w:space="0" w:color="auto"/>
              <w:right w:val="single" w:sz="8" w:space="0" w:color="auto"/>
            </w:tcBorders>
            <w:noWrap/>
            <w:vAlign w:val="center"/>
            <w:hideMark/>
          </w:tcPr>
          <w:p w14:paraId="534FF48C"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$36,629 </w:t>
            </w:r>
          </w:p>
        </w:tc>
        <w:tc>
          <w:tcPr>
            <w:tcW w:w="364" w:type="pct"/>
            <w:tcBorders>
              <w:top w:val="nil"/>
              <w:left w:val="nil"/>
              <w:bottom w:val="single" w:sz="8" w:space="0" w:color="auto"/>
              <w:right w:val="single" w:sz="8" w:space="0" w:color="auto"/>
            </w:tcBorders>
            <w:noWrap/>
            <w:vAlign w:val="center"/>
            <w:hideMark/>
          </w:tcPr>
          <w:p w14:paraId="3D65818A"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$49,626 </w:t>
            </w:r>
          </w:p>
        </w:tc>
        <w:tc>
          <w:tcPr>
            <w:tcW w:w="333" w:type="pct"/>
            <w:tcBorders>
              <w:top w:val="nil"/>
              <w:left w:val="nil"/>
              <w:bottom w:val="single" w:sz="8" w:space="0" w:color="auto"/>
              <w:right w:val="single" w:sz="8" w:space="0" w:color="auto"/>
            </w:tcBorders>
            <w:noWrap/>
            <w:vAlign w:val="center"/>
            <w:hideMark/>
          </w:tcPr>
          <w:p w14:paraId="7A276D6F"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$22,450 </w:t>
            </w:r>
          </w:p>
        </w:tc>
        <w:tc>
          <w:tcPr>
            <w:tcW w:w="334" w:type="pct"/>
            <w:tcBorders>
              <w:top w:val="nil"/>
              <w:left w:val="nil"/>
              <w:bottom w:val="single" w:sz="8" w:space="0" w:color="auto"/>
              <w:right w:val="single" w:sz="8" w:space="0" w:color="auto"/>
            </w:tcBorders>
            <w:noWrap/>
            <w:vAlign w:val="center"/>
            <w:hideMark/>
          </w:tcPr>
          <w:p w14:paraId="559E4784"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$5,908 </w:t>
            </w:r>
          </w:p>
        </w:tc>
        <w:tc>
          <w:tcPr>
            <w:tcW w:w="276" w:type="pct"/>
            <w:tcBorders>
              <w:top w:val="nil"/>
              <w:left w:val="nil"/>
              <w:bottom w:val="single" w:sz="8" w:space="0" w:color="auto"/>
              <w:right w:val="single" w:sz="8" w:space="0" w:color="auto"/>
            </w:tcBorders>
            <w:vAlign w:val="center"/>
            <w:hideMark/>
          </w:tcPr>
          <w:p w14:paraId="342A6719"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$3,545 </w:t>
            </w:r>
          </w:p>
        </w:tc>
        <w:tc>
          <w:tcPr>
            <w:tcW w:w="391" w:type="pct"/>
            <w:gridSpan w:val="2"/>
            <w:tcBorders>
              <w:top w:val="nil"/>
              <w:left w:val="nil"/>
              <w:bottom w:val="single" w:sz="8" w:space="0" w:color="auto"/>
              <w:right w:val="single" w:sz="8" w:space="0" w:color="auto"/>
            </w:tcBorders>
            <w:noWrap/>
            <w:vAlign w:val="center"/>
            <w:hideMark/>
          </w:tcPr>
          <w:p w14:paraId="59C2033F"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$118,158 </w:t>
            </w:r>
          </w:p>
        </w:tc>
        <w:tc>
          <w:tcPr>
            <w:tcW w:w="181" w:type="pct"/>
            <w:tcBorders>
              <w:top w:val="nil"/>
              <w:left w:val="nil"/>
              <w:bottom w:val="single" w:sz="8" w:space="0" w:color="auto"/>
              <w:right w:val="single" w:sz="8" w:space="0" w:color="auto"/>
            </w:tcBorders>
            <w:noWrap/>
            <w:vAlign w:val="center"/>
            <w:hideMark/>
          </w:tcPr>
          <w:p w14:paraId="03036793"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18</w:t>
            </w:r>
          </w:p>
        </w:tc>
      </w:tr>
      <w:tr w:rsidR="00170617" w:rsidRPr="002926D7" w14:paraId="790175DB" w14:textId="77777777" w:rsidTr="00170617">
        <w:trPr>
          <w:trHeight w:val="288"/>
          <w:jc w:val="center"/>
        </w:trPr>
        <w:tc>
          <w:tcPr>
            <w:tcW w:w="423" w:type="pct"/>
            <w:vMerge/>
            <w:tcBorders>
              <w:left w:val="single" w:sz="8" w:space="0" w:color="auto"/>
              <w:right w:val="single" w:sz="8" w:space="0" w:color="auto"/>
            </w:tcBorders>
            <w:vAlign w:val="center"/>
          </w:tcPr>
          <w:p w14:paraId="57DCDD63" w14:textId="5D4B5374"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4F25FB0D" w14:textId="32069333"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7F1D04A0"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7476557"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29076DC9"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D0B6DD2"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5A80D4CC"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74500</w:t>
            </w:r>
          </w:p>
        </w:tc>
        <w:tc>
          <w:tcPr>
            <w:tcW w:w="334" w:type="pct"/>
            <w:tcBorders>
              <w:top w:val="nil"/>
              <w:left w:val="nil"/>
              <w:bottom w:val="single" w:sz="8" w:space="0" w:color="auto"/>
              <w:right w:val="single" w:sz="8" w:space="0" w:color="auto"/>
            </w:tcBorders>
            <w:vAlign w:val="center"/>
            <w:hideMark/>
          </w:tcPr>
          <w:p w14:paraId="1B708934"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Miscellaneous Expenses</w:t>
            </w:r>
          </w:p>
        </w:tc>
        <w:tc>
          <w:tcPr>
            <w:tcW w:w="363" w:type="pct"/>
            <w:tcBorders>
              <w:top w:val="nil"/>
              <w:left w:val="nil"/>
              <w:bottom w:val="single" w:sz="8" w:space="0" w:color="auto"/>
              <w:right w:val="single" w:sz="8" w:space="0" w:color="auto"/>
            </w:tcBorders>
            <w:noWrap/>
            <w:vAlign w:val="center"/>
            <w:hideMark/>
          </w:tcPr>
          <w:p w14:paraId="474C435E"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$45,875 </w:t>
            </w:r>
          </w:p>
        </w:tc>
        <w:tc>
          <w:tcPr>
            <w:tcW w:w="364" w:type="pct"/>
            <w:tcBorders>
              <w:top w:val="nil"/>
              <w:left w:val="nil"/>
              <w:bottom w:val="single" w:sz="8" w:space="0" w:color="auto"/>
              <w:right w:val="single" w:sz="8" w:space="0" w:color="auto"/>
            </w:tcBorders>
            <w:noWrap/>
            <w:vAlign w:val="center"/>
            <w:hideMark/>
          </w:tcPr>
          <w:p w14:paraId="53C13ED2"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$62,153 </w:t>
            </w:r>
          </w:p>
        </w:tc>
        <w:tc>
          <w:tcPr>
            <w:tcW w:w="333" w:type="pct"/>
            <w:tcBorders>
              <w:top w:val="nil"/>
              <w:left w:val="nil"/>
              <w:bottom w:val="single" w:sz="8" w:space="0" w:color="auto"/>
              <w:right w:val="single" w:sz="8" w:space="0" w:color="auto"/>
            </w:tcBorders>
            <w:noWrap/>
            <w:vAlign w:val="center"/>
            <w:hideMark/>
          </w:tcPr>
          <w:p w14:paraId="3793D7AE"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$28,117 </w:t>
            </w:r>
          </w:p>
        </w:tc>
        <w:tc>
          <w:tcPr>
            <w:tcW w:w="334" w:type="pct"/>
            <w:tcBorders>
              <w:top w:val="nil"/>
              <w:left w:val="nil"/>
              <w:bottom w:val="single" w:sz="8" w:space="0" w:color="auto"/>
              <w:right w:val="single" w:sz="8" w:space="0" w:color="auto"/>
            </w:tcBorders>
            <w:noWrap/>
            <w:vAlign w:val="center"/>
            <w:hideMark/>
          </w:tcPr>
          <w:p w14:paraId="3DC5FC70"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$7,399 </w:t>
            </w:r>
          </w:p>
        </w:tc>
        <w:tc>
          <w:tcPr>
            <w:tcW w:w="276" w:type="pct"/>
            <w:tcBorders>
              <w:top w:val="nil"/>
              <w:left w:val="nil"/>
              <w:bottom w:val="single" w:sz="8" w:space="0" w:color="auto"/>
              <w:right w:val="single" w:sz="8" w:space="0" w:color="auto"/>
            </w:tcBorders>
            <w:vAlign w:val="center"/>
            <w:hideMark/>
          </w:tcPr>
          <w:p w14:paraId="6F722070"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$4,436 </w:t>
            </w:r>
          </w:p>
        </w:tc>
        <w:tc>
          <w:tcPr>
            <w:tcW w:w="391" w:type="pct"/>
            <w:gridSpan w:val="2"/>
            <w:tcBorders>
              <w:top w:val="nil"/>
              <w:left w:val="nil"/>
              <w:bottom w:val="single" w:sz="8" w:space="0" w:color="auto"/>
              <w:right w:val="single" w:sz="8" w:space="0" w:color="auto"/>
            </w:tcBorders>
            <w:noWrap/>
            <w:vAlign w:val="center"/>
            <w:hideMark/>
          </w:tcPr>
          <w:p w14:paraId="08535B08"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$147,980 </w:t>
            </w:r>
          </w:p>
        </w:tc>
        <w:tc>
          <w:tcPr>
            <w:tcW w:w="181" w:type="pct"/>
            <w:tcBorders>
              <w:top w:val="nil"/>
              <w:left w:val="nil"/>
              <w:bottom w:val="single" w:sz="8" w:space="0" w:color="auto"/>
              <w:right w:val="single" w:sz="8" w:space="0" w:color="auto"/>
            </w:tcBorders>
            <w:noWrap/>
            <w:vAlign w:val="center"/>
            <w:hideMark/>
          </w:tcPr>
          <w:p w14:paraId="00D7FC94"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11</w:t>
            </w:r>
          </w:p>
        </w:tc>
      </w:tr>
      <w:tr w:rsidR="00170617" w:rsidRPr="002926D7" w14:paraId="63F914F7" w14:textId="77777777" w:rsidTr="00170617">
        <w:trPr>
          <w:trHeight w:val="288"/>
          <w:jc w:val="center"/>
        </w:trPr>
        <w:tc>
          <w:tcPr>
            <w:tcW w:w="423" w:type="pct"/>
            <w:vMerge/>
            <w:tcBorders>
              <w:left w:val="single" w:sz="8" w:space="0" w:color="auto"/>
              <w:right w:val="single" w:sz="8" w:space="0" w:color="auto"/>
            </w:tcBorders>
            <w:vAlign w:val="center"/>
          </w:tcPr>
          <w:p w14:paraId="48134653" w14:textId="1C4804E5"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267DB598" w14:textId="3A3D6E0F"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3FAC6116"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53154CCD"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3303D12"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CA3CB42"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52B97639"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74700</w:t>
            </w:r>
          </w:p>
        </w:tc>
        <w:tc>
          <w:tcPr>
            <w:tcW w:w="334" w:type="pct"/>
            <w:tcBorders>
              <w:top w:val="nil"/>
              <w:left w:val="nil"/>
              <w:bottom w:val="single" w:sz="8" w:space="0" w:color="auto"/>
              <w:right w:val="single" w:sz="8" w:space="0" w:color="auto"/>
            </w:tcBorders>
            <w:vAlign w:val="center"/>
            <w:hideMark/>
          </w:tcPr>
          <w:p w14:paraId="2FF93AFB"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Transport, Shipping and handle</w:t>
            </w:r>
          </w:p>
        </w:tc>
        <w:tc>
          <w:tcPr>
            <w:tcW w:w="363" w:type="pct"/>
            <w:tcBorders>
              <w:top w:val="nil"/>
              <w:left w:val="nil"/>
              <w:bottom w:val="single" w:sz="8" w:space="0" w:color="auto"/>
              <w:right w:val="single" w:sz="8" w:space="0" w:color="auto"/>
            </w:tcBorders>
            <w:noWrap/>
            <w:vAlign w:val="center"/>
            <w:hideMark/>
          </w:tcPr>
          <w:p w14:paraId="07587399"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$14,753 </w:t>
            </w:r>
          </w:p>
        </w:tc>
        <w:tc>
          <w:tcPr>
            <w:tcW w:w="364" w:type="pct"/>
            <w:tcBorders>
              <w:top w:val="nil"/>
              <w:left w:val="nil"/>
              <w:bottom w:val="single" w:sz="8" w:space="0" w:color="auto"/>
              <w:right w:val="single" w:sz="8" w:space="0" w:color="auto"/>
            </w:tcBorders>
            <w:noWrap/>
            <w:vAlign w:val="center"/>
            <w:hideMark/>
          </w:tcPr>
          <w:p w14:paraId="675761D6"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$19,987 </w:t>
            </w:r>
          </w:p>
        </w:tc>
        <w:tc>
          <w:tcPr>
            <w:tcW w:w="333" w:type="pct"/>
            <w:tcBorders>
              <w:top w:val="nil"/>
              <w:left w:val="nil"/>
              <w:bottom w:val="single" w:sz="8" w:space="0" w:color="auto"/>
              <w:right w:val="single" w:sz="8" w:space="0" w:color="auto"/>
            </w:tcBorders>
            <w:noWrap/>
            <w:vAlign w:val="center"/>
            <w:hideMark/>
          </w:tcPr>
          <w:p w14:paraId="1E5143DC"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$9,042 </w:t>
            </w:r>
          </w:p>
        </w:tc>
        <w:tc>
          <w:tcPr>
            <w:tcW w:w="334" w:type="pct"/>
            <w:tcBorders>
              <w:top w:val="nil"/>
              <w:left w:val="nil"/>
              <w:bottom w:val="single" w:sz="8" w:space="0" w:color="auto"/>
              <w:right w:val="single" w:sz="8" w:space="0" w:color="auto"/>
            </w:tcBorders>
            <w:noWrap/>
            <w:vAlign w:val="center"/>
            <w:hideMark/>
          </w:tcPr>
          <w:p w14:paraId="2EA4FEBA"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$2,379 </w:t>
            </w:r>
          </w:p>
        </w:tc>
        <w:tc>
          <w:tcPr>
            <w:tcW w:w="276" w:type="pct"/>
            <w:tcBorders>
              <w:top w:val="nil"/>
              <w:left w:val="nil"/>
              <w:bottom w:val="single" w:sz="8" w:space="0" w:color="auto"/>
              <w:right w:val="single" w:sz="8" w:space="0" w:color="auto"/>
            </w:tcBorders>
            <w:vAlign w:val="center"/>
            <w:hideMark/>
          </w:tcPr>
          <w:p w14:paraId="0ACCFB11"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$1,428 </w:t>
            </w:r>
          </w:p>
        </w:tc>
        <w:tc>
          <w:tcPr>
            <w:tcW w:w="391" w:type="pct"/>
            <w:gridSpan w:val="2"/>
            <w:tcBorders>
              <w:top w:val="nil"/>
              <w:left w:val="nil"/>
              <w:bottom w:val="single" w:sz="8" w:space="0" w:color="auto"/>
              <w:right w:val="single" w:sz="8" w:space="0" w:color="auto"/>
            </w:tcBorders>
            <w:noWrap/>
            <w:vAlign w:val="center"/>
            <w:hideMark/>
          </w:tcPr>
          <w:p w14:paraId="74C87850"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$47,589 </w:t>
            </w:r>
          </w:p>
        </w:tc>
        <w:tc>
          <w:tcPr>
            <w:tcW w:w="181" w:type="pct"/>
            <w:tcBorders>
              <w:top w:val="nil"/>
              <w:left w:val="nil"/>
              <w:bottom w:val="single" w:sz="8" w:space="0" w:color="auto"/>
              <w:right w:val="single" w:sz="8" w:space="0" w:color="auto"/>
            </w:tcBorders>
            <w:noWrap/>
            <w:vAlign w:val="center"/>
            <w:hideMark/>
          </w:tcPr>
          <w:p w14:paraId="49BC9DA8"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19</w:t>
            </w:r>
          </w:p>
        </w:tc>
      </w:tr>
      <w:tr w:rsidR="00170617" w:rsidRPr="002926D7" w14:paraId="620BA426" w14:textId="77777777" w:rsidTr="00170617">
        <w:trPr>
          <w:trHeight w:val="288"/>
          <w:jc w:val="center"/>
        </w:trPr>
        <w:tc>
          <w:tcPr>
            <w:tcW w:w="423" w:type="pct"/>
            <w:vMerge/>
            <w:tcBorders>
              <w:left w:val="single" w:sz="8" w:space="0" w:color="auto"/>
              <w:right w:val="single" w:sz="8" w:space="0" w:color="auto"/>
            </w:tcBorders>
            <w:vAlign w:val="center"/>
          </w:tcPr>
          <w:p w14:paraId="65A626E3" w14:textId="58BF40C9"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322EC688" w14:textId="2D2A89C9"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478310BE"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0A2631DA"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6533017"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7068CF86"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7FEE3A8B"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61200</w:t>
            </w:r>
          </w:p>
        </w:tc>
        <w:tc>
          <w:tcPr>
            <w:tcW w:w="334" w:type="pct"/>
            <w:tcBorders>
              <w:top w:val="nil"/>
              <w:left w:val="nil"/>
              <w:bottom w:val="single" w:sz="8" w:space="0" w:color="auto"/>
              <w:right w:val="single" w:sz="8" w:space="0" w:color="auto"/>
            </w:tcBorders>
            <w:vAlign w:val="center"/>
            <w:hideMark/>
          </w:tcPr>
          <w:p w14:paraId="7148D1DE"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Salaries Costs - GS Staff</w:t>
            </w:r>
          </w:p>
        </w:tc>
        <w:tc>
          <w:tcPr>
            <w:tcW w:w="363" w:type="pct"/>
            <w:tcBorders>
              <w:top w:val="nil"/>
              <w:left w:val="nil"/>
              <w:bottom w:val="single" w:sz="8" w:space="0" w:color="auto"/>
              <w:right w:val="single" w:sz="8" w:space="0" w:color="auto"/>
            </w:tcBorders>
            <w:noWrap/>
            <w:vAlign w:val="center"/>
            <w:hideMark/>
          </w:tcPr>
          <w:p w14:paraId="11A816BB"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$272,758 </w:t>
            </w:r>
          </w:p>
        </w:tc>
        <w:tc>
          <w:tcPr>
            <w:tcW w:w="364" w:type="pct"/>
            <w:tcBorders>
              <w:top w:val="nil"/>
              <w:left w:val="nil"/>
              <w:bottom w:val="single" w:sz="8" w:space="0" w:color="auto"/>
              <w:right w:val="single" w:sz="8" w:space="0" w:color="auto"/>
            </w:tcBorders>
            <w:noWrap/>
            <w:vAlign w:val="center"/>
            <w:hideMark/>
          </w:tcPr>
          <w:p w14:paraId="787CB8C1"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$369,543 </w:t>
            </w:r>
          </w:p>
        </w:tc>
        <w:tc>
          <w:tcPr>
            <w:tcW w:w="333" w:type="pct"/>
            <w:tcBorders>
              <w:top w:val="nil"/>
              <w:left w:val="nil"/>
              <w:bottom w:val="single" w:sz="8" w:space="0" w:color="auto"/>
              <w:right w:val="single" w:sz="8" w:space="0" w:color="auto"/>
            </w:tcBorders>
            <w:noWrap/>
            <w:vAlign w:val="center"/>
            <w:hideMark/>
          </w:tcPr>
          <w:p w14:paraId="63C8C67D"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$167,174 </w:t>
            </w:r>
          </w:p>
        </w:tc>
        <w:tc>
          <w:tcPr>
            <w:tcW w:w="334" w:type="pct"/>
            <w:tcBorders>
              <w:top w:val="nil"/>
              <w:left w:val="nil"/>
              <w:bottom w:val="single" w:sz="8" w:space="0" w:color="auto"/>
              <w:right w:val="single" w:sz="8" w:space="0" w:color="auto"/>
            </w:tcBorders>
            <w:noWrap/>
            <w:vAlign w:val="center"/>
            <w:hideMark/>
          </w:tcPr>
          <w:p w14:paraId="28738559"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$43,993 </w:t>
            </w:r>
          </w:p>
        </w:tc>
        <w:tc>
          <w:tcPr>
            <w:tcW w:w="276" w:type="pct"/>
            <w:tcBorders>
              <w:top w:val="nil"/>
              <w:left w:val="nil"/>
              <w:bottom w:val="single" w:sz="8" w:space="0" w:color="auto"/>
              <w:right w:val="single" w:sz="8" w:space="0" w:color="auto"/>
            </w:tcBorders>
            <w:vAlign w:val="center"/>
            <w:hideMark/>
          </w:tcPr>
          <w:p w14:paraId="72CF7C4C"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$26,396 </w:t>
            </w:r>
          </w:p>
        </w:tc>
        <w:tc>
          <w:tcPr>
            <w:tcW w:w="391" w:type="pct"/>
            <w:gridSpan w:val="2"/>
            <w:tcBorders>
              <w:top w:val="nil"/>
              <w:left w:val="nil"/>
              <w:bottom w:val="single" w:sz="8" w:space="0" w:color="auto"/>
              <w:right w:val="single" w:sz="8" w:space="0" w:color="auto"/>
            </w:tcBorders>
            <w:noWrap/>
            <w:vAlign w:val="center"/>
            <w:hideMark/>
          </w:tcPr>
          <w:p w14:paraId="1CE06F11"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$879,864 </w:t>
            </w:r>
          </w:p>
        </w:tc>
        <w:tc>
          <w:tcPr>
            <w:tcW w:w="181" w:type="pct"/>
            <w:tcBorders>
              <w:top w:val="nil"/>
              <w:left w:val="nil"/>
              <w:bottom w:val="single" w:sz="8" w:space="0" w:color="auto"/>
              <w:right w:val="single" w:sz="8" w:space="0" w:color="auto"/>
            </w:tcBorders>
            <w:noWrap/>
            <w:vAlign w:val="center"/>
            <w:hideMark/>
          </w:tcPr>
          <w:p w14:paraId="6911919A"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4</w:t>
            </w:r>
          </w:p>
        </w:tc>
      </w:tr>
      <w:tr w:rsidR="00170617" w:rsidRPr="002926D7" w14:paraId="0E63A199" w14:textId="77777777" w:rsidTr="00170617">
        <w:trPr>
          <w:trHeight w:val="288"/>
          <w:jc w:val="center"/>
        </w:trPr>
        <w:tc>
          <w:tcPr>
            <w:tcW w:w="423" w:type="pct"/>
            <w:vMerge/>
            <w:tcBorders>
              <w:left w:val="single" w:sz="8" w:space="0" w:color="auto"/>
              <w:right w:val="single" w:sz="8" w:space="0" w:color="auto"/>
            </w:tcBorders>
            <w:vAlign w:val="center"/>
          </w:tcPr>
          <w:p w14:paraId="73A53286" w14:textId="13F96C3A"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right w:val="single" w:sz="8" w:space="0" w:color="auto"/>
            </w:tcBorders>
            <w:vAlign w:val="center"/>
          </w:tcPr>
          <w:p w14:paraId="23902E06" w14:textId="102BD4B8"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6D427305"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294374AA"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1BDF5C53" w14:textId="77777777" w:rsidR="00A25129" w:rsidRPr="002926D7" w:rsidRDefault="00A25129" w:rsidP="002926D7">
            <w:pPr>
              <w:contextualSpacing/>
              <w:jc w:val="left"/>
              <w:rPr>
                <w:rFonts w:eastAsia="Times New Roman" w:cs="Calibri"/>
                <w:i/>
                <w:iCs/>
                <w:color w:val="000000"/>
                <w:sz w:val="14"/>
                <w:szCs w:val="14"/>
              </w:rPr>
            </w:pPr>
          </w:p>
        </w:tc>
        <w:tc>
          <w:tcPr>
            <w:tcW w:w="273" w:type="pct"/>
            <w:vMerge/>
            <w:tcBorders>
              <w:top w:val="nil"/>
              <w:left w:val="single" w:sz="8" w:space="0" w:color="auto"/>
              <w:bottom w:val="single" w:sz="8" w:space="0" w:color="000000"/>
              <w:right w:val="single" w:sz="8" w:space="0" w:color="auto"/>
            </w:tcBorders>
            <w:vAlign w:val="center"/>
            <w:hideMark/>
          </w:tcPr>
          <w:p w14:paraId="62E5A954" w14:textId="77777777" w:rsidR="00A25129" w:rsidRPr="002926D7" w:rsidRDefault="00A25129" w:rsidP="002926D7">
            <w:pPr>
              <w:ind w:right="-8"/>
              <w:contextualSpacing/>
              <w:jc w:val="left"/>
              <w:rPr>
                <w:rFonts w:eastAsia="Times New Roman" w:cs="Calibri"/>
                <w:i/>
                <w:iCs/>
                <w:color w:val="000000"/>
                <w:sz w:val="14"/>
                <w:szCs w:val="14"/>
              </w:rPr>
            </w:pPr>
          </w:p>
        </w:tc>
        <w:tc>
          <w:tcPr>
            <w:tcW w:w="275" w:type="pct"/>
            <w:tcBorders>
              <w:top w:val="nil"/>
              <w:left w:val="nil"/>
              <w:bottom w:val="single" w:sz="8" w:space="0" w:color="auto"/>
              <w:right w:val="single" w:sz="8" w:space="0" w:color="auto"/>
            </w:tcBorders>
            <w:vAlign w:val="center"/>
            <w:hideMark/>
          </w:tcPr>
          <w:p w14:paraId="1F9DD8CE"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61300</w:t>
            </w:r>
          </w:p>
        </w:tc>
        <w:tc>
          <w:tcPr>
            <w:tcW w:w="334" w:type="pct"/>
            <w:tcBorders>
              <w:top w:val="nil"/>
              <w:left w:val="nil"/>
              <w:bottom w:val="single" w:sz="8" w:space="0" w:color="auto"/>
              <w:right w:val="single" w:sz="8" w:space="0" w:color="auto"/>
            </w:tcBorders>
            <w:vAlign w:val="center"/>
            <w:hideMark/>
          </w:tcPr>
          <w:p w14:paraId="05930FC9" w14:textId="77777777" w:rsidR="00A25129" w:rsidRPr="002926D7" w:rsidRDefault="00A25129" w:rsidP="002926D7">
            <w:pPr>
              <w:contextualSpacing/>
              <w:jc w:val="center"/>
              <w:rPr>
                <w:rFonts w:eastAsia="Times New Roman" w:cs="Calibri"/>
                <w:i/>
                <w:iCs/>
                <w:color w:val="000000"/>
                <w:sz w:val="14"/>
                <w:szCs w:val="14"/>
              </w:rPr>
            </w:pPr>
            <w:r w:rsidRPr="002926D7">
              <w:rPr>
                <w:rFonts w:eastAsia="Times New Roman" w:cs="Calibri"/>
                <w:i/>
                <w:iCs/>
                <w:color w:val="000000"/>
                <w:sz w:val="14"/>
                <w:szCs w:val="14"/>
              </w:rPr>
              <w:t xml:space="preserve"> Salary &amp; Post Adj Cst-IP Staff</w:t>
            </w:r>
          </w:p>
        </w:tc>
        <w:tc>
          <w:tcPr>
            <w:tcW w:w="363" w:type="pct"/>
            <w:tcBorders>
              <w:top w:val="nil"/>
              <w:left w:val="nil"/>
              <w:bottom w:val="single" w:sz="8" w:space="0" w:color="auto"/>
              <w:right w:val="single" w:sz="8" w:space="0" w:color="auto"/>
            </w:tcBorders>
            <w:noWrap/>
            <w:vAlign w:val="center"/>
            <w:hideMark/>
          </w:tcPr>
          <w:p w14:paraId="75D1474A"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$368,503 </w:t>
            </w:r>
          </w:p>
        </w:tc>
        <w:tc>
          <w:tcPr>
            <w:tcW w:w="364" w:type="pct"/>
            <w:tcBorders>
              <w:top w:val="nil"/>
              <w:left w:val="nil"/>
              <w:bottom w:val="single" w:sz="8" w:space="0" w:color="auto"/>
              <w:right w:val="single" w:sz="8" w:space="0" w:color="auto"/>
            </w:tcBorders>
            <w:noWrap/>
            <w:vAlign w:val="center"/>
            <w:hideMark/>
          </w:tcPr>
          <w:p w14:paraId="78A8E7B4"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$499,262 </w:t>
            </w:r>
          </w:p>
        </w:tc>
        <w:tc>
          <w:tcPr>
            <w:tcW w:w="333" w:type="pct"/>
            <w:tcBorders>
              <w:top w:val="nil"/>
              <w:left w:val="nil"/>
              <w:bottom w:val="single" w:sz="8" w:space="0" w:color="auto"/>
              <w:right w:val="single" w:sz="8" w:space="0" w:color="auto"/>
            </w:tcBorders>
            <w:noWrap/>
            <w:vAlign w:val="center"/>
            <w:hideMark/>
          </w:tcPr>
          <w:p w14:paraId="02CDCE1E"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$225,857 </w:t>
            </w:r>
          </w:p>
        </w:tc>
        <w:tc>
          <w:tcPr>
            <w:tcW w:w="334" w:type="pct"/>
            <w:tcBorders>
              <w:top w:val="nil"/>
              <w:left w:val="nil"/>
              <w:bottom w:val="single" w:sz="8" w:space="0" w:color="auto"/>
              <w:right w:val="single" w:sz="8" w:space="0" w:color="auto"/>
            </w:tcBorders>
            <w:noWrap/>
            <w:vAlign w:val="center"/>
            <w:hideMark/>
          </w:tcPr>
          <w:p w14:paraId="2C6913C4"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$59,436 </w:t>
            </w:r>
          </w:p>
        </w:tc>
        <w:tc>
          <w:tcPr>
            <w:tcW w:w="276" w:type="pct"/>
            <w:tcBorders>
              <w:top w:val="nil"/>
              <w:left w:val="nil"/>
              <w:bottom w:val="single" w:sz="8" w:space="0" w:color="auto"/>
              <w:right w:val="single" w:sz="8" w:space="0" w:color="auto"/>
            </w:tcBorders>
            <w:vAlign w:val="center"/>
            <w:hideMark/>
          </w:tcPr>
          <w:p w14:paraId="562808E4"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$35,662 </w:t>
            </w:r>
          </w:p>
        </w:tc>
        <w:tc>
          <w:tcPr>
            <w:tcW w:w="391" w:type="pct"/>
            <w:gridSpan w:val="2"/>
            <w:tcBorders>
              <w:top w:val="nil"/>
              <w:left w:val="nil"/>
              <w:bottom w:val="single" w:sz="8" w:space="0" w:color="auto"/>
              <w:right w:val="single" w:sz="8" w:space="0" w:color="auto"/>
            </w:tcBorders>
            <w:noWrap/>
            <w:vAlign w:val="center"/>
            <w:hideMark/>
          </w:tcPr>
          <w:p w14:paraId="58E9F6A2"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xml:space="preserve">$1,188,720 </w:t>
            </w:r>
          </w:p>
        </w:tc>
        <w:tc>
          <w:tcPr>
            <w:tcW w:w="181" w:type="pct"/>
            <w:tcBorders>
              <w:top w:val="nil"/>
              <w:left w:val="nil"/>
              <w:bottom w:val="single" w:sz="8" w:space="0" w:color="auto"/>
              <w:right w:val="single" w:sz="8" w:space="0" w:color="auto"/>
            </w:tcBorders>
            <w:noWrap/>
            <w:vAlign w:val="center"/>
            <w:hideMark/>
          </w:tcPr>
          <w:p w14:paraId="22A77C98" w14:textId="77777777" w:rsidR="00A25129" w:rsidRPr="002926D7" w:rsidRDefault="00A25129" w:rsidP="002926D7">
            <w:pPr>
              <w:contextualSpacing/>
              <w:jc w:val="center"/>
              <w:rPr>
                <w:rFonts w:eastAsia="Times New Roman" w:cs="Calibri"/>
                <w:color w:val="000000"/>
                <w:sz w:val="14"/>
                <w:szCs w:val="14"/>
              </w:rPr>
            </w:pPr>
            <w:r w:rsidRPr="002926D7">
              <w:rPr>
                <w:rFonts w:eastAsia="Times New Roman" w:cs="Calibri"/>
                <w:color w:val="000000"/>
                <w:sz w:val="14"/>
                <w:szCs w:val="14"/>
              </w:rPr>
              <w:t>4</w:t>
            </w:r>
          </w:p>
        </w:tc>
      </w:tr>
      <w:tr w:rsidR="00170617" w:rsidRPr="002926D7" w14:paraId="5CCC7225" w14:textId="77777777" w:rsidTr="00170617">
        <w:trPr>
          <w:trHeight w:val="288"/>
          <w:jc w:val="center"/>
        </w:trPr>
        <w:tc>
          <w:tcPr>
            <w:tcW w:w="423" w:type="pct"/>
            <w:vMerge/>
            <w:tcBorders>
              <w:left w:val="single" w:sz="8" w:space="0" w:color="auto"/>
              <w:right w:val="single" w:sz="8" w:space="0" w:color="auto"/>
            </w:tcBorders>
            <w:vAlign w:val="center"/>
          </w:tcPr>
          <w:p w14:paraId="1F3B1DE9" w14:textId="3A0FD66A" w:rsidR="00A25129" w:rsidRPr="002926D7" w:rsidRDefault="00A25129" w:rsidP="002926D7">
            <w:pPr>
              <w:contextualSpacing/>
              <w:jc w:val="left"/>
              <w:rPr>
                <w:rFonts w:eastAsia="Times New Roman" w:cs="Calibri"/>
                <w:i/>
                <w:iCs/>
                <w:color w:val="000000"/>
                <w:sz w:val="14"/>
                <w:szCs w:val="14"/>
              </w:rPr>
            </w:pPr>
          </w:p>
        </w:tc>
        <w:tc>
          <w:tcPr>
            <w:tcW w:w="454" w:type="pct"/>
            <w:vMerge/>
            <w:tcBorders>
              <w:left w:val="nil"/>
              <w:bottom w:val="nil"/>
              <w:right w:val="single" w:sz="8" w:space="0" w:color="auto"/>
            </w:tcBorders>
            <w:vAlign w:val="center"/>
            <w:hideMark/>
          </w:tcPr>
          <w:p w14:paraId="39F73761" w14:textId="19FBF9E8" w:rsidR="00A25129" w:rsidRPr="002926D7" w:rsidRDefault="00A25129" w:rsidP="002926D7">
            <w:pPr>
              <w:contextualSpacing/>
              <w:jc w:val="left"/>
              <w:rPr>
                <w:rFonts w:eastAsia="Times New Roman" w:cs="Calibri"/>
                <w:i/>
                <w:iCs/>
                <w:color w:val="000000"/>
                <w:sz w:val="14"/>
                <w:szCs w:val="14"/>
              </w:rPr>
            </w:pPr>
          </w:p>
        </w:tc>
        <w:tc>
          <w:tcPr>
            <w:tcW w:w="454" w:type="pct"/>
            <w:vMerge/>
            <w:tcBorders>
              <w:top w:val="nil"/>
              <w:left w:val="single" w:sz="8" w:space="0" w:color="auto"/>
              <w:bottom w:val="single" w:sz="8" w:space="0" w:color="000000"/>
              <w:right w:val="single" w:sz="8" w:space="0" w:color="auto"/>
            </w:tcBorders>
            <w:vAlign w:val="center"/>
            <w:hideMark/>
          </w:tcPr>
          <w:p w14:paraId="5C1465DE" w14:textId="77777777" w:rsidR="00A25129" w:rsidRPr="002926D7" w:rsidRDefault="00A25129" w:rsidP="002926D7">
            <w:pPr>
              <w:contextualSpacing/>
              <w:jc w:val="left"/>
              <w:rPr>
                <w:rFonts w:eastAsia="Times New Roman" w:cs="Calibri"/>
                <w:i/>
                <w:iCs/>
                <w:color w:val="000000"/>
                <w:sz w:val="14"/>
                <w:szCs w:val="14"/>
              </w:rPr>
            </w:pPr>
          </w:p>
        </w:tc>
        <w:tc>
          <w:tcPr>
            <w:tcW w:w="1428" w:type="pct"/>
            <w:gridSpan w:val="5"/>
            <w:tcBorders>
              <w:top w:val="single" w:sz="8" w:space="0" w:color="auto"/>
              <w:left w:val="nil"/>
              <w:bottom w:val="single" w:sz="8" w:space="0" w:color="auto"/>
              <w:right w:val="nil"/>
            </w:tcBorders>
            <w:vAlign w:val="center"/>
            <w:hideMark/>
          </w:tcPr>
          <w:p w14:paraId="1594E97E" w14:textId="77777777" w:rsidR="00A25129" w:rsidRPr="002926D7" w:rsidRDefault="00A25129" w:rsidP="002926D7">
            <w:pPr>
              <w:ind w:right="-8"/>
              <w:contextualSpacing/>
              <w:rPr>
                <w:rFonts w:eastAsia="Times New Roman" w:cs="Calibri"/>
                <w:b/>
                <w:bCs/>
                <w:i/>
                <w:iCs/>
                <w:color w:val="000000"/>
                <w:sz w:val="14"/>
                <w:szCs w:val="14"/>
              </w:rPr>
            </w:pPr>
            <w:r w:rsidRPr="002926D7">
              <w:rPr>
                <w:rFonts w:eastAsia="Times New Roman" w:cs="Calibri"/>
                <w:b/>
                <w:bCs/>
                <w:i/>
                <w:iCs/>
                <w:color w:val="000000"/>
                <w:sz w:val="14"/>
                <w:szCs w:val="14"/>
              </w:rPr>
              <w:t>Total UNDP</w:t>
            </w:r>
          </w:p>
        </w:tc>
        <w:tc>
          <w:tcPr>
            <w:tcW w:w="363" w:type="pct"/>
            <w:tcBorders>
              <w:top w:val="nil"/>
              <w:left w:val="nil"/>
              <w:bottom w:val="single" w:sz="8" w:space="0" w:color="auto"/>
              <w:right w:val="single" w:sz="8" w:space="0" w:color="auto"/>
            </w:tcBorders>
            <w:noWrap/>
            <w:vAlign w:val="center"/>
            <w:hideMark/>
          </w:tcPr>
          <w:p w14:paraId="0CCE3336"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$3,556,170 </w:t>
            </w:r>
          </w:p>
        </w:tc>
        <w:tc>
          <w:tcPr>
            <w:tcW w:w="364" w:type="pct"/>
            <w:tcBorders>
              <w:top w:val="nil"/>
              <w:left w:val="nil"/>
              <w:bottom w:val="single" w:sz="8" w:space="0" w:color="auto"/>
              <w:right w:val="single" w:sz="8" w:space="0" w:color="auto"/>
            </w:tcBorders>
            <w:noWrap/>
            <w:vAlign w:val="center"/>
            <w:hideMark/>
          </w:tcPr>
          <w:p w14:paraId="5D8F4714"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$4,818,033 </w:t>
            </w:r>
          </w:p>
        </w:tc>
        <w:tc>
          <w:tcPr>
            <w:tcW w:w="333" w:type="pct"/>
            <w:tcBorders>
              <w:top w:val="nil"/>
              <w:left w:val="nil"/>
              <w:bottom w:val="single" w:sz="8" w:space="0" w:color="auto"/>
              <w:right w:val="single" w:sz="8" w:space="0" w:color="auto"/>
            </w:tcBorders>
            <w:noWrap/>
            <w:vAlign w:val="center"/>
            <w:hideMark/>
          </w:tcPr>
          <w:p w14:paraId="5CA6A766"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$2,179,588 </w:t>
            </w:r>
          </w:p>
        </w:tc>
        <w:tc>
          <w:tcPr>
            <w:tcW w:w="334" w:type="pct"/>
            <w:tcBorders>
              <w:top w:val="nil"/>
              <w:left w:val="nil"/>
              <w:bottom w:val="single" w:sz="8" w:space="0" w:color="auto"/>
              <w:right w:val="single" w:sz="8" w:space="0" w:color="auto"/>
            </w:tcBorders>
            <w:noWrap/>
            <w:vAlign w:val="center"/>
            <w:hideMark/>
          </w:tcPr>
          <w:p w14:paraId="0070EBCB"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$573,576 </w:t>
            </w:r>
          </w:p>
        </w:tc>
        <w:tc>
          <w:tcPr>
            <w:tcW w:w="276" w:type="pct"/>
            <w:tcBorders>
              <w:top w:val="nil"/>
              <w:left w:val="nil"/>
              <w:bottom w:val="single" w:sz="8" w:space="0" w:color="auto"/>
              <w:right w:val="single" w:sz="8" w:space="0" w:color="auto"/>
            </w:tcBorders>
            <w:noWrap/>
            <w:vAlign w:val="center"/>
            <w:hideMark/>
          </w:tcPr>
          <w:p w14:paraId="07128844"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$344,143 </w:t>
            </w:r>
          </w:p>
        </w:tc>
        <w:tc>
          <w:tcPr>
            <w:tcW w:w="391" w:type="pct"/>
            <w:gridSpan w:val="2"/>
            <w:tcBorders>
              <w:top w:val="nil"/>
              <w:left w:val="nil"/>
              <w:bottom w:val="single" w:sz="8" w:space="0" w:color="auto"/>
              <w:right w:val="single" w:sz="8" w:space="0" w:color="auto"/>
            </w:tcBorders>
            <w:noWrap/>
            <w:vAlign w:val="center"/>
            <w:hideMark/>
          </w:tcPr>
          <w:p w14:paraId="6D02510C"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$11,471,509 </w:t>
            </w:r>
          </w:p>
        </w:tc>
        <w:tc>
          <w:tcPr>
            <w:tcW w:w="181" w:type="pct"/>
            <w:tcBorders>
              <w:top w:val="nil"/>
              <w:left w:val="nil"/>
              <w:bottom w:val="single" w:sz="8" w:space="0" w:color="auto"/>
              <w:right w:val="single" w:sz="8" w:space="0" w:color="auto"/>
            </w:tcBorders>
            <w:noWrap/>
            <w:vAlign w:val="center"/>
            <w:hideMark/>
          </w:tcPr>
          <w:p w14:paraId="0CEC357B"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3E0D6AE2" w14:textId="77777777" w:rsidTr="00170617">
        <w:trPr>
          <w:trHeight w:val="288"/>
          <w:jc w:val="center"/>
        </w:trPr>
        <w:tc>
          <w:tcPr>
            <w:tcW w:w="423" w:type="pct"/>
            <w:vMerge/>
            <w:tcBorders>
              <w:left w:val="single" w:sz="8" w:space="0" w:color="auto"/>
              <w:bottom w:val="nil"/>
              <w:right w:val="single" w:sz="8" w:space="0" w:color="auto"/>
            </w:tcBorders>
            <w:vAlign w:val="center"/>
            <w:hideMark/>
          </w:tcPr>
          <w:p w14:paraId="2A43D3B4" w14:textId="7E62CDC2" w:rsidR="00A25129" w:rsidRPr="002926D7" w:rsidRDefault="00A25129" w:rsidP="002926D7">
            <w:pPr>
              <w:contextualSpacing/>
              <w:jc w:val="left"/>
              <w:rPr>
                <w:rFonts w:eastAsia="Times New Roman" w:cs="Calibri"/>
                <w:i/>
                <w:iCs/>
                <w:color w:val="000000"/>
                <w:sz w:val="14"/>
                <w:szCs w:val="14"/>
              </w:rPr>
            </w:pPr>
          </w:p>
        </w:tc>
        <w:tc>
          <w:tcPr>
            <w:tcW w:w="2335" w:type="pct"/>
            <w:gridSpan w:val="7"/>
            <w:tcBorders>
              <w:top w:val="single" w:sz="8" w:space="0" w:color="auto"/>
              <w:left w:val="nil"/>
              <w:bottom w:val="single" w:sz="8" w:space="0" w:color="auto"/>
              <w:right w:val="nil"/>
            </w:tcBorders>
            <w:vAlign w:val="center"/>
            <w:hideMark/>
          </w:tcPr>
          <w:p w14:paraId="071D6734" w14:textId="77777777" w:rsidR="00A25129" w:rsidRPr="002926D7" w:rsidRDefault="00A25129" w:rsidP="002926D7">
            <w:pPr>
              <w:ind w:right="-8"/>
              <w:contextualSpacing/>
              <w:jc w:val="left"/>
              <w:rPr>
                <w:rFonts w:eastAsia="Times New Roman" w:cs="Calibri"/>
                <w:i/>
                <w:iCs/>
                <w:color w:val="000000"/>
                <w:sz w:val="14"/>
                <w:szCs w:val="14"/>
              </w:rPr>
            </w:pPr>
            <w:r w:rsidRPr="002926D7">
              <w:rPr>
                <w:rFonts w:eastAsia="Times New Roman" w:cs="Calibri"/>
                <w:i/>
                <w:iCs/>
                <w:color w:val="000000"/>
                <w:sz w:val="14"/>
                <w:szCs w:val="14"/>
              </w:rPr>
              <w:t>Total Project Management Cost</w:t>
            </w:r>
          </w:p>
        </w:tc>
        <w:tc>
          <w:tcPr>
            <w:tcW w:w="363" w:type="pct"/>
            <w:tcBorders>
              <w:top w:val="nil"/>
              <w:left w:val="nil"/>
              <w:bottom w:val="single" w:sz="8" w:space="0" w:color="auto"/>
              <w:right w:val="single" w:sz="8" w:space="0" w:color="auto"/>
            </w:tcBorders>
            <w:noWrap/>
            <w:vAlign w:val="center"/>
            <w:hideMark/>
          </w:tcPr>
          <w:p w14:paraId="0E0CDBF5" w14:textId="77777777" w:rsidR="00A25129" w:rsidRPr="002926D7" w:rsidRDefault="00A25129" w:rsidP="002926D7">
            <w:pPr>
              <w:ind w:left="-75"/>
              <w:contextualSpacing/>
              <w:rPr>
                <w:rFonts w:eastAsia="Times New Roman" w:cs="Calibri"/>
                <w:b/>
                <w:bCs/>
                <w:color w:val="000000"/>
                <w:sz w:val="14"/>
                <w:szCs w:val="14"/>
              </w:rPr>
            </w:pPr>
            <w:r w:rsidRPr="002926D7">
              <w:rPr>
                <w:rFonts w:eastAsia="Times New Roman" w:cs="Calibri"/>
                <w:b/>
                <w:bCs/>
                <w:color w:val="000000"/>
                <w:sz w:val="14"/>
                <w:szCs w:val="14"/>
              </w:rPr>
              <w:t xml:space="preserve">$3,556,170 </w:t>
            </w:r>
          </w:p>
        </w:tc>
        <w:tc>
          <w:tcPr>
            <w:tcW w:w="364" w:type="pct"/>
            <w:tcBorders>
              <w:top w:val="nil"/>
              <w:left w:val="nil"/>
              <w:bottom w:val="single" w:sz="8" w:space="0" w:color="auto"/>
              <w:right w:val="single" w:sz="8" w:space="0" w:color="auto"/>
            </w:tcBorders>
            <w:noWrap/>
            <w:vAlign w:val="center"/>
            <w:hideMark/>
          </w:tcPr>
          <w:p w14:paraId="1E5F03F9"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$4,818,033 </w:t>
            </w:r>
          </w:p>
        </w:tc>
        <w:tc>
          <w:tcPr>
            <w:tcW w:w="333" w:type="pct"/>
            <w:tcBorders>
              <w:top w:val="nil"/>
              <w:left w:val="nil"/>
              <w:bottom w:val="single" w:sz="8" w:space="0" w:color="auto"/>
              <w:right w:val="single" w:sz="8" w:space="0" w:color="auto"/>
            </w:tcBorders>
            <w:noWrap/>
            <w:vAlign w:val="center"/>
            <w:hideMark/>
          </w:tcPr>
          <w:p w14:paraId="3E282340"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$2,179,588 </w:t>
            </w:r>
          </w:p>
        </w:tc>
        <w:tc>
          <w:tcPr>
            <w:tcW w:w="334" w:type="pct"/>
            <w:tcBorders>
              <w:top w:val="nil"/>
              <w:left w:val="nil"/>
              <w:bottom w:val="single" w:sz="8" w:space="0" w:color="auto"/>
              <w:right w:val="single" w:sz="8" w:space="0" w:color="auto"/>
            </w:tcBorders>
            <w:noWrap/>
            <w:vAlign w:val="center"/>
            <w:hideMark/>
          </w:tcPr>
          <w:p w14:paraId="24DD2625"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$573,576 </w:t>
            </w:r>
          </w:p>
        </w:tc>
        <w:tc>
          <w:tcPr>
            <w:tcW w:w="279" w:type="pct"/>
            <w:gridSpan w:val="2"/>
            <w:tcBorders>
              <w:top w:val="nil"/>
              <w:left w:val="nil"/>
              <w:bottom w:val="single" w:sz="8" w:space="0" w:color="auto"/>
              <w:right w:val="single" w:sz="8" w:space="0" w:color="auto"/>
            </w:tcBorders>
            <w:noWrap/>
            <w:vAlign w:val="center"/>
            <w:hideMark/>
          </w:tcPr>
          <w:p w14:paraId="530D0F64"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$344,143 </w:t>
            </w:r>
          </w:p>
        </w:tc>
        <w:tc>
          <w:tcPr>
            <w:tcW w:w="388" w:type="pct"/>
            <w:tcBorders>
              <w:top w:val="nil"/>
              <w:left w:val="nil"/>
              <w:bottom w:val="single" w:sz="8" w:space="0" w:color="auto"/>
              <w:right w:val="single" w:sz="8" w:space="0" w:color="auto"/>
            </w:tcBorders>
            <w:noWrap/>
            <w:vAlign w:val="center"/>
            <w:hideMark/>
          </w:tcPr>
          <w:p w14:paraId="371440C7" w14:textId="77777777" w:rsidR="00A25129" w:rsidRPr="002926D7" w:rsidRDefault="00A25129"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$11,471,509 </w:t>
            </w:r>
          </w:p>
        </w:tc>
        <w:tc>
          <w:tcPr>
            <w:tcW w:w="181" w:type="pct"/>
            <w:tcBorders>
              <w:top w:val="nil"/>
              <w:left w:val="nil"/>
              <w:bottom w:val="single" w:sz="8" w:space="0" w:color="auto"/>
              <w:right w:val="single" w:sz="8" w:space="0" w:color="auto"/>
            </w:tcBorders>
            <w:noWrap/>
            <w:vAlign w:val="center"/>
            <w:hideMark/>
          </w:tcPr>
          <w:p w14:paraId="1F05D6C8" w14:textId="77777777" w:rsidR="00A25129" w:rsidRPr="002926D7" w:rsidRDefault="00A25129" w:rsidP="002926D7">
            <w:pPr>
              <w:contextualSpacing/>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133B5409" w14:textId="77777777" w:rsidTr="00170617">
        <w:trPr>
          <w:trHeight w:val="288"/>
          <w:jc w:val="center"/>
        </w:trPr>
        <w:tc>
          <w:tcPr>
            <w:tcW w:w="2758" w:type="pct"/>
            <w:gridSpan w:val="8"/>
            <w:tcBorders>
              <w:top w:val="single" w:sz="8" w:space="0" w:color="auto"/>
              <w:left w:val="single" w:sz="8" w:space="0" w:color="auto"/>
              <w:bottom w:val="single" w:sz="8" w:space="0" w:color="auto"/>
              <w:right w:val="nil"/>
            </w:tcBorders>
            <w:vAlign w:val="center"/>
            <w:hideMark/>
          </w:tcPr>
          <w:p w14:paraId="23CA2ABB" w14:textId="77777777" w:rsidR="00F77F6C" w:rsidRPr="002926D7" w:rsidRDefault="00F77F6C" w:rsidP="002926D7">
            <w:pPr>
              <w:ind w:right="-8"/>
              <w:contextualSpacing/>
              <w:rPr>
                <w:rFonts w:eastAsia="Times New Roman" w:cs="Calibri"/>
                <w:i/>
                <w:iCs/>
                <w:color w:val="000000"/>
                <w:sz w:val="14"/>
                <w:szCs w:val="14"/>
              </w:rPr>
            </w:pPr>
            <w:r w:rsidRPr="002926D7">
              <w:rPr>
                <w:rFonts w:eastAsia="Times New Roman" w:cs="Calibri"/>
                <w:i/>
                <w:iCs/>
                <w:color w:val="000000"/>
                <w:sz w:val="14"/>
                <w:szCs w:val="14"/>
              </w:rPr>
              <w:t>Total Project Grant</w:t>
            </w:r>
          </w:p>
        </w:tc>
        <w:tc>
          <w:tcPr>
            <w:tcW w:w="363" w:type="pct"/>
            <w:tcBorders>
              <w:top w:val="nil"/>
              <w:left w:val="nil"/>
              <w:bottom w:val="single" w:sz="8" w:space="0" w:color="auto"/>
              <w:right w:val="single" w:sz="8" w:space="0" w:color="auto"/>
            </w:tcBorders>
            <w:noWrap/>
            <w:vAlign w:val="center"/>
            <w:hideMark/>
          </w:tcPr>
          <w:p w14:paraId="1DD61E7A" w14:textId="77777777" w:rsidR="00F77F6C" w:rsidRPr="002926D7" w:rsidRDefault="00F77F6C" w:rsidP="002926D7">
            <w:pPr>
              <w:ind w:left="-75"/>
              <w:contextualSpacing/>
              <w:rPr>
                <w:rFonts w:eastAsia="Times New Roman" w:cs="Calibri"/>
                <w:color w:val="000000"/>
                <w:sz w:val="14"/>
                <w:szCs w:val="14"/>
              </w:rPr>
            </w:pPr>
            <w:r w:rsidRPr="002926D7">
              <w:rPr>
                <w:rFonts w:eastAsia="Times New Roman" w:cs="Calibri"/>
                <w:color w:val="000000"/>
                <w:sz w:val="14"/>
                <w:szCs w:val="14"/>
              </w:rPr>
              <w:t xml:space="preserve">$16,079,468 </w:t>
            </w:r>
          </w:p>
        </w:tc>
        <w:tc>
          <w:tcPr>
            <w:tcW w:w="364" w:type="pct"/>
            <w:tcBorders>
              <w:top w:val="nil"/>
              <w:left w:val="nil"/>
              <w:bottom w:val="single" w:sz="8" w:space="0" w:color="auto"/>
              <w:right w:val="single" w:sz="8" w:space="0" w:color="auto"/>
            </w:tcBorders>
            <w:noWrap/>
            <w:vAlign w:val="center"/>
            <w:hideMark/>
          </w:tcPr>
          <w:p w14:paraId="3A5C004B" w14:textId="77777777" w:rsidR="00F77F6C" w:rsidRPr="002926D7" w:rsidRDefault="00F77F6C" w:rsidP="002926D7">
            <w:pPr>
              <w:contextualSpacing/>
              <w:rPr>
                <w:rFonts w:eastAsia="Times New Roman" w:cs="Calibri"/>
                <w:color w:val="000000"/>
                <w:sz w:val="14"/>
                <w:szCs w:val="14"/>
              </w:rPr>
            </w:pPr>
            <w:r w:rsidRPr="002926D7">
              <w:rPr>
                <w:rFonts w:eastAsia="Times New Roman" w:cs="Calibri"/>
                <w:color w:val="000000"/>
                <w:sz w:val="14"/>
                <w:szCs w:val="14"/>
              </w:rPr>
              <w:t xml:space="preserve">$26,273,605 </w:t>
            </w:r>
          </w:p>
        </w:tc>
        <w:tc>
          <w:tcPr>
            <w:tcW w:w="333" w:type="pct"/>
            <w:tcBorders>
              <w:top w:val="nil"/>
              <w:left w:val="nil"/>
              <w:bottom w:val="single" w:sz="8" w:space="0" w:color="auto"/>
              <w:right w:val="single" w:sz="8" w:space="0" w:color="auto"/>
            </w:tcBorders>
            <w:noWrap/>
            <w:vAlign w:val="center"/>
            <w:hideMark/>
          </w:tcPr>
          <w:p w14:paraId="76840C25" w14:textId="77777777" w:rsidR="00F77F6C" w:rsidRPr="002926D7" w:rsidRDefault="00F77F6C" w:rsidP="002926D7">
            <w:pPr>
              <w:contextualSpacing/>
              <w:rPr>
                <w:rFonts w:eastAsia="Times New Roman" w:cs="Calibri"/>
                <w:color w:val="000000"/>
                <w:sz w:val="14"/>
                <w:szCs w:val="14"/>
              </w:rPr>
            </w:pPr>
            <w:r w:rsidRPr="002926D7">
              <w:rPr>
                <w:rFonts w:eastAsia="Times New Roman" w:cs="Calibri"/>
                <w:color w:val="000000"/>
                <w:sz w:val="14"/>
                <w:szCs w:val="14"/>
              </w:rPr>
              <w:t xml:space="preserve">$38,720,267 </w:t>
            </w:r>
          </w:p>
        </w:tc>
        <w:tc>
          <w:tcPr>
            <w:tcW w:w="334" w:type="pct"/>
            <w:tcBorders>
              <w:top w:val="nil"/>
              <w:left w:val="nil"/>
              <w:bottom w:val="single" w:sz="8" w:space="0" w:color="auto"/>
              <w:right w:val="single" w:sz="8" w:space="0" w:color="auto"/>
            </w:tcBorders>
            <w:noWrap/>
            <w:vAlign w:val="center"/>
            <w:hideMark/>
          </w:tcPr>
          <w:p w14:paraId="42D2CB8C" w14:textId="77777777" w:rsidR="00F77F6C" w:rsidRPr="002926D7" w:rsidRDefault="00F77F6C" w:rsidP="002926D7">
            <w:pPr>
              <w:contextualSpacing/>
              <w:rPr>
                <w:rFonts w:eastAsia="Times New Roman" w:cs="Calibri"/>
                <w:color w:val="000000"/>
                <w:sz w:val="14"/>
                <w:szCs w:val="14"/>
              </w:rPr>
            </w:pPr>
            <w:r w:rsidRPr="002926D7">
              <w:rPr>
                <w:rFonts w:eastAsia="Times New Roman" w:cs="Calibri"/>
                <w:color w:val="000000"/>
                <w:sz w:val="14"/>
                <w:szCs w:val="14"/>
              </w:rPr>
              <w:t xml:space="preserve">$33,955,352 </w:t>
            </w:r>
          </w:p>
        </w:tc>
        <w:tc>
          <w:tcPr>
            <w:tcW w:w="279" w:type="pct"/>
            <w:gridSpan w:val="2"/>
            <w:tcBorders>
              <w:top w:val="nil"/>
              <w:left w:val="nil"/>
              <w:bottom w:val="single" w:sz="8" w:space="0" w:color="auto"/>
              <w:right w:val="single" w:sz="8" w:space="0" w:color="auto"/>
            </w:tcBorders>
            <w:noWrap/>
            <w:vAlign w:val="center"/>
            <w:hideMark/>
          </w:tcPr>
          <w:p w14:paraId="2BD7871D" w14:textId="77777777" w:rsidR="00F77F6C" w:rsidRPr="002926D7" w:rsidRDefault="00F77F6C" w:rsidP="002926D7">
            <w:pPr>
              <w:contextualSpacing/>
              <w:rPr>
                <w:rFonts w:eastAsia="Times New Roman" w:cs="Calibri"/>
                <w:color w:val="000000"/>
                <w:sz w:val="14"/>
                <w:szCs w:val="14"/>
              </w:rPr>
            </w:pPr>
            <w:r w:rsidRPr="002926D7">
              <w:rPr>
                <w:rFonts w:eastAsia="Times New Roman" w:cs="Calibri"/>
                <w:color w:val="000000"/>
                <w:sz w:val="14"/>
                <w:szCs w:val="14"/>
              </w:rPr>
              <w:t xml:space="preserve">$11,157,911 </w:t>
            </w:r>
          </w:p>
        </w:tc>
        <w:tc>
          <w:tcPr>
            <w:tcW w:w="388" w:type="pct"/>
            <w:tcBorders>
              <w:top w:val="nil"/>
              <w:left w:val="nil"/>
              <w:bottom w:val="single" w:sz="8" w:space="0" w:color="auto"/>
              <w:right w:val="single" w:sz="8" w:space="0" w:color="auto"/>
            </w:tcBorders>
            <w:noWrap/>
            <w:vAlign w:val="center"/>
            <w:hideMark/>
          </w:tcPr>
          <w:p w14:paraId="0667216E" w14:textId="77777777" w:rsidR="00F77F6C" w:rsidRPr="002926D7" w:rsidRDefault="00F77F6C" w:rsidP="002926D7">
            <w:pPr>
              <w:contextualSpacing/>
              <w:rPr>
                <w:rFonts w:eastAsia="Times New Roman" w:cs="Calibri"/>
                <w:color w:val="000000"/>
                <w:sz w:val="14"/>
                <w:szCs w:val="14"/>
              </w:rPr>
            </w:pPr>
            <w:r w:rsidRPr="002926D7">
              <w:rPr>
                <w:rFonts w:eastAsia="Times New Roman" w:cs="Calibri"/>
                <w:color w:val="000000"/>
                <w:sz w:val="14"/>
                <w:szCs w:val="14"/>
              </w:rPr>
              <w:t xml:space="preserve">$126,186,603 </w:t>
            </w:r>
          </w:p>
        </w:tc>
        <w:tc>
          <w:tcPr>
            <w:tcW w:w="181" w:type="pct"/>
            <w:tcBorders>
              <w:top w:val="nil"/>
              <w:left w:val="nil"/>
              <w:bottom w:val="single" w:sz="8" w:space="0" w:color="auto"/>
              <w:right w:val="single" w:sz="8" w:space="0" w:color="auto"/>
            </w:tcBorders>
            <w:noWrap/>
            <w:vAlign w:val="center"/>
            <w:hideMark/>
          </w:tcPr>
          <w:p w14:paraId="3D7A2DC9" w14:textId="77777777" w:rsidR="00F77F6C" w:rsidRPr="002926D7" w:rsidRDefault="00F77F6C" w:rsidP="002926D7">
            <w:pPr>
              <w:contextualSpacing/>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1C96EAAB" w14:textId="77777777" w:rsidTr="00170617">
        <w:trPr>
          <w:trHeight w:val="288"/>
          <w:jc w:val="center"/>
        </w:trPr>
        <w:tc>
          <w:tcPr>
            <w:tcW w:w="2758" w:type="pct"/>
            <w:gridSpan w:val="8"/>
            <w:tcBorders>
              <w:top w:val="single" w:sz="8" w:space="0" w:color="auto"/>
              <w:left w:val="single" w:sz="8" w:space="0" w:color="auto"/>
              <w:bottom w:val="single" w:sz="8" w:space="0" w:color="auto"/>
              <w:right w:val="nil"/>
            </w:tcBorders>
            <w:noWrap/>
            <w:vAlign w:val="center"/>
            <w:hideMark/>
          </w:tcPr>
          <w:p w14:paraId="661392D7" w14:textId="77777777" w:rsidR="00F77F6C" w:rsidRPr="002926D7" w:rsidRDefault="00F77F6C" w:rsidP="002926D7">
            <w:pPr>
              <w:ind w:right="-8"/>
              <w:contextualSpacing/>
              <w:jc w:val="left"/>
              <w:rPr>
                <w:rFonts w:eastAsia="Times New Roman" w:cs="Calibri"/>
                <w:i/>
                <w:iCs/>
                <w:color w:val="000000"/>
                <w:sz w:val="14"/>
                <w:szCs w:val="14"/>
              </w:rPr>
            </w:pPr>
            <w:r w:rsidRPr="002926D7">
              <w:rPr>
                <w:rFonts w:eastAsia="Times New Roman" w:cs="Calibri"/>
                <w:i/>
                <w:iCs/>
                <w:color w:val="000000"/>
                <w:sz w:val="14"/>
                <w:szCs w:val="14"/>
              </w:rPr>
              <w:t>Implementing Agency Fee (9%)</w:t>
            </w:r>
          </w:p>
        </w:tc>
        <w:tc>
          <w:tcPr>
            <w:tcW w:w="363" w:type="pct"/>
            <w:tcBorders>
              <w:top w:val="nil"/>
              <w:left w:val="nil"/>
              <w:bottom w:val="single" w:sz="8" w:space="0" w:color="auto"/>
              <w:right w:val="single" w:sz="8" w:space="0" w:color="auto"/>
            </w:tcBorders>
            <w:noWrap/>
            <w:vAlign w:val="center"/>
            <w:hideMark/>
          </w:tcPr>
          <w:p w14:paraId="17F53D71" w14:textId="77777777" w:rsidR="00F77F6C" w:rsidRPr="002926D7" w:rsidRDefault="00F77F6C" w:rsidP="002926D7">
            <w:pPr>
              <w:ind w:left="-75"/>
              <w:contextualSpacing/>
              <w:jc w:val="left"/>
              <w:rPr>
                <w:rFonts w:eastAsia="Times New Roman" w:cs="Calibri"/>
                <w:color w:val="000000"/>
                <w:sz w:val="14"/>
                <w:szCs w:val="14"/>
              </w:rPr>
            </w:pPr>
            <w:r w:rsidRPr="002926D7">
              <w:rPr>
                <w:rFonts w:eastAsia="Times New Roman" w:cs="Calibri"/>
                <w:color w:val="000000"/>
                <w:sz w:val="14"/>
                <w:szCs w:val="14"/>
              </w:rPr>
              <w:t xml:space="preserve">$1,447,152 </w:t>
            </w:r>
          </w:p>
        </w:tc>
        <w:tc>
          <w:tcPr>
            <w:tcW w:w="364" w:type="pct"/>
            <w:tcBorders>
              <w:top w:val="nil"/>
              <w:left w:val="nil"/>
              <w:bottom w:val="single" w:sz="8" w:space="0" w:color="auto"/>
              <w:right w:val="single" w:sz="8" w:space="0" w:color="auto"/>
            </w:tcBorders>
            <w:noWrap/>
            <w:vAlign w:val="center"/>
            <w:hideMark/>
          </w:tcPr>
          <w:p w14:paraId="3642CAC7" w14:textId="77777777" w:rsidR="00F77F6C" w:rsidRPr="002926D7" w:rsidRDefault="00F77F6C" w:rsidP="002926D7">
            <w:pPr>
              <w:contextualSpacing/>
              <w:jc w:val="left"/>
              <w:rPr>
                <w:rFonts w:eastAsia="Times New Roman" w:cs="Calibri"/>
                <w:color w:val="000000"/>
                <w:sz w:val="14"/>
                <w:szCs w:val="14"/>
              </w:rPr>
            </w:pPr>
            <w:r w:rsidRPr="002926D7">
              <w:rPr>
                <w:rFonts w:eastAsia="Times New Roman" w:cs="Calibri"/>
                <w:color w:val="000000"/>
                <w:sz w:val="14"/>
                <w:szCs w:val="14"/>
              </w:rPr>
              <w:t xml:space="preserve">$2,364,624 </w:t>
            </w:r>
          </w:p>
        </w:tc>
        <w:tc>
          <w:tcPr>
            <w:tcW w:w="333" w:type="pct"/>
            <w:tcBorders>
              <w:top w:val="nil"/>
              <w:left w:val="nil"/>
              <w:bottom w:val="single" w:sz="8" w:space="0" w:color="auto"/>
              <w:right w:val="single" w:sz="8" w:space="0" w:color="auto"/>
            </w:tcBorders>
            <w:noWrap/>
            <w:vAlign w:val="center"/>
            <w:hideMark/>
          </w:tcPr>
          <w:p w14:paraId="3B6A0D02" w14:textId="77777777" w:rsidR="00F77F6C" w:rsidRPr="002926D7" w:rsidRDefault="00F77F6C" w:rsidP="002926D7">
            <w:pPr>
              <w:contextualSpacing/>
              <w:jc w:val="left"/>
              <w:rPr>
                <w:rFonts w:eastAsia="Times New Roman" w:cs="Calibri"/>
                <w:color w:val="000000"/>
                <w:sz w:val="14"/>
                <w:szCs w:val="14"/>
              </w:rPr>
            </w:pPr>
            <w:r w:rsidRPr="002926D7">
              <w:rPr>
                <w:rFonts w:eastAsia="Times New Roman" w:cs="Calibri"/>
                <w:color w:val="000000"/>
                <w:sz w:val="14"/>
                <w:szCs w:val="14"/>
              </w:rPr>
              <w:t xml:space="preserve">$3,484,824 </w:t>
            </w:r>
          </w:p>
        </w:tc>
        <w:tc>
          <w:tcPr>
            <w:tcW w:w="334" w:type="pct"/>
            <w:tcBorders>
              <w:top w:val="nil"/>
              <w:left w:val="nil"/>
              <w:bottom w:val="single" w:sz="8" w:space="0" w:color="auto"/>
              <w:right w:val="single" w:sz="8" w:space="0" w:color="auto"/>
            </w:tcBorders>
            <w:noWrap/>
            <w:vAlign w:val="center"/>
            <w:hideMark/>
          </w:tcPr>
          <w:p w14:paraId="6E81E1F6" w14:textId="77777777" w:rsidR="00F77F6C" w:rsidRPr="002926D7" w:rsidRDefault="00F77F6C" w:rsidP="002926D7">
            <w:pPr>
              <w:contextualSpacing/>
              <w:jc w:val="left"/>
              <w:rPr>
                <w:rFonts w:eastAsia="Times New Roman" w:cs="Calibri"/>
                <w:color w:val="000000"/>
                <w:sz w:val="14"/>
                <w:szCs w:val="14"/>
              </w:rPr>
            </w:pPr>
            <w:r w:rsidRPr="002926D7">
              <w:rPr>
                <w:rFonts w:eastAsia="Times New Roman" w:cs="Calibri"/>
                <w:color w:val="000000"/>
                <w:sz w:val="14"/>
                <w:szCs w:val="14"/>
              </w:rPr>
              <w:t xml:space="preserve">$3,055,982 </w:t>
            </w:r>
          </w:p>
        </w:tc>
        <w:tc>
          <w:tcPr>
            <w:tcW w:w="279" w:type="pct"/>
            <w:gridSpan w:val="2"/>
            <w:tcBorders>
              <w:top w:val="nil"/>
              <w:left w:val="nil"/>
              <w:bottom w:val="single" w:sz="8" w:space="0" w:color="auto"/>
              <w:right w:val="single" w:sz="8" w:space="0" w:color="auto"/>
            </w:tcBorders>
            <w:noWrap/>
            <w:vAlign w:val="center"/>
            <w:hideMark/>
          </w:tcPr>
          <w:p w14:paraId="07C68B37" w14:textId="77777777" w:rsidR="00F77F6C" w:rsidRPr="002926D7" w:rsidRDefault="00F77F6C" w:rsidP="002926D7">
            <w:pPr>
              <w:contextualSpacing/>
              <w:jc w:val="left"/>
              <w:rPr>
                <w:rFonts w:eastAsia="Times New Roman" w:cs="Calibri"/>
                <w:color w:val="000000"/>
                <w:sz w:val="14"/>
                <w:szCs w:val="14"/>
              </w:rPr>
            </w:pPr>
            <w:r w:rsidRPr="002926D7">
              <w:rPr>
                <w:rFonts w:eastAsia="Times New Roman" w:cs="Calibri"/>
                <w:color w:val="000000"/>
                <w:sz w:val="14"/>
                <w:szCs w:val="14"/>
              </w:rPr>
              <w:t xml:space="preserve">$1,004,212 </w:t>
            </w:r>
          </w:p>
        </w:tc>
        <w:tc>
          <w:tcPr>
            <w:tcW w:w="388" w:type="pct"/>
            <w:tcBorders>
              <w:top w:val="nil"/>
              <w:left w:val="nil"/>
              <w:bottom w:val="single" w:sz="8" w:space="0" w:color="auto"/>
              <w:right w:val="single" w:sz="8" w:space="0" w:color="auto"/>
            </w:tcBorders>
            <w:noWrap/>
            <w:vAlign w:val="center"/>
            <w:hideMark/>
          </w:tcPr>
          <w:p w14:paraId="66D75F5F" w14:textId="77777777" w:rsidR="00F77F6C" w:rsidRPr="002926D7" w:rsidRDefault="00F77F6C" w:rsidP="002926D7">
            <w:pPr>
              <w:contextualSpacing/>
              <w:rPr>
                <w:rFonts w:eastAsia="Times New Roman" w:cs="Calibri"/>
                <w:color w:val="000000"/>
                <w:sz w:val="14"/>
                <w:szCs w:val="14"/>
              </w:rPr>
            </w:pPr>
            <w:r w:rsidRPr="002926D7">
              <w:rPr>
                <w:rFonts w:eastAsia="Times New Roman" w:cs="Calibri"/>
                <w:color w:val="000000"/>
                <w:sz w:val="14"/>
                <w:szCs w:val="14"/>
              </w:rPr>
              <w:t xml:space="preserve">$11,356,794 </w:t>
            </w:r>
          </w:p>
        </w:tc>
        <w:tc>
          <w:tcPr>
            <w:tcW w:w="181" w:type="pct"/>
            <w:tcBorders>
              <w:top w:val="nil"/>
              <w:left w:val="nil"/>
              <w:bottom w:val="single" w:sz="8" w:space="0" w:color="auto"/>
              <w:right w:val="single" w:sz="8" w:space="0" w:color="auto"/>
            </w:tcBorders>
            <w:noWrap/>
            <w:vAlign w:val="center"/>
            <w:hideMark/>
          </w:tcPr>
          <w:p w14:paraId="6F72A7A9" w14:textId="77777777" w:rsidR="00F77F6C" w:rsidRPr="002926D7" w:rsidRDefault="00F77F6C" w:rsidP="002926D7">
            <w:pPr>
              <w:contextualSpacing/>
              <w:jc w:val="left"/>
              <w:rPr>
                <w:rFonts w:eastAsia="Times New Roman" w:cs="Calibri"/>
                <w:color w:val="000000"/>
                <w:sz w:val="14"/>
                <w:szCs w:val="14"/>
              </w:rPr>
            </w:pPr>
            <w:r w:rsidRPr="002926D7">
              <w:rPr>
                <w:rFonts w:eastAsia="Times New Roman" w:cs="Calibri"/>
                <w:color w:val="000000"/>
                <w:sz w:val="14"/>
                <w:szCs w:val="14"/>
              </w:rPr>
              <w:t> </w:t>
            </w:r>
          </w:p>
        </w:tc>
      </w:tr>
      <w:tr w:rsidR="00170617" w:rsidRPr="002926D7" w14:paraId="1550ECB9" w14:textId="77777777" w:rsidTr="00170617">
        <w:trPr>
          <w:trHeight w:val="288"/>
          <w:jc w:val="center"/>
        </w:trPr>
        <w:tc>
          <w:tcPr>
            <w:tcW w:w="2758" w:type="pct"/>
            <w:gridSpan w:val="8"/>
            <w:tcBorders>
              <w:top w:val="single" w:sz="8" w:space="0" w:color="auto"/>
              <w:left w:val="single" w:sz="8" w:space="0" w:color="auto"/>
              <w:bottom w:val="single" w:sz="8" w:space="0" w:color="auto"/>
              <w:right w:val="nil"/>
            </w:tcBorders>
            <w:noWrap/>
            <w:vAlign w:val="center"/>
            <w:hideMark/>
          </w:tcPr>
          <w:p w14:paraId="64B567BA" w14:textId="77777777" w:rsidR="00F77F6C" w:rsidRPr="002926D7" w:rsidRDefault="00F77F6C" w:rsidP="002926D7">
            <w:pPr>
              <w:ind w:right="-8"/>
              <w:contextualSpacing/>
              <w:jc w:val="left"/>
              <w:rPr>
                <w:rFonts w:eastAsia="Times New Roman" w:cs="Calibri"/>
                <w:b/>
                <w:bCs/>
                <w:i/>
                <w:iCs/>
                <w:color w:val="000000"/>
                <w:sz w:val="14"/>
                <w:szCs w:val="14"/>
              </w:rPr>
            </w:pPr>
            <w:r w:rsidRPr="002926D7">
              <w:rPr>
                <w:rFonts w:eastAsia="Times New Roman" w:cs="Calibri"/>
                <w:b/>
                <w:bCs/>
                <w:i/>
                <w:iCs/>
                <w:color w:val="000000"/>
                <w:sz w:val="14"/>
                <w:szCs w:val="14"/>
              </w:rPr>
              <w:t>Grand Total</w:t>
            </w:r>
          </w:p>
        </w:tc>
        <w:tc>
          <w:tcPr>
            <w:tcW w:w="363" w:type="pct"/>
            <w:tcBorders>
              <w:top w:val="nil"/>
              <w:left w:val="nil"/>
              <w:bottom w:val="single" w:sz="8" w:space="0" w:color="auto"/>
              <w:right w:val="single" w:sz="8" w:space="0" w:color="auto"/>
            </w:tcBorders>
            <w:noWrap/>
            <w:vAlign w:val="center"/>
            <w:hideMark/>
          </w:tcPr>
          <w:p w14:paraId="1E5940F6" w14:textId="77777777" w:rsidR="00F77F6C" w:rsidRPr="002926D7" w:rsidRDefault="00F77F6C" w:rsidP="002926D7">
            <w:pPr>
              <w:ind w:left="-75"/>
              <w:contextualSpacing/>
              <w:jc w:val="left"/>
              <w:rPr>
                <w:rFonts w:eastAsia="Times New Roman" w:cs="Calibri"/>
                <w:b/>
                <w:bCs/>
                <w:color w:val="000000"/>
                <w:sz w:val="14"/>
                <w:szCs w:val="14"/>
              </w:rPr>
            </w:pPr>
            <w:r w:rsidRPr="002926D7">
              <w:rPr>
                <w:rFonts w:eastAsia="Times New Roman" w:cs="Calibri"/>
                <w:b/>
                <w:bCs/>
                <w:color w:val="000000"/>
                <w:sz w:val="14"/>
                <w:szCs w:val="14"/>
              </w:rPr>
              <w:t xml:space="preserve">$17,526,620 </w:t>
            </w:r>
          </w:p>
        </w:tc>
        <w:tc>
          <w:tcPr>
            <w:tcW w:w="364" w:type="pct"/>
            <w:tcBorders>
              <w:top w:val="nil"/>
              <w:left w:val="nil"/>
              <w:bottom w:val="single" w:sz="8" w:space="0" w:color="auto"/>
              <w:right w:val="single" w:sz="8" w:space="0" w:color="auto"/>
            </w:tcBorders>
            <w:noWrap/>
            <w:vAlign w:val="center"/>
            <w:hideMark/>
          </w:tcPr>
          <w:p w14:paraId="611DD08B" w14:textId="77777777" w:rsidR="00F77F6C" w:rsidRPr="002926D7" w:rsidRDefault="00F77F6C" w:rsidP="002926D7">
            <w:pPr>
              <w:contextualSpacing/>
              <w:jc w:val="left"/>
              <w:rPr>
                <w:rFonts w:eastAsia="Times New Roman" w:cs="Calibri"/>
                <w:b/>
                <w:bCs/>
                <w:color w:val="000000"/>
                <w:sz w:val="14"/>
                <w:szCs w:val="14"/>
              </w:rPr>
            </w:pPr>
            <w:r w:rsidRPr="002926D7">
              <w:rPr>
                <w:rFonts w:eastAsia="Times New Roman" w:cs="Calibri"/>
                <w:b/>
                <w:bCs/>
                <w:color w:val="000000"/>
                <w:sz w:val="14"/>
                <w:szCs w:val="14"/>
              </w:rPr>
              <w:t xml:space="preserve">$28,638,230 </w:t>
            </w:r>
          </w:p>
        </w:tc>
        <w:tc>
          <w:tcPr>
            <w:tcW w:w="333" w:type="pct"/>
            <w:tcBorders>
              <w:top w:val="nil"/>
              <w:left w:val="nil"/>
              <w:bottom w:val="single" w:sz="8" w:space="0" w:color="auto"/>
              <w:right w:val="single" w:sz="8" w:space="0" w:color="auto"/>
            </w:tcBorders>
            <w:noWrap/>
            <w:vAlign w:val="center"/>
            <w:hideMark/>
          </w:tcPr>
          <w:p w14:paraId="4FD640A8" w14:textId="77777777" w:rsidR="00F77F6C" w:rsidRPr="002926D7" w:rsidRDefault="00F77F6C" w:rsidP="002926D7">
            <w:pPr>
              <w:contextualSpacing/>
              <w:jc w:val="left"/>
              <w:rPr>
                <w:rFonts w:eastAsia="Times New Roman" w:cs="Calibri"/>
                <w:b/>
                <w:bCs/>
                <w:color w:val="000000"/>
                <w:sz w:val="14"/>
                <w:szCs w:val="14"/>
              </w:rPr>
            </w:pPr>
            <w:r w:rsidRPr="002926D7">
              <w:rPr>
                <w:rFonts w:eastAsia="Times New Roman" w:cs="Calibri"/>
                <w:b/>
                <w:bCs/>
                <w:color w:val="000000"/>
                <w:sz w:val="14"/>
                <w:szCs w:val="14"/>
              </w:rPr>
              <w:t xml:space="preserve">$42,205,091 </w:t>
            </w:r>
          </w:p>
        </w:tc>
        <w:tc>
          <w:tcPr>
            <w:tcW w:w="334" w:type="pct"/>
            <w:tcBorders>
              <w:top w:val="nil"/>
              <w:left w:val="nil"/>
              <w:bottom w:val="single" w:sz="8" w:space="0" w:color="auto"/>
              <w:right w:val="single" w:sz="8" w:space="0" w:color="auto"/>
            </w:tcBorders>
            <w:noWrap/>
            <w:vAlign w:val="center"/>
            <w:hideMark/>
          </w:tcPr>
          <w:p w14:paraId="697B56E7" w14:textId="77777777" w:rsidR="00F77F6C" w:rsidRPr="002926D7" w:rsidRDefault="00F77F6C" w:rsidP="002926D7">
            <w:pPr>
              <w:contextualSpacing/>
              <w:jc w:val="left"/>
              <w:rPr>
                <w:rFonts w:eastAsia="Times New Roman" w:cs="Calibri"/>
                <w:b/>
                <w:bCs/>
                <w:color w:val="000000"/>
                <w:sz w:val="14"/>
                <w:szCs w:val="14"/>
              </w:rPr>
            </w:pPr>
            <w:r w:rsidRPr="002926D7">
              <w:rPr>
                <w:rFonts w:eastAsia="Times New Roman" w:cs="Calibri"/>
                <w:b/>
                <w:bCs/>
                <w:color w:val="000000"/>
                <w:sz w:val="14"/>
                <w:szCs w:val="14"/>
              </w:rPr>
              <w:t xml:space="preserve">$37,011,333 </w:t>
            </w:r>
          </w:p>
        </w:tc>
        <w:tc>
          <w:tcPr>
            <w:tcW w:w="279" w:type="pct"/>
            <w:gridSpan w:val="2"/>
            <w:tcBorders>
              <w:top w:val="nil"/>
              <w:left w:val="nil"/>
              <w:bottom w:val="single" w:sz="8" w:space="0" w:color="auto"/>
              <w:right w:val="single" w:sz="8" w:space="0" w:color="auto"/>
            </w:tcBorders>
            <w:noWrap/>
            <w:vAlign w:val="center"/>
            <w:hideMark/>
          </w:tcPr>
          <w:p w14:paraId="3BC1CF02" w14:textId="77777777" w:rsidR="00F77F6C" w:rsidRPr="002926D7" w:rsidRDefault="00F77F6C" w:rsidP="002926D7">
            <w:pPr>
              <w:contextualSpacing/>
              <w:jc w:val="left"/>
              <w:rPr>
                <w:rFonts w:eastAsia="Times New Roman" w:cs="Calibri"/>
                <w:b/>
                <w:bCs/>
                <w:color w:val="000000"/>
                <w:sz w:val="14"/>
                <w:szCs w:val="14"/>
              </w:rPr>
            </w:pPr>
            <w:r w:rsidRPr="002926D7">
              <w:rPr>
                <w:rFonts w:eastAsia="Times New Roman" w:cs="Calibri"/>
                <w:b/>
                <w:bCs/>
                <w:color w:val="000000"/>
                <w:sz w:val="14"/>
                <w:szCs w:val="14"/>
              </w:rPr>
              <w:t xml:space="preserve">$12,162,123 </w:t>
            </w:r>
          </w:p>
        </w:tc>
        <w:tc>
          <w:tcPr>
            <w:tcW w:w="388" w:type="pct"/>
            <w:tcBorders>
              <w:top w:val="nil"/>
              <w:left w:val="nil"/>
              <w:bottom w:val="single" w:sz="8" w:space="0" w:color="auto"/>
              <w:right w:val="single" w:sz="8" w:space="0" w:color="auto"/>
            </w:tcBorders>
            <w:noWrap/>
            <w:vAlign w:val="center"/>
            <w:hideMark/>
          </w:tcPr>
          <w:p w14:paraId="152F5992" w14:textId="77777777" w:rsidR="00F77F6C" w:rsidRPr="002926D7" w:rsidRDefault="00F77F6C" w:rsidP="002926D7">
            <w:pPr>
              <w:contextualSpacing/>
              <w:rPr>
                <w:rFonts w:eastAsia="Times New Roman" w:cs="Calibri"/>
                <w:b/>
                <w:bCs/>
                <w:color w:val="000000"/>
                <w:sz w:val="14"/>
                <w:szCs w:val="14"/>
              </w:rPr>
            </w:pPr>
            <w:r w:rsidRPr="002926D7">
              <w:rPr>
                <w:rFonts w:eastAsia="Times New Roman" w:cs="Calibri"/>
                <w:b/>
                <w:bCs/>
                <w:color w:val="000000"/>
                <w:sz w:val="14"/>
                <w:szCs w:val="14"/>
              </w:rPr>
              <w:t xml:space="preserve">$137,543,397 </w:t>
            </w:r>
          </w:p>
        </w:tc>
        <w:tc>
          <w:tcPr>
            <w:tcW w:w="181" w:type="pct"/>
            <w:tcBorders>
              <w:top w:val="nil"/>
              <w:left w:val="nil"/>
              <w:bottom w:val="single" w:sz="8" w:space="0" w:color="auto"/>
              <w:right w:val="single" w:sz="8" w:space="0" w:color="auto"/>
            </w:tcBorders>
            <w:noWrap/>
            <w:vAlign w:val="center"/>
            <w:hideMark/>
          </w:tcPr>
          <w:p w14:paraId="548BE159" w14:textId="77777777" w:rsidR="00F77F6C" w:rsidRPr="002926D7" w:rsidRDefault="00F77F6C" w:rsidP="002926D7">
            <w:pPr>
              <w:contextualSpacing/>
              <w:jc w:val="left"/>
              <w:rPr>
                <w:rFonts w:eastAsia="Times New Roman" w:cs="Calibri"/>
                <w:color w:val="000000"/>
                <w:sz w:val="14"/>
                <w:szCs w:val="14"/>
              </w:rPr>
            </w:pPr>
            <w:r w:rsidRPr="002926D7">
              <w:rPr>
                <w:rFonts w:eastAsia="Times New Roman" w:cs="Calibri"/>
                <w:color w:val="000000"/>
                <w:sz w:val="14"/>
                <w:szCs w:val="14"/>
              </w:rPr>
              <w:t> </w:t>
            </w:r>
          </w:p>
        </w:tc>
      </w:tr>
    </w:tbl>
    <w:p w14:paraId="2B2FD465" w14:textId="77777777" w:rsidR="000E61DB" w:rsidRPr="002926D7" w:rsidRDefault="000E61DB" w:rsidP="002926D7">
      <w:pPr>
        <w:jc w:val="center"/>
        <w:rPr>
          <w:rFonts w:asciiTheme="minorHAnsi" w:hAnsiTheme="minorHAnsi" w:cstheme="minorHAnsi"/>
          <w:sz w:val="14"/>
          <w:szCs w:val="14"/>
        </w:rPr>
      </w:pPr>
    </w:p>
    <w:p w14:paraId="69B5B85C" w14:textId="77777777" w:rsidR="004424FA" w:rsidRPr="002926D7" w:rsidRDefault="004424FA" w:rsidP="002926D7">
      <w:pPr>
        <w:jc w:val="center"/>
        <w:rPr>
          <w:rFonts w:asciiTheme="minorHAnsi" w:hAnsiTheme="minorHAnsi" w:cstheme="minorHAnsi"/>
          <w:sz w:val="12"/>
          <w:szCs w:val="12"/>
        </w:rPr>
      </w:pPr>
    </w:p>
    <w:p w14:paraId="1AF05E56" w14:textId="503B1AE5" w:rsidR="00403B42" w:rsidRPr="002926D7" w:rsidRDefault="00DC479C" w:rsidP="002926D7">
      <w:pPr>
        <w:rPr>
          <w:rFonts w:cs="Calibri"/>
          <w:b/>
          <w:szCs w:val="20"/>
        </w:rPr>
      </w:pPr>
      <w:r w:rsidRPr="002926D7">
        <w:rPr>
          <w:rFonts w:cs="Calibri"/>
          <w:b/>
          <w:szCs w:val="20"/>
        </w:rPr>
        <w:t>Budget Notes</w:t>
      </w:r>
    </w:p>
    <w:p w14:paraId="29001E32" w14:textId="77777777" w:rsidR="00677EF4" w:rsidRPr="002926D7" w:rsidRDefault="00677EF4" w:rsidP="002926D7">
      <w:pPr>
        <w:jc w:val="left"/>
        <w:rPr>
          <w:rFonts w:asciiTheme="minorHAnsi" w:hAnsiTheme="minorHAnsi" w:cstheme="minorHAnsi"/>
          <w:sz w:val="12"/>
          <w:szCs w:val="12"/>
        </w:rPr>
      </w:pPr>
    </w:p>
    <w:tbl>
      <w:tblPr>
        <w:tblW w:w="14580" w:type="dxa"/>
        <w:tblLook w:val="04A0" w:firstRow="1" w:lastRow="0" w:firstColumn="1" w:lastColumn="0" w:noHBand="0" w:noVBand="1"/>
      </w:tblPr>
      <w:tblGrid>
        <w:gridCol w:w="14580"/>
      </w:tblGrid>
      <w:tr w:rsidR="00781308" w:rsidRPr="002926D7" w14:paraId="546290BA" w14:textId="77777777" w:rsidTr="002A37E0">
        <w:trPr>
          <w:trHeight w:val="5850"/>
        </w:trPr>
        <w:tc>
          <w:tcPr>
            <w:tcW w:w="14580" w:type="dxa"/>
            <w:tcBorders>
              <w:top w:val="nil"/>
              <w:left w:val="nil"/>
              <w:bottom w:val="nil"/>
              <w:right w:val="nil"/>
            </w:tcBorders>
            <w:noWrap/>
            <w:vAlign w:val="center"/>
          </w:tcPr>
          <w:tbl>
            <w:tblPr>
              <w:tblW w:w="9360" w:type="dxa"/>
              <w:tblLook w:val="04A0" w:firstRow="1" w:lastRow="0" w:firstColumn="1" w:lastColumn="0" w:noHBand="0" w:noVBand="1"/>
            </w:tblPr>
            <w:tblGrid>
              <w:gridCol w:w="9360"/>
            </w:tblGrid>
            <w:tr w:rsidR="008F4315" w:rsidRPr="002926D7" w14:paraId="5F89178E" w14:textId="77777777" w:rsidTr="00451B63">
              <w:trPr>
                <w:trHeight w:val="250"/>
              </w:trPr>
              <w:tc>
                <w:tcPr>
                  <w:tcW w:w="9360" w:type="dxa"/>
                  <w:tcBorders>
                    <w:top w:val="nil"/>
                    <w:left w:val="nil"/>
                    <w:bottom w:val="nil"/>
                    <w:right w:val="nil"/>
                  </w:tcBorders>
                  <w:noWrap/>
                  <w:vAlign w:val="center"/>
                </w:tcPr>
                <w:p w14:paraId="06289FDA" w14:textId="00C140B4" w:rsidR="008F4315" w:rsidRPr="002926D7" w:rsidRDefault="008F4315" w:rsidP="002926D7">
                  <w:pPr>
                    <w:jc w:val="left"/>
                    <w:rPr>
                      <w:rFonts w:cs="Calibri"/>
                      <w:i/>
                      <w:iCs/>
                      <w:color w:val="000000"/>
                      <w:sz w:val="18"/>
                      <w:szCs w:val="18"/>
                    </w:rPr>
                  </w:pPr>
                  <w:r w:rsidRPr="002926D7">
                    <w:rPr>
                      <w:rFonts w:cs="Calibri"/>
                      <w:i/>
                      <w:iCs/>
                      <w:color w:val="000000"/>
                      <w:sz w:val="18"/>
                      <w:szCs w:val="18"/>
                    </w:rPr>
                    <w:t xml:space="preserve">0. </w:t>
                  </w:r>
                  <w:r w:rsidR="00D0082E" w:rsidRPr="002926D7">
                    <w:rPr>
                      <w:rFonts w:cs="Calibri"/>
                      <w:i/>
                      <w:iCs/>
                      <w:color w:val="000000"/>
                      <w:sz w:val="18"/>
                      <w:szCs w:val="18"/>
                    </w:rPr>
                    <w:t>Management/administrative costs (up to 6%) by Responsible Parties (UN Agency and/or NGO), if applicable, are incorporated in individual budget lines and will be charged against the non-grants portion</w:t>
                  </w:r>
                  <w:r w:rsidRPr="002926D7">
                    <w:rPr>
                      <w:rFonts w:cs="Calibri"/>
                      <w:i/>
                      <w:iCs/>
                      <w:color w:val="000000"/>
                      <w:sz w:val="18"/>
                      <w:szCs w:val="18"/>
                    </w:rPr>
                    <w:t>.</w:t>
                  </w:r>
                </w:p>
              </w:tc>
            </w:tr>
            <w:tr w:rsidR="002A37E0" w:rsidRPr="002926D7" w14:paraId="6BD0F8EA" w14:textId="77777777" w:rsidTr="00451B63">
              <w:trPr>
                <w:trHeight w:val="250"/>
              </w:trPr>
              <w:tc>
                <w:tcPr>
                  <w:tcW w:w="9360" w:type="dxa"/>
                  <w:tcBorders>
                    <w:top w:val="nil"/>
                    <w:left w:val="nil"/>
                    <w:bottom w:val="nil"/>
                    <w:right w:val="nil"/>
                  </w:tcBorders>
                  <w:noWrap/>
                  <w:vAlign w:val="center"/>
                  <w:hideMark/>
                </w:tcPr>
                <w:p w14:paraId="4579C6EB" w14:textId="55AB9E40" w:rsidR="002A37E0" w:rsidRPr="002926D7" w:rsidRDefault="002A37E0" w:rsidP="002926D7">
                  <w:pPr>
                    <w:jc w:val="left"/>
                    <w:rPr>
                      <w:rFonts w:eastAsia="Times New Roman" w:cs="Calibri"/>
                      <w:i/>
                      <w:iCs/>
                      <w:sz w:val="18"/>
                      <w:szCs w:val="18"/>
                    </w:rPr>
                  </w:pPr>
                  <w:r w:rsidRPr="002926D7">
                    <w:rPr>
                      <w:rFonts w:cs="Calibri"/>
                      <w:i/>
                      <w:iCs/>
                      <w:color w:val="000000"/>
                      <w:sz w:val="18"/>
                      <w:szCs w:val="18"/>
                    </w:rPr>
                    <w:t>1.Grants to CSOs/CBOs. Proportional amounts per country would be allocated for grant making from OP8-Part 1 under CORE Grants. STAR Grants will be allocated to the specific countries that have committed STAR resources approved under Part 1.</w:t>
                  </w:r>
                </w:p>
              </w:tc>
            </w:tr>
            <w:tr w:rsidR="002A37E0" w:rsidRPr="002926D7" w14:paraId="11870D9C" w14:textId="77777777" w:rsidTr="00451B63">
              <w:trPr>
                <w:trHeight w:val="250"/>
              </w:trPr>
              <w:tc>
                <w:tcPr>
                  <w:tcW w:w="9360" w:type="dxa"/>
                  <w:tcBorders>
                    <w:top w:val="nil"/>
                    <w:left w:val="nil"/>
                    <w:bottom w:val="nil"/>
                    <w:right w:val="nil"/>
                  </w:tcBorders>
                  <w:noWrap/>
                  <w:vAlign w:val="center"/>
                  <w:hideMark/>
                </w:tcPr>
                <w:p w14:paraId="4AEA1727" w14:textId="125CAF52" w:rsidR="002A37E0" w:rsidRPr="002926D7" w:rsidRDefault="002A37E0" w:rsidP="002926D7">
                  <w:pPr>
                    <w:jc w:val="left"/>
                    <w:rPr>
                      <w:rFonts w:eastAsia="Times New Roman" w:cs="Calibri"/>
                      <w:i/>
                      <w:iCs/>
                      <w:sz w:val="18"/>
                      <w:szCs w:val="18"/>
                    </w:rPr>
                  </w:pPr>
                  <w:r w:rsidRPr="002926D7">
                    <w:rPr>
                      <w:rFonts w:cs="Calibri"/>
                      <w:i/>
                      <w:iCs/>
                      <w:color w:val="000000"/>
                      <w:sz w:val="18"/>
                      <w:szCs w:val="18"/>
                    </w:rPr>
                    <w:t>2. International consultants include project</w:t>
                  </w:r>
                  <w:r w:rsidRPr="002926D7">
                    <w:rPr>
                      <w:rFonts w:cs="Calibri"/>
                      <w:color w:val="000000"/>
                      <w:sz w:val="16"/>
                      <w:szCs w:val="16"/>
                    </w:rPr>
                    <w:t> </w:t>
                  </w:r>
                  <w:r w:rsidRPr="002926D7">
                    <w:rPr>
                      <w:rFonts w:cs="Calibri"/>
                      <w:i/>
                      <w:iCs/>
                      <w:color w:val="000000"/>
                      <w:sz w:val="18"/>
                      <w:szCs w:val="18"/>
                    </w:rPr>
                    <w:t>experts for M&amp;E, KM &amp; communication, and capacity development activities  </w:t>
                  </w:r>
                </w:p>
              </w:tc>
            </w:tr>
            <w:tr w:rsidR="002A37E0" w:rsidRPr="002926D7" w14:paraId="7E298C91" w14:textId="77777777" w:rsidTr="00451B63">
              <w:trPr>
                <w:trHeight w:val="250"/>
              </w:trPr>
              <w:tc>
                <w:tcPr>
                  <w:tcW w:w="9360" w:type="dxa"/>
                  <w:tcBorders>
                    <w:top w:val="nil"/>
                    <w:left w:val="nil"/>
                    <w:bottom w:val="nil"/>
                    <w:right w:val="nil"/>
                  </w:tcBorders>
                  <w:noWrap/>
                  <w:vAlign w:val="center"/>
                  <w:hideMark/>
                </w:tcPr>
                <w:p w14:paraId="0521D65E" w14:textId="4887843F" w:rsidR="002A37E0" w:rsidRPr="002926D7" w:rsidRDefault="002A37E0" w:rsidP="002926D7">
                  <w:pPr>
                    <w:jc w:val="left"/>
                    <w:rPr>
                      <w:rFonts w:eastAsia="Times New Roman" w:cs="Calibri"/>
                      <w:i/>
                      <w:iCs/>
                      <w:sz w:val="18"/>
                      <w:szCs w:val="18"/>
                    </w:rPr>
                  </w:pPr>
                  <w:r w:rsidRPr="002926D7">
                    <w:rPr>
                      <w:rFonts w:cs="Calibri"/>
                      <w:i/>
                      <w:iCs/>
                      <w:color w:val="000000"/>
                      <w:sz w:val="18"/>
                      <w:szCs w:val="18"/>
                    </w:rPr>
                    <w:t>3. Local consultants include project experts for M&amp;E, KM &amp; communication, and capacity development activities  </w:t>
                  </w:r>
                </w:p>
              </w:tc>
            </w:tr>
            <w:tr w:rsidR="002A37E0" w:rsidRPr="002926D7" w14:paraId="4C187648" w14:textId="77777777" w:rsidTr="00451B63">
              <w:trPr>
                <w:trHeight w:val="250"/>
              </w:trPr>
              <w:tc>
                <w:tcPr>
                  <w:tcW w:w="9360" w:type="dxa"/>
                  <w:tcBorders>
                    <w:top w:val="nil"/>
                    <w:left w:val="nil"/>
                    <w:bottom w:val="nil"/>
                    <w:right w:val="nil"/>
                  </w:tcBorders>
                  <w:noWrap/>
                  <w:vAlign w:val="center"/>
                  <w:hideMark/>
                </w:tcPr>
                <w:p w14:paraId="1B028E44" w14:textId="34A9FB63" w:rsidR="002A37E0" w:rsidRPr="002926D7" w:rsidRDefault="002A37E0" w:rsidP="002926D7">
                  <w:pPr>
                    <w:jc w:val="left"/>
                    <w:rPr>
                      <w:rFonts w:eastAsia="Times New Roman" w:cs="Calibri"/>
                      <w:i/>
                      <w:iCs/>
                      <w:sz w:val="18"/>
                      <w:szCs w:val="18"/>
                    </w:rPr>
                  </w:pPr>
                  <w:r w:rsidRPr="002926D7">
                    <w:rPr>
                      <w:rFonts w:cs="Calibri"/>
                      <w:i/>
                      <w:iCs/>
                      <w:color w:val="000000"/>
                      <w:sz w:val="18"/>
                      <w:szCs w:val="18"/>
                    </w:rPr>
                    <w:t xml:space="preserve">4. </w:t>
                  </w:r>
                  <w:r w:rsidR="0050131E" w:rsidRPr="002926D7">
                    <w:rPr>
                      <w:rFonts w:cs="Calibri"/>
                      <w:i/>
                      <w:iCs/>
                      <w:color w:val="000000"/>
                      <w:sz w:val="18"/>
                      <w:szCs w:val="18"/>
                    </w:rPr>
                    <w:t>Salaries costs of NCs and PAs, and for Global project staff (Global Manager, Finance and Procurement specialist, Programme Associate, Knowledge Management and Communication Specialist, M&amp;E Specialist, and Regional Technical Specialists). CPMT and national project staff provide thematic expertise (e.g. in GEF focal areas) and technical inputs into program implementation.  In line with the established functions, the tasks of CPMT involve all three categories of PMC, TA, and M&amp;E as CPMT manages the SGP global portfolio, provide technical assistance and advice on focal areas and other thematic areas of work and undertakes M&amp;E, knowledge management and other services and support. The tasks of National Coordinators involve mainly TA and M&amp;E, including technical management of the country portfolio by providing thematic advice to the grantees capacity development, communication and policy advocacy, knowledge management with communities and civil society organizations that contribute directly to achieve global environmental benefits. The tasks of Programme Associate mainly involve PMC and M&amp;E, including working on finance, procurement, monitoring projects, and communication and knowledge management.</w:t>
                  </w:r>
                </w:p>
              </w:tc>
            </w:tr>
            <w:tr w:rsidR="002A37E0" w:rsidRPr="002926D7" w14:paraId="4F44EEAD" w14:textId="77777777" w:rsidTr="00451B63">
              <w:trPr>
                <w:trHeight w:val="250"/>
              </w:trPr>
              <w:tc>
                <w:tcPr>
                  <w:tcW w:w="9360" w:type="dxa"/>
                  <w:tcBorders>
                    <w:top w:val="nil"/>
                    <w:left w:val="nil"/>
                    <w:bottom w:val="nil"/>
                    <w:right w:val="nil"/>
                  </w:tcBorders>
                  <w:noWrap/>
                  <w:vAlign w:val="center"/>
                  <w:hideMark/>
                </w:tcPr>
                <w:p w14:paraId="617E8F1B" w14:textId="7752797D" w:rsidR="002A37E0" w:rsidRPr="002926D7" w:rsidRDefault="002A37E0" w:rsidP="002926D7">
                  <w:pPr>
                    <w:jc w:val="left"/>
                    <w:rPr>
                      <w:rFonts w:eastAsia="Times New Roman" w:cs="Calibri"/>
                      <w:i/>
                      <w:iCs/>
                      <w:sz w:val="18"/>
                      <w:szCs w:val="18"/>
                    </w:rPr>
                  </w:pPr>
                  <w:r w:rsidRPr="002926D7">
                    <w:rPr>
                      <w:rFonts w:cs="Calibri"/>
                      <w:i/>
                      <w:iCs/>
                      <w:color w:val="000000"/>
                      <w:sz w:val="18"/>
                      <w:szCs w:val="18"/>
                    </w:rPr>
                    <w:t xml:space="preserve">5. NCs, PAs and others under local individual contracts, providing technical assistance and programme management at the country level.   </w:t>
                  </w:r>
                </w:p>
              </w:tc>
            </w:tr>
            <w:tr w:rsidR="002A37E0" w:rsidRPr="002926D7" w14:paraId="6D8CD110" w14:textId="77777777" w:rsidTr="00451B63">
              <w:trPr>
                <w:trHeight w:val="250"/>
              </w:trPr>
              <w:tc>
                <w:tcPr>
                  <w:tcW w:w="9360" w:type="dxa"/>
                  <w:tcBorders>
                    <w:top w:val="nil"/>
                    <w:left w:val="nil"/>
                    <w:bottom w:val="nil"/>
                    <w:right w:val="nil"/>
                  </w:tcBorders>
                  <w:noWrap/>
                  <w:vAlign w:val="center"/>
                  <w:hideMark/>
                </w:tcPr>
                <w:p w14:paraId="228543F5" w14:textId="0397BED3" w:rsidR="002A37E0" w:rsidRPr="002926D7" w:rsidRDefault="002A37E0" w:rsidP="002926D7">
                  <w:pPr>
                    <w:jc w:val="left"/>
                    <w:rPr>
                      <w:rFonts w:eastAsia="Times New Roman" w:cs="Calibri"/>
                      <w:i/>
                      <w:iCs/>
                      <w:sz w:val="18"/>
                      <w:szCs w:val="18"/>
                    </w:rPr>
                  </w:pPr>
                  <w:r w:rsidRPr="002926D7">
                    <w:rPr>
                      <w:rFonts w:cs="Calibri"/>
                      <w:i/>
                      <w:iCs/>
                      <w:color w:val="000000"/>
                      <w:sz w:val="18"/>
                      <w:szCs w:val="18"/>
                    </w:rPr>
                    <w:t>6. Training/workshops on capacity development for (grantee and country stakeholders), project development, and CSO dialogues and events at the country level.  Organization of National Steering Committees and other coordination meetings.     </w:t>
                  </w:r>
                </w:p>
              </w:tc>
            </w:tr>
            <w:tr w:rsidR="002A37E0" w:rsidRPr="002926D7" w14:paraId="1F2B4EDC" w14:textId="77777777" w:rsidTr="00451B63">
              <w:trPr>
                <w:trHeight w:val="250"/>
              </w:trPr>
              <w:tc>
                <w:tcPr>
                  <w:tcW w:w="9360" w:type="dxa"/>
                  <w:tcBorders>
                    <w:top w:val="nil"/>
                    <w:left w:val="nil"/>
                    <w:bottom w:val="nil"/>
                    <w:right w:val="nil"/>
                  </w:tcBorders>
                  <w:noWrap/>
                  <w:vAlign w:val="center"/>
                  <w:hideMark/>
                </w:tcPr>
                <w:p w14:paraId="4E3D4275" w14:textId="2BCFC3FF" w:rsidR="002A37E0" w:rsidRPr="002926D7" w:rsidRDefault="002A37E0" w:rsidP="002926D7">
                  <w:pPr>
                    <w:jc w:val="left"/>
                    <w:rPr>
                      <w:rFonts w:eastAsia="Times New Roman" w:cs="Calibri"/>
                      <w:i/>
                      <w:iCs/>
                      <w:sz w:val="18"/>
                      <w:szCs w:val="18"/>
                    </w:rPr>
                  </w:pPr>
                  <w:r w:rsidRPr="002926D7">
                    <w:rPr>
                      <w:rFonts w:cs="Calibri"/>
                      <w:i/>
                      <w:iCs/>
                      <w:color w:val="000000"/>
                      <w:sz w:val="18"/>
                      <w:szCs w:val="18"/>
                    </w:rPr>
                    <w:t>7. Travel costs related to monitoring of grantee projects and country programme. Participation in MEA COPs, etc.  </w:t>
                  </w:r>
                </w:p>
              </w:tc>
            </w:tr>
            <w:tr w:rsidR="002A37E0" w:rsidRPr="002926D7" w14:paraId="663291A5" w14:textId="77777777" w:rsidTr="00451B63">
              <w:trPr>
                <w:trHeight w:val="250"/>
              </w:trPr>
              <w:tc>
                <w:tcPr>
                  <w:tcW w:w="9360" w:type="dxa"/>
                  <w:tcBorders>
                    <w:top w:val="nil"/>
                    <w:left w:val="nil"/>
                    <w:bottom w:val="nil"/>
                    <w:right w:val="nil"/>
                  </w:tcBorders>
                  <w:noWrap/>
                  <w:vAlign w:val="center"/>
                  <w:hideMark/>
                </w:tcPr>
                <w:p w14:paraId="5B7D04EB" w14:textId="534BF139" w:rsidR="002A37E0" w:rsidRPr="002926D7" w:rsidRDefault="002A37E0" w:rsidP="002926D7">
                  <w:pPr>
                    <w:jc w:val="left"/>
                    <w:rPr>
                      <w:rFonts w:eastAsia="Times New Roman" w:cs="Calibri"/>
                      <w:i/>
                      <w:iCs/>
                      <w:sz w:val="18"/>
                      <w:szCs w:val="18"/>
                    </w:rPr>
                  </w:pPr>
                  <w:r w:rsidRPr="002926D7">
                    <w:rPr>
                      <w:rFonts w:cs="Calibri"/>
                      <w:i/>
                      <w:iCs/>
                      <w:color w:val="000000"/>
                      <w:sz w:val="18"/>
                      <w:szCs w:val="18"/>
                    </w:rPr>
                    <w:t>8. Office rent and maintenance at countries and global levels </w:t>
                  </w:r>
                </w:p>
              </w:tc>
            </w:tr>
            <w:tr w:rsidR="002A37E0" w:rsidRPr="002926D7" w14:paraId="52CAAC1F" w14:textId="77777777" w:rsidTr="00451B63">
              <w:trPr>
                <w:trHeight w:val="250"/>
              </w:trPr>
              <w:tc>
                <w:tcPr>
                  <w:tcW w:w="9360" w:type="dxa"/>
                  <w:tcBorders>
                    <w:top w:val="nil"/>
                    <w:left w:val="nil"/>
                    <w:bottom w:val="nil"/>
                    <w:right w:val="nil"/>
                  </w:tcBorders>
                  <w:noWrap/>
                  <w:vAlign w:val="center"/>
                  <w:hideMark/>
                </w:tcPr>
                <w:p w14:paraId="3D0A64D2" w14:textId="63B9EBA3" w:rsidR="002A37E0" w:rsidRPr="002926D7" w:rsidRDefault="002A37E0" w:rsidP="002926D7">
                  <w:pPr>
                    <w:jc w:val="left"/>
                    <w:rPr>
                      <w:rFonts w:eastAsia="Times New Roman" w:cs="Calibri"/>
                      <w:i/>
                      <w:iCs/>
                      <w:sz w:val="18"/>
                      <w:szCs w:val="18"/>
                    </w:rPr>
                  </w:pPr>
                  <w:r w:rsidRPr="002926D7">
                    <w:rPr>
                      <w:rFonts w:cs="Calibri"/>
                      <w:i/>
                      <w:iCs/>
                      <w:color w:val="000000"/>
                      <w:sz w:val="18"/>
                      <w:szCs w:val="18"/>
                    </w:rPr>
                    <w:t>9. 10-12 country level audits per year by reputable international firm.  </w:t>
                  </w:r>
                </w:p>
              </w:tc>
            </w:tr>
            <w:tr w:rsidR="002A37E0" w:rsidRPr="002926D7" w14:paraId="0137710B" w14:textId="77777777" w:rsidTr="00451B63">
              <w:trPr>
                <w:trHeight w:val="250"/>
              </w:trPr>
              <w:tc>
                <w:tcPr>
                  <w:tcW w:w="9360" w:type="dxa"/>
                  <w:tcBorders>
                    <w:top w:val="nil"/>
                    <w:left w:val="nil"/>
                    <w:bottom w:val="nil"/>
                    <w:right w:val="nil"/>
                  </w:tcBorders>
                  <w:noWrap/>
                  <w:vAlign w:val="center"/>
                  <w:hideMark/>
                </w:tcPr>
                <w:p w14:paraId="443A0750" w14:textId="64C476F2" w:rsidR="002A37E0" w:rsidRPr="002926D7" w:rsidRDefault="002A37E0" w:rsidP="002926D7">
                  <w:pPr>
                    <w:jc w:val="left"/>
                    <w:rPr>
                      <w:rFonts w:eastAsia="Times New Roman" w:cs="Calibri"/>
                      <w:i/>
                      <w:iCs/>
                      <w:sz w:val="18"/>
                      <w:szCs w:val="18"/>
                    </w:rPr>
                  </w:pPr>
                  <w:r w:rsidRPr="002926D7">
                    <w:rPr>
                      <w:rFonts w:cs="Calibri"/>
                      <w:i/>
                      <w:iCs/>
                      <w:color w:val="000000"/>
                      <w:sz w:val="18"/>
                      <w:szCs w:val="18"/>
                    </w:rPr>
                    <w:t>10. Cost of supplies for day-to-day operation of SGP global and country offices (e.g. stationaries) </w:t>
                  </w:r>
                </w:p>
              </w:tc>
            </w:tr>
            <w:tr w:rsidR="002A37E0" w:rsidRPr="002926D7" w14:paraId="3F808429" w14:textId="77777777" w:rsidTr="00451B63">
              <w:trPr>
                <w:trHeight w:val="250"/>
              </w:trPr>
              <w:tc>
                <w:tcPr>
                  <w:tcW w:w="9360" w:type="dxa"/>
                  <w:tcBorders>
                    <w:top w:val="nil"/>
                    <w:left w:val="nil"/>
                    <w:bottom w:val="nil"/>
                    <w:right w:val="nil"/>
                  </w:tcBorders>
                  <w:noWrap/>
                  <w:vAlign w:val="center"/>
                  <w:hideMark/>
                </w:tcPr>
                <w:p w14:paraId="46F85277" w14:textId="7C76CCB5" w:rsidR="002A37E0" w:rsidRPr="002926D7" w:rsidRDefault="002A37E0" w:rsidP="002926D7">
                  <w:pPr>
                    <w:jc w:val="left"/>
                    <w:rPr>
                      <w:rFonts w:eastAsia="Times New Roman" w:cs="Calibri"/>
                      <w:i/>
                      <w:iCs/>
                      <w:sz w:val="18"/>
                      <w:szCs w:val="18"/>
                    </w:rPr>
                  </w:pPr>
                  <w:r w:rsidRPr="002926D7">
                    <w:rPr>
                      <w:rFonts w:cs="Calibri"/>
                      <w:i/>
                      <w:iCs/>
                      <w:color w:val="000000"/>
                      <w:sz w:val="18"/>
                      <w:szCs w:val="18"/>
                    </w:rPr>
                    <w:t>11. Miscellaneous Costs including bank charges</w:t>
                  </w:r>
                </w:p>
              </w:tc>
            </w:tr>
            <w:tr w:rsidR="002A37E0" w:rsidRPr="002926D7" w14:paraId="7BF0EA09" w14:textId="77777777" w:rsidTr="00451B63">
              <w:trPr>
                <w:trHeight w:val="250"/>
              </w:trPr>
              <w:tc>
                <w:tcPr>
                  <w:tcW w:w="9360" w:type="dxa"/>
                  <w:tcBorders>
                    <w:top w:val="nil"/>
                    <w:left w:val="nil"/>
                    <w:bottom w:val="nil"/>
                    <w:right w:val="nil"/>
                  </w:tcBorders>
                  <w:noWrap/>
                  <w:vAlign w:val="center"/>
                  <w:hideMark/>
                </w:tcPr>
                <w:p w14:paraId="405AF189" w14:textId="1140A0BC" w:rsidR="002A37E0" w:rsidRPr="002926D7" w:rsidRDefault="002A37E0" w:rsidP="002926D7">
                  <w:pPr>
                    <w:jc w:val="left"/>
                    <w:rPr>
                      <w:rFonts w:eastAsia="Times New Roman" w:cs="Calibri"/>
                      <w:i/>
                      <w:iCs/>
                      <w:sz w:val="18"/>
                      <w:szCs w:val="18"/>
                    </w:rPr>
                  </w:pPr>
                  <w:r w:rsidRPr="002926D7">
                    <w:rPr>
                      <w:rFonts w:cs="Calibri"/>
                      <w:i/>
                      <w:iCs/>
                      <w:color w:val="000000"/>
                      <w:sz w:val="18"/>
                      <w:szCs w:val="18"/>
                    </w:rPr>
                    <w:t>12. Knowledge Management &amp; Communication product costs.</w:t>
                  </w:r>
                </w:p>
              </w:tc>
            </w:tr>
            <w:tr w:rsidR="002A37E0" w:rsidRPr="002926D7" w14:paraId="51C5D61A" w14:textId="77777777" w:rsidTr="00451B63">
              <w:trPr>
                <w:trHeight w:val="250"/>
              </w:trPr>
              <w:tc>
                <w:tcPr>
                  <w:tcW w:w="9360" w:type="dxa"/>
                  <w:tcBorders>
                    <w:top w:val="nil"/>
                    <w:left w:val="nil"/>
                    <w:bottom w:val="nil"/>
                    <w:right w:val="nil"/>
                  </w:tcBorders>
                  <w:noWrap/>
                  <w:vAlign w:val="center"/>
                  <w:hideMark/>
                </w:tcPr>
                <w:p w14:paraId="644F503B" w14:textId="2C45DD3E" w:rsidR="002A37E0" w:rsidRPr="002926D7" w:rsidRDefault="002A37E0" w:rsidP="002926D7">
                  <w:pPr>
                    <w:jc w:val="left"/>
                    <w:rPr>
                      <w:rFonts w:eastAsia="Times New Roman" w:cs="Calibri"/>
                      <w:i/>
                      <w:iCs/>
                      <w:sz w:val="18"/>
                      <w:szCs w:val="18"/>
                    </w:rPr>
                  </w:pPr>
                  <w:r w:rsidRPr="002926D7">
                    <w:rPr>
                      <w:rFonts w:cs="Calibri"/>
                      <w:i/>
                      <w:iCs/>
                      <w:color w:val="000000"/>
                      <w:sz w:val="18"/>
                      <w:szCs w:val="18"/>
                    </w:rPr>
                    <w:t>13. Purchase of office equipment and furniture</w:t>
                  </w:r>
                </w:p>
              </w:tc>
            </w:tr>
            <w:tr w:rsidR="002A37E0" w:rsidRPr="002926D7" w14:paraId="5B7AF870" w14:textId="77777777" w:rsidTr="00451B63">
              <w:trPr>
                <w:trHeight w:val="250"/>
              </w:trPr>
              <w:tc>
                <w:tcPr>
                  <w:tcW w:w="9360" w:type="dxa"/>
                  <w:tcBorders>
                    <w:top w:val="nil"/>
                    <w:left w:val="nil"/>
                    <w:bottom w:val="nil"/>
                    <w:right w:val="nil"/>
                  </w:tcBorders>
                  <w:noWrap/>
                  <w:vAlign w:val="center"/>
                  <w:hideMark/>
                </w:tcPr>
                <w:p w14:paraId="2DB38826" w14:textId="70E10FBD" w:rsidR="002A37E0" w:rsidRPr="002926D7" w:rsidRDefault="002A37E0" w:rsidP="002926D7">
                  <w:pPr>
                    <w:jc w:val="left"/>
                    <w:rPr>
                      <w:rFonts w:eastAsia="Times New Roman" w:cs="Calibri"/>
                      <w:i/>
                      <w:iCs/>
                      <w:sz w:val="18"/>
                      <w:szCs w:val="18"/>
                    </w:rPr>
                  </w:pPr>
                  <w:r w:rsidRPr="002926D7">
                    <w:rPr>
                      <w:rFonts w:cs="Calibri"/>
                      <w:i/>
                      <w:iCs/>
                      <w:color w:val="000000"/>
                      <w:sz w:val="18"/>
                      <w:szCs w:val="18"/>
                    </w:rPr>
                    <w:t>14. Materials &amp; Goods</w:t>
                  </w:r>
                </w:p>
              </w:tc>
            </w:tr>
            <w:tr w:rsidR="002A37E0" w:rsidRPr="002926D7" w14:paraId="01F4236E" w14:textId="77777777" w:rsidTr="00451B63">
              <w:trPr>
                <w:trHeight w:val="250"/>
              </w:trPr>
              <w:tc>
                <w:tcPr>
                  <w:tcW w:w="9360" w:type="dxa"/>
                  <w:tcBorders>
                    <w:top w:val="nil"/>
                    <w:left w:val="nil"/>
                    <w:bottom w:val="nil"/>
                    <w:right w:val="nil"/>
                  </w:tcBorders>
                  <w:noWrap/>
                  <w:vAlign w:val="center"/>
                  <w:hideMark/>
                </w:tcPr>
                <w:p w14:paraId="1799CA57" w14:textId="10CEF2F4" w:rsidR="002A37E0" w:rsidRPr="002926D7" w:rsidRDefault="002A37E0" w:rsidP="002926D7">
                  <w:pPr>
                    <w:jc w:val="left"/>
                    <w:rPr>
                      <w:rFonts w:eastAsia="Times New Roman" w:cs="Calibri"/>
                      <w:i/>
                      <w:iCs/>
                      <w:sz w:val="18"/>
                      <w:szCs w:val="18"/>
                    </w:rPr>
                  </w:pPr>
                  <w:r w:rsidRPr="002926D7">
                    <w:rPr>
                      <w:rFonts w:cs="Calibri"/>
                      <w:i/>
                      <w:iCs/>
                      <w:color w:val="000000"/>
                      <w:sz w:val="18"/>
                      <w:szCs w:val="18"/>
                    </w:rPr>
                    <w:t>15. Acquisition of Audio Visual &amp; Communication equipments</w:t>
                  </w:r>
                </w:p>
              </w:tc>
            </w:tr>
            <w:tr w:rsidR="002A37E0" w:rsidRPr="002926D7" w14:paraId="2F127306" w14:textId="77777777" w:rsidTr="00451B63">
              <w:trPr>
                <w:trHeight w:val="250"/>
              </w:trPr>
              <w:tc>
                <w:tcPr>
                  <w:tcW w:w="9360" w:type="dxa"/>
                  <w:tcBorders>
                    <w:top w:val="nil"/>
                    <w:left w:val="nil"/>
                    <w:bottom w:val="nil"/>
                    <w:right w:val="nil"/>
                  </w:tcBorders>
                  <w:noWrap/>
                  <w:vAlign w:val="center"/>
                  <w:hideMark/>
                </w:tcPr>
                <w:p w14:paraId="0DFFF2CE" w14:textId="58DB3C8A" w:rsidR="002A37E0" w:rsidRPr="002926D7" w:rsidRDefault="002A37E0" w:rsidP="002926D7">
                  <w:pPr>
                    <w:jc w:val="left"/>
                    <w:rPr>
                      <w:rFonts w:eastAsia="Times New Roman" w:cs="Calibri"/>
                      <w:i/>
                      <w:iCs/>
                      <w:sz w:val="18"/>
                      <w:szCs w:val="18"/>
                    </w:rPr>
                  </w:pPr>
                  <w:r w:rsidRPr="002926D7">
                    <w:rPr>
                      <w:rFonts w:cs="Calibri"/>
                      <w:i/>
                      <w:iCs/>
                      <w:color w:val="000000"/>
                      <w:sz w:val="18"/>
                      <w:szCs w:val="18"/>
                    </w:rPr>
                    <w:t>16. Acquisition of Information Technology supplies</w:t>
                  </w:r>
                </w:p>
              </w:tc>
            </w:tr>
            <w:tr w:rsidR="002A37E0" w:rsidRPr="002926D7" w14:paraId="5A26658A" w14:textId="77777777" w:rsidTr="00451B63">
              <w:trPr>
                <w:trHeight w:val="250"/>
              </w:trPr>
              <w:tc>
                <w:tcPr>
                  <w:tcW w:w="9360" w:type="dxa"/>
                  <w:tcBorders>
                    <w:top w:val="nil"/>
                    <w:left w:val="nil"/>
                    <w:bottom w:val="nil"/>
                    <w:right w:val="nil"/>
                  </w:tcBorders>
                  <w:noWrap/>
                  <w:vAlign w:val="center"/>
                  <w:hideMark/>
                </w:tcPr>
                <w:p w14:paraId="71D381C5" w14:textId="544B43F4" w:rsidR="002A37E0" w:rsidRPr="002926D7" w:rsidRDefault="002A37E0" w:rsidP="002926D7">
                  <w:pPr>
                    <w:jc w:val="left"/>
                    <w:rPr>
                      <w:rFonts w:eastAsia="Times New Roman" w:cs="Calibri"/>
                      <w:i/>
                      <w:iCs/>
                      <w:sz w:val="18"/>
                      <w:szCs w:val="18"/>
                    </w:rPr>
                  </w:pPr>
                  <w:r w:rsidRPr="002926D7">
                    <w:rPr>
                      <w:rFonts w:cs="Calibri"/>
                      <w:i/>
                      <w:iCs/>
                      <w:color w:val="000000"/>
                      <w:sz w:val="18"/>
                      <w:szCs w:val="18"/>
                    </w:rPr>
                    <w:t>17. Rent and maintenance of office equipment.</w:t>
                  </w:r>
                </w:p>
              </w:tc>
            </w:tr>
            <w:tr w:rsidR="002A37E0" w:rsidRPr="002926D7" w14:paraId="6F0BD880" w14:textId="77777777" w:rsidTr="00451B63">
              <w:trPr>
                <w:trHeight w:val="250"/>
              </w:trPr>
              <w:tc>
                <w:tcPr>
                  <w:tcW w:w="9360" w:type="dxa"/>
                  <w:tcBorders>
                    <w:top w:val="nil"/>
                    <w:left w:val="nil"/>
                    <w:bottom w:val="nil"/>
                    <w:right w:val="nil"/>
                  </w:tcBorders>
                  <w:noWrap/>
                  <w:vAlign w:val="center"/>
                  <w:hideMark/>
                </w:tcPr>
                <w:p w14:paraId="3C95F802" w14:textId="77777777" w:rsidR="002A37E0" w:rsidRPr="002926D7" w:rsidRDefault="002A37E0" w:rsidP="002926D7">
                  <w:pPr>
                    <w:jc w:val="left"/>
                    <w:rPr>
                      <w:rFonts w:cs="Calibri"/>
                      <w:i/>
                      <w:iCs/>
                      <w:color w:val="000000"/>
                      <w:sz w:val="18"/>
                      <w:szCs w:val="18"/>
                    </w:rPr>
                  </w:pPr>
                  <w:r w:rsidRPr="002926D7">
                    <w:rPr>
                      <w:rFonts w:cs="Calibri"/>
                      <w:i/>
                      <w:iCs/>
                      <w:color w:val="000000"/>
                      <w:sz w:val="18"/>
                      <w:szCs w:val="18"/>
                    </w:rPr>
                    <w:t>18. Payments for printing services</w:t>
                  </w:r>
                </w:p>
                <w:p w14:paraId="0E124C75" w14:textId="61460C4E" w:rsidR="008E62BD" w:rsidRPr="002926D7" w:rsidRDefault="008E62BD" w:rsidP="002926D7">
                  <w:pPr>
                    <w:jc w:val="left"/>
                    <w:rPr>
                      <w:rFonts w:eastAsia="Times New Roman" w:cs="Calibri"/>
                      <w:i/>
                      <w:iCs/>
                      <w:sz w:val="18"/>
                      <w:szCs w:val="18"/>
                    </w:rPr>
                  </w:pPr>
                  <w:r w:rsidRPr="002926D7">
                    <w:rPr>
                      <w:rFonts w:eastAsia="Times New Roman" w:cs="Calibri"/>
                      <w:i/>
                      <w:iCs/>
                      <w:sz w:val="18"/>
                      <w:szCs w:val="18"/>
                    </w:rPr>
                    <w:t>19. Transport, Shipping and handle of goods.</w:t>
                  </w:r>
                </w:p>
              </w:tc>
            </w:tr>
          </w:tbl>
          <w:p w14:paraId="42125563" w14:textId="17DFDDC4" w:rsidR="00781308" w:rsidRPr="002926D7" w:rsidRDefault="00781308" w:rsidP="002926D7">
            <w:pPr>
              <w:jc w:val="left"/>
              <w:rPr>
                <w:rFonts w:eastAsia="Times New Roman" w:cs="Calibri"/>
                <w:sz w:val="18"/>
                <w:szCs w:val="18"/>
              </w:rPr>
            </w:pPr>
          </w:p>
        </w:tc>
      </w:tr>
      <w:tr w:rsidR="00781308" w:rsidRPr="002926D7" w14:paraId="7D8BEAB9" w14:textId="77777777" w:rsidTr="00E44B21">
        <w:trPr>
          <w:trHeight w:val="250"/>
        </w:trPr>
        <w:tc>
          <w:tcPr>
            <w:tcW w:w="14580" w:type="dxa"/>
            <w:tcBorders>
              <w:top w:val="nil"/>
              <w:left w:val="nil"/>
              <w:bottom w:val="nil"/>
              <w:right w:val="nil"/>
            </w:tcBorders>
            <w:noWrap/>
            <w:vAlign w:val="center"/>
          </w:tcPr>
          <w:p w14:paraId="645720A3" w14:textId="024B789B" w:rsidR="00781308" w:rsidRPr="002926D7" w:rsidRDefault="00781308" w:rsidP="002926D7">
            <w:pPr>
              <w:jc w:val="left"/>
              <w:rPr>
                <w:rFonts w:eastAsia="Times New Roman" w:cs="Calibri"/>
                <w:sz w:val="18"/>
                <w:szCs w:val="18"/>
              </w:rPr>
            </w:pPr>
          </w:p>
        </w:tc>
      </w:tr>
      <w:tr w:rsidR="00781308" w:rsidRPr="002926D7" w14:paraId="772E9195" w14:textId="77777777" w:rsidTr="00E44B21">
        <w:trPr>
          <w:trHeight w:val="290"/>
        </w:trPr>
        <w:tc>
          <w:tcPr>
            <w:tcW w:w="14580" w:type="dxa"/>
            <w:tcBorders>
              <w:top w:val="nil"/>
              <w:left w:val="nil"/>
              <w:bottom w:val="nil"/>
              <w:right w:val="nil"/>
            </w:tcBorders>
            <w:noWrap/>
            <w:vAlign w:val="center"/>
          </w:tcPr>
          <w:p w14:paraId="7BB8AF6B" w14:textId="245E81F7" w:rsidR="00781308" w:rsidRPr="002926D7" w:rsidRDefault="00781308" w:rsidP="002926D7">
            <w:pPr>
              <w:jc w:val="left"/>
              <w:rPr>
                <w:rFonts w:eastAsia="Times New Roman" w:cs="Calibri"/>
                <w:sz w:val="18"/>
                <w:szCs w:val="18"/>
              </w:rPr>
            </w:pPr>
          </w:p>
        </w:tc>
      </w:tr>
      <w:tr w:rsidR="00781308" w:rsidRPr="002926D7" w14:paraId="333C10D6" w14:textId="77777777" w:rsidTr="00E44B21">
        <w:trPr>
          <w:trHeight w:val="290"/>
        </w:trPr>
        <w:tc>
          <w:tcPr>
            <w:tcW w:w="14580" w:type="dxa"/>
            <w:tcBorders>
              <w:top w:val="nil"/>
              <w:left w:val="nil"/>
              <w:bottom w:val="nil"/>
              <w:right w:val="nil"/>
            </w:tcBorders>
            <w:noWrap/>
            <w:vAlign w:val="center"/>
          </w:tcPr>
          <w:p w14:paraId="572B4D29" w14:textId="2AF23782" w:rsidR="00781308" w:rsidRPr="002926D7" w:rsidRDefault="00781308" w:rsidP="002926D7">
            <w:pPr>
              <w:jc w:val="left"/>
              <w:rPr>
                <w:rFonts w:eastAsia="Times New Roman" w:cs="Calibri"/>
                <w:sz w:val="18"/>
                <w:szCs w:val="18"/>
              </w:rPr>
            </w:pPr>
          </w:p>
        </w:tc>
      </w:tr>
    </w:tbl>
    <w:p w14:paraId="391E1302" w14:textId="77777777" w:rsidR="00BF2978" w:rsidRPr="002926D7" w:rsidRDefault="00BF2978" w:rsidP="002926D7">
      <w:pPr>
        <w:jc w:val="left"/>
        <w:rPr>
          <w:rFonts w:asciiTheme="minorHAnsi" w:hAnsiTheme="minorHAnsi" w:cstheme="minorHAnsi"/>
          <w:sz w:val="12"/>
          <w:szCs w:val="12"/>
        </w:rPr>
      </w:pPr>
    </w:p>
    <w:bookmarkEnd w:id="204"/>
    <w:bookmarkEnd w:id="205"/>
    <w:bookmarkEnd w:id="206"/>
    <w:p w14:paraId="29F21295" w14:textId="53220599" w:rsidR="00734E23" w:rsidRPr="002926D7" w:rsidRDefault="00734E23" w:rsidP="002926D7">
      <w:pPr>
        <w:jc w:val="left"/>
        <w:rPr>
          <w:szCs w:val="28"/>
        </w:rPr>
        <w:sectPr w:rsidR="00734E23" w:rsidRPr="002926D7" w:rsidSect="00294901">
          <w:pgSz w:w="15840" w:h="12240" w:orient="landscape" w:code="1"/>
          <w:pgMar w:top="864" w:right="720" w:bottom="864" w:left="720" w:header="720" w:footer="432" w:gutter="0"/>
          <w:cols w:space="708"/>
          <w:titlePg/>
          <w:docGrid w:linePitch="360"/>
        </w:sectPr>
      </w:pPr>
    </w:p>
    <w:p w14:paraId="08C86E3D" w14:textId="77777777" w:rsidR="003E3ABA" w:rsidRPr="002926D7" w:rsidRDefault="003E3ABA" w:rsidP="002926D7">
      <w:pPr>
        <w:pStyle w:val="Heading1"/>
        <w:spacing w:before="0" w:after="60"/>
        <w:rPr>
          <w:rFonts w:ascii="Calibri" w:hAnsi="Calibri"/>
          <w:szCs w:val="28"/>
        </w:rPr>
      </w:pPr>
      <w:bookmarkStart w:id="207" w:name="_Toc151386986"/>
      <w:r w:rsidRPr="002926D7">
        <w:rPr>
          <w:rFonts w:ascii="Calibri" w:hAnsi="Calibri"/>
          <w:szCs w:val="28"/>
        </w:rPr>
        <w:lastRenderedPageBreak/>
        <w:t>Legal Context</w:t>
      </w:r>
      <w:bookmarkEnd w:id="207"/>
    </w:p>
    <w:p w14:paraId="73586B4C" w14:textId="43178651" w:rsidR="00BF2978" w:rsidRPr="002926D7" w:rsidRDefault="00BF2978" w:rsidP="002926D7"/>
    <w:p w14:paraId="3B873585" w14:textId="77777777" w:rsidR="00BF2978" w:rsidRPr="002926D7" w:rsidRDefault="00BF2978" w:rsidP="002926D7"/>
    <w:p w14:paraId="2CBC2511" w14:textId="77777777" w:rsidR="00BF2978" w:rsidRPr="002926D7" w:rsidRDefault="00BF2978" w:rsidP="002926D7">
      <w:pPr>
        <w:numPr>
          <w:ilvl w:val="0"/>
          <w:numId w:val="8"/>
        </w:numPr>
        <w:ind w:left="0" w:firstLine="0"/>
      </w:pPr>
      <w:r w:rsidRPr="002926D7">
        <w:rPr>
          <w:rFonts w:cs="Arial"/>
          <w:iCs/>
          <w:szCs w:val="20"/>
        </w:rPr>
        <w:t xml:space="preserve">This project forms part of an overall programmatic framework under which several separate associated country level activities will be implemented. When assistance and support services are provided from this Project to the associated country level activities, this document shall be the “Project Document” instrument referred to in: (i) the respective signed SBAAs for the specific countries; or (ii) in the </w:t>
      </w:r>
      <w:hyperlink r:id="rId35" w:history="1">
        <w:r w:rsidRPr="002926D7">
          <w:rPr>
            <w:rFonts w:cs="Arial"/>
            <w:color w:val="0000FF"/>
            <w:szCs w:val="20"/>
            <w:u w:val="single"/>
          </w:rPr>
          <w:t>Supplemental Provisions</w:t>
        </w:r>
      </w:hyperlink>
      <w:r w:rsidRPr="002926D7">
        <w:rPr>
          <w:rFonts w:cs="Arial"/>
          <w:color w:val="0000FF"/>
          <w:szCs w:val="20"/>
          <w:u w:val="single"/>
        </w:rPr>
        <w:t xml:space="preserve"> to the Project Document</w:t>
      </w:r>
      <w:r w:rsidRPr="002926D7">
        <w:rPr>
          <w:rFonts w:cs="Arial"/>
          <w:iCs/>
          <w:szCs w:val="20"/>
        </w:rPr>
        <w:t xml:space="preserve"> attached to the Project Document in cases where the recipient country has not signed an SBAA with UNDP, attached hereto and forming an integral part hereof. </w:t>
      </w:r>
      <w:r w:rsidRPr="002926D7">
        <w:rPr>
          <w:rFonts w:cs="Arial"/>
          <w:szCs w:val="20"/>
        </w:rPr>
        <w:t>All references in the SBAA to “Executing Agency” shall be deemed to refer to “Implementing Partner.”</w:t>
      </w:r>
    </w:p>
    <w:p w14:paraId="56475A80" w14:textId="77777777" w:rsidR="00BF2978" w:rsidRPr="002926D7" w:rsidRDefault="00BF2978" w:rsidP="002926D7"/>
    <w:p w14:paraId="091CD609" w14:textId="2EA7BAFA" w:rsidR="001525A3" w:rsidRPr="002926D7" w:rsidRDefault="00BF2978" w:rsidP="002926D7">
      <w:pPr>
        <w:numPr>
          <w:ilvl w:val="0"/>
          <w:numId w:val="8"/>
        </w:numPr>
        <w:ind w:left="0" w:firstLine="0"/>
      </w:pPr>
      <w:r w:rsidRPr="002926D7">
        <w:rPr>
          <w:rFonts w:cs="Arial"/>
          <w:iCs/>
          <w:szCs w:val="20"/>
        </w:rPr>
        <w:t xml:space="preserve">This project will be implemented by </w:t>
      </w:r>
      <w:r w:rsidR="003E2BFF">
        <w:rPr>
          <w:rFonts w:cs="Arial"/>
          <w:szCs w:val="20"/>
        </w:rPr>
        <w:t>UNDP</w:t>
      </w:r>
      <w:r w:rsidRPr="002926D7">
        <w:rPr>
          <w:rFonts w:cs="Arial"/>
          <w:szCs w:val="20"/>
        </w:rPr>
        <w:t xml:space="preserve"> </w:t>
      </w:r>
      <w:r w:rsidRPr="002926D7">
        <w:rPr>
          <w:rFonts w:cs="Arial"/>
          <w:iCs/>
          <w:szCs w:val="20"/>
        </w:rPr>
        <w:t>(“Implementing Partner”) in accordance with its financial regulations, rules, practices and procedures only to the extent that they do not contravene the principles of the Financial Regulations and Rules of UNDP. Where the financial governance of an Implementing Partner does not provide the required guidance to ensure best value for money, fairness, integrity, transparency, and effective international competition, the financial governance of UNDP shall apply</w:t>
      </w:r>
      <w:r w:rsidR="001525A3" w:rsidRPr="002926D7">
        <w:rPr>
          <w:rFonts w:cs="Arial"/>
        </w:rPr>
        <w:t>.</w:t>
      </w:r>
      <w:r w:rsidR="001525A3" w:rsidRPr="002926D7">
        <w:rPr>
          <w:rFonts w:cs="Arial"/>
          <w:b/>
          <w:bCs/>
        </w:rPr>
        <w:t xml:space="preserve">  </w:t>
      </w:r>
    </w:p>
    <w:p w14:paraId="68BA7A4A" w14:textId="72265006" w:rsidR="00F62A77" w:rsidRPr="002926D7" w:rsidRDefault="00F62A77" w:rsidP="002926D7">
      <w:pPr>
        <w:jc w:val="left"/>
        <w:rPr>
          <w:szCs w:val="20"/>
        </w:rPr>
      </w:pPr>
    </w:p>
    <w:p w14:paraId="54F261AB" w14:textId="77777777" w:rsidR="00A94FFC" w:rsidRPr="002926D7" w:rsidRDefault="00A94FFC" w:rsidP="002926D7">
      <w:pPr>
        <w:pStyle w:val="Heading1"/>
        <w:spacing w:before="0" w:after="60"/>
        <w:jc w:val="left"/>
        <w:rPr>
          <w:rFonts w:ascii="Calibri" w:hAnsi="Calibri"/>
          <w:szCs w:val="28"/>
        </w:rPr>
      </w:pPr>
      <w:bookmarkStart w:id="208" w:name="_Toc151386987"/>
      <w:r w:rsidRPr="002926D7">
        <w:rPr>
          <w:rFonts w:ascii="Calibri" w:hAnsi="Calibri"/>
          <w:szCs w:val="28"/>
        </w:rPr>
        <w:t>Risk Management</w:t>
      </w:r>
      <w:bookmarkEnd w:id="208"/>
    </w:p>
    <w:p w14:paraId="37BE70A6" w14:textId="7888A857" w:rsidR="00BF2978" w:rsidRPr="002926D7" w:rsidRDefault="00BF2978" w:rsidP="002926D7">
      <w:pPr>
        <w:spacing w:after="60"/>
        <w:rPr>
          <w:rFonts w:cs="Arial"/>
          <w:b/>
          <w:szCs w:val="20"/>
        </w:rPr>
      </w:pPr>
    </w:p>
    <w:p w14:paraId="1FF45611" w14:textId="77777777" w:rsidR="00BF2978" w:rsidRPr="002926D7" w:rsidRDefault="00BF2978" w:rsidP="002926D7">
      <w:pPr>
        <w:numPr>
          <w:ilvl w:val="0"/>
          <w:numId w:val="26"/>
        </w:numPr>
        <w:ind w:left="360"/>
      </w:pPr>
      <w:r w:rsidRPr="002926D7">
        <w:t>UNDP as the Implementing Partner will comply with the policies, procedures and practices of the United Nations Security Management System (UNSMS.)</w:t>
      </w:r>
    </w:p>
    <w:p w14:paraId="7B9681C5" w14:textId="77777777" w:rsidR="00BF2978" w:rsidRPr="002926D7" w:rsidRDefault="00BF2978" w:rsidP="002926D7">
      <w:pPr>
        <w:ind w:left="360"/>
      </w:pPr>
    </w:p>
    <w:p w14:paraId="57FD5A3A" w14:textId="77777777" w:rsidR="00BF2978" w:rsidRPr="002926D7" w:rsidRDefault="00BF2978" w:rsidP="002926D7">
      <w:pPr>
        <w:numPr>
          <w:ilvl w:val="0"/>
          <w:numId w:val="26"/>
        </w:numPr>
        <w:ind w:left="360"/>
      </w:pPr>
      <w:r w:rsidRPr="002926D7">
        <w:t>UNDP as the Implementing Partner will undertake all reasonable efforts to ensure that none of the [project funds]</w:t>
      </w:r>
      <w:r w:rsidRPr="002926D7">
        <w:footnoteReference w:id="16"/>
      </w:r>
      <w:r w:rsidRPr="002926D7">
        <w:t xml:space="preserve"> [UNDP funds received pursuant to the Project Document]</w:t>
      </w:r>
      <w:r w:rsidRPr="002926D7">
        <w:footnoteReference w:id="17"/>
      </w:r>
      <w:r w:rsidRPr="002926D7">
        <w:t xml:space="preserve"> are used to provide support to individuals or entities associated with terrorism and that the recipients of any amounts provided by UNDP hereunder do not appear on the list maintained by the Security Council Committee established pursuant to resolution 1267 (1999). </w:t>
      </w:r>
      <w:r w:rsidRPr="002926D7">
        <w:rPr>
          <w:rFonts w:eastAsia="Calibri" w:cs="Arial"/>
        </w:rPr>
        <w:t xml:space="preserve">The United Nations Security Council Consolidated Sanctions List, and that no UNDP funds received pursuant to the Project Document are used for money laundering activities. The United Nations Security Council Consolidated Sanctions List can be accessed via </w:t>
      </w:r>
      <w:hyperlink r:id="rId36" w:history="1">
        <w:r w:rsidRPr="002926D7">
          <w:rPr>
            <w:rFonts w:eastAsia="Calibri" w:cs="Arial"/>
            <w:color w:val="0000FF"/>
            <w:u w:val="single"/>
          </w:rPr>
          <w:t>https://www.un.org/securitycouncil/content/un-sc-consolidated-list</w:t>
        </w:r>
      </w:hyperlink>
      <w:r w:rsidRPr="002926D7">
        <w:rPr>
          <w:rFonts w:eastAsia="Calibri" w:cs="Arial"/>
        </w:rPr>
        <w:t>.</w:t>
      </w:r>
      <w:r w:rsidRPr="002926D7">
        <w:t xml:space="preserve"> This provision must be included in all sub-contracts or sub-agreements entered into under this Project Document.</w:t>
      </w:r>
    </w:p>
    <w:p w14:paraId="2D7B400F" w14:textId="77777777" w:rsidR="00BF2978" w:rsidRPr="002926D7" w:rsidRDefault="00BF2978" w:rsidP="002926D7">
      <w:pPr>
        <w:numPr>
          <w:ilvl w:val="0"/>
          <w:numId w:val="26"/>
        </w:numPr>
        <w:spacing w:before="100" w:beforeAutospacing="1" w:after="240"/>
        <w:ind w:left="360"/>
        <w:rPr>
          <w:u w:val="single"/>
        </w:rPr>
      </w:pPr>
      <w:r w:rsidRPr="002926D7">
        <w:t xml:space="preserve">Social and environmental sustainability will be enhanced through application of the UNDP Social and Environmental Standards (http://www.undp.org/ses) and related Accountability Mechanism (http://www.undp.org/secu-srm). </w:t>
      </w:r>
    </w:p>
    <w:p w14:paraId="6C5542E2" w14:textId="77777777" w:rsidR="00BF2978" w:rsidRPr="002926D7" w:rsidRDefault="00BF2978" w:rsidP="002926D7">
      <w:pPr>
        <w:numPr>
          <w:ilvl w:val="0"/>
          <w:numId w:val="26"/>
        </w:numPr>
        <w:autoSpaceDE w:val="0"/>
        <w:autoSpaceDN w:val="0"/>
        <w:adjustRightInd w:val="0"/>
        <w:ind w:left="360"/>
      </w:pPr>
      <w:r w:rsidRPr="002926D7">
        <w:rPr>
          <w:color w:val="101010"/>
          <w:spacing w:val="-6"/>
          <w:kern w:val="1"/>
        </w:rPr>
        <w:t xml:space="preserve">UNDP as the Implementing Partner will: (a) conduct project and programme-related activities in a manner consistent with the UNDP Social and Environmental Standards, (b) implement any management or mitigation plan prepared for the project or programme to comply with such standards, and (c) engage in a constructive and timely manner to address any concerns and complaints raised through the Accountability Mechanism. </w:t>
      </w:r>
      <w:r w:rsidRPr="002926D7">
        <w:rPr>
          <w:color w:val="141414"/>
          <w:spacing w:val="-4"/>
          <w:lang w:val="en-GB"/>
        </w:rPr>
        <w:t>UNDP</w:t>
      </w:r>
      <w:r w:rsidRPr="002926D7">
        <w:rPr>
          <w:color w:val="000000"/>
          <w:lang w:val="en-GB"/>
        </w:rPr>
        <w:t xml:space="preserve"> will seek to ensure that communities and other project stakeholders are informed of and have access to the Accountability Mechanism. </w:t>
      </w:r>
    </w:p>
    <w:p w14:paraId="1DF3C43A" w14:textId="77777777" w:rsidR="00BF2978" w:rsidRPr="002926D7" w:rsidRDefault="00BF2978" w:rsidP="002926D7">
      <w:pPr>
        <w:autoSpaceDE w:val="0"/>
        <w:autoSpaceDN w:val="0"/>
        <w:adjustRightInd w:val="0"/>
        <w:ind w:left="360"/>
      </w:pPr>
    </w:p>
    <w:p w14:paraId="2BBB9CBE" w14:textId="77777777" w:rsidR="00BF2978" w:rsidRPr="002926D7" w:rsidRDefault="00BF2978" w:rsidP="002926D7">
      <w:pPr>
        <w:numPr>
          <w:ilvl w:val="0"/>
          <w:numId w:val="26"/>
        </w:numPr>
        <w:autoSpaceDE w:val="0"/>
        <w:autoSpaceDN w:val="0"/>
        <w:adjustRightInd w:val="0"/>
        <w:ind w:left="360"/>
      </w:pPr>
      <w:r w:rsidRPr="002926D7">
        <w:rPr>
          <w:color w:val="000000"/>
        </w:rPr>
        <w:t>In the implementation of the activities under this Project Document, UNDP as the Implementing Partner will handle any sexual exploitation and abuse (“SEA”) and sexual harassment (“SH”) allegations in accordance with its regulations, rules, policies and procedures.</w:t>
      </w:r>
    </w:p>
    <w:p w14:paraId="5778FD4A" w14:textId="77777777" w:rsidR="00BF2978" w:rsidRPr="002926D7" w:rsidRDefault="00BF2978" w:rsidP="002926D7">
      <w:pPr>
        <w:numPr>
          <w:ilvl w:val="0"/>
          <w:numId w:val="26"/>
        </w:numPr>
        <w:spacing w:before="240" w:after="240"/>
        <w:ind w:left="360"/>
        <w:rPr>
          <w:spacing w:val="-4"/>
        </w:rPr>
      </w:pPr>
      <w:r w:rsidRPr="002926D7">
        <w:rPr>
          <w:spacing w:val="-4"/>
        </w:rPr>
        <w:lastRenderedPageBreak/>
        <w:t>All signatories to the Project Document shall cooperate in good faith with any exercise to evaluate any programme or project-related commitments or compliance with the UNDP Social and Environmental Standards. This includes providing access to project sites, relevant personnel, information, and documentation.</w:t>
      </w:r>
    </w:p>
    <w:p w14:paraId="5799D8AC" w14:textId="77777777" w:rsidR="00BF2978" w:rsidRPr="002926D7" w:rsidRDefault="00BF2978" w:rsidP="002926D7">
      <w:pPr>
        <w:numPr>
          <w:ilvl w:val="0"/>
          <w:numId w:val="26"/>
        </w:numPr>
        <w:autoSpaceDE w:val="0"/>
        <w:autoSpaceDN w:val="0"/>
        <w:adjustRightInd w:val="0"/>
        <w:ind w:left="360"/>
        <w:rPr>
          <w:rFonts w:eastAsia="Calibri" w:cs="Arial"/>
          <w:color w:val="000000"/>
          <w:szCs w:val="20"/>
        </w:rPr>
      </w:pPr>
      <w:r w:rsidRPr="002926D7">
        <w:rPr>
          <w:rFonts w:eastAsia="Calibri" w:cs="Arial"/>
          <w:color w:val="000000"/>
          <w:szCs w:val="20"/>
        </w:rPr>
        <w:t xml:space="preserve">UNDP as the Implementing Partner will ensure that </w:t>
      </w:r>
      <w:r w:rsidRPr="002926D7">
        <w:rPr>
          <w:rFonts w:cs="Arial"/>
          <w:szCs w:val="20"/>
        </w:rPr>
        <w:t>the following obligations are binding on each responsible party, subcontractor and sub-recipient:</w:t>
      </w:r>
    </w:p>
    <w:p w14:paraId="441A21B1" w14:textId="77777777" w:rsidR="00BF2978" w:rsidRPr="002926D7" w:rsidRDefault="00BF2978" w:rsidP="002926D7">
      <w:pPr>
        <w:autoSpaceDE w:val="0"/>
        <w:autoSpaceDN w:val="0"/>
        <w:adjustRightInd w:val="0"/>
        <w:ind w:left="360"/>
        <w:rPr>
          <w:rFonts w:eastAsia="Calibri" w:cs="Arial"/>
          <w:color w:val="000000"/>
          <w:szCs w:val="20"/>
        </w:rPr>
      </w:pPr>
    </w:p>
    <w:p w14:paraId="398B49A9" w14:textId="77777777" w:rsidR="00BF2978" w:rsidRPr="002926D7" w:rsidRDefault="00BF2978" w:rsidP="002926D7">
      <w:pPr>
        <w:numPr>
          <w:ilvl w:val="1"/>
          <w:numId w:val="26"/>
        </w:numPr>
        <w:autoSpaceDE w:val="0"/>
        <w:autoSpaceDN w:val="0"/>
        <w:adjustRightInd w:val="0"/>
        <w:rPr>
          <w:rFonts w:cs="Arial"/>
          <w:szCs w:val="20"/>
        </w:rPr>
      </w:pPr>
      <w:r w:rsidRPr="002926D7">
        <w:rPr>
          <w:rFonts w:cs="Arial"/>
          <w:szCs w:val="20"/>
        </w:rPr>
        <w:t xml:space="preserve">Consistent with the Article III of the SBAA </w:t>
      </w:r>
      <w:r w:rsidRPr="002926D7">
        <w:rPr>
          <w:rFonts w:cs="Arial"/>
          <w:i/>
          <w:szCs w:val="20"/>
        </w:rPr>
        <w:t>[or the Supplemental Provisions to the Project Document]</w:t>
      </w:r>
      <w:r w:rsidRPr="002926D7">
        <w:rPr>
          <w:rFonts w:cs="Arial"/>
          <w:szCs w:val="20"/>
        </w:rPr>
        <w:t>, the responsibility for the safety and security of each responsible party, subcontractor and sub-recipient</w:t>
      </w:r>
      <w:r w:rsidRPr="002926D7">
        <w:rPr>
          <w:rFonts w:eastAsia="Calibri" w:cs="Arial"/>
          <w:color w:val="000000"/>
          <w:szCs w:val="20"/>
        </w:rPr>
        <w:t xml:space="preserve"> </w:t>
      </w:r>
      <w:r w:rsidRPr="002926D7">
        <w:rPr>
          <w:rFonts w:cs="Arial"/>
          <w:szCs w:val="20"/>
        </w:rPr>
        <w:t>and its personnel and property, and of UNDP’s property in such responsible party’s, subcontractor’s and sub-recipient’s custody, rests with such responsible party, subcontractor and sub-recipient. To this end, each responsible party, subcontractor and sub-recipient</w:t>
      </w:r>
      <w:r w:rsidRPr="002926D7">
        <w:rPr>
          <w:rFonts w:eastAsia="Calibri" w:cs="Arial"/>
          <w:color w:val="000000"/>
          <w:szCs w:val="20"/>
        </w:rPr>
        <w:t xml:space="preserve"> </w:t>
      </w:r>
      <w:r w:rsidRPr="002926D7">
        <w:rPr>
          <w:rFonts w:cs="Arial"/>
          <w:szCs w:val="20"/>
        </w:rPr>
        <w:t>shall:</w:t>
      </w:r>
    </w:p>
    <w:p w14:paraId="2F95A160" w14:textId="77777777" w:rsidR="00BF2978" w:rsidRPr="002926D7" w:rsidRDefault="00BF2978" w:rsidP="002926D7">
      <w:pPr>
        <w:numPr>
          <w:ilvl w:val="2"/>
          <w:numId w:val="26"/>
        </w:numPr>
        <w:spacing w:after="60"/>
        <w:rPr>
          <w:rFonts w:cs="Arial"/>
          <w:szCs w:val="20"/>
        </w:rPr>
      </w:pPr>
      <w:r w:rsidRPr="002926D7">
        <w:rPr>
          <w:rFonts w:cs="Arial"/>
          <w:szCs w:val="20"/>
        </w:rPr>
        <w:t>put in place an appropriate security plan and maintain the security plan, taking into account the security situation in the country where the project is being carried;</w:t>
      </w:r>
    </w:p>
    <w:p w14:paraId="1A5CB692" w14:textId="77777777" w:rsidR="00BF2978" w:rsidRPr="002926D7" w:rsidRDefault="00BF2978" w:rsidP="002926D7">
      <w:pPr>
        <w:numPr>
          <w:ilvl w:val="2"/>
          <w:numId w:val="26"/>
        </w:numPr>
        <w:spacing w:after="60"/>
        <w:rPr>
          <w:rFonts w:cs="Arial"/>
          <w:szCs w:val="20"/>
        </w:rPr>
      </w:pPr>
      <w:r w:rsidRPr="002926D7">
        <w:rPr>
          <w:rFonts w:cs="Arial"/>
          <w:szCs w:val="20"/>
        </w:rPr>
        <w:t>assume all risks and liabilities related to such responsible party’s, subcontractor’s and sub-recipient’s security, and the full implementation of the security plan.</w:t>
      </w:r>
    </w:p>
    <w:p w14:paraId="71D4B895" w14:textId="77777777" w:rsidR="00BF2978" w:rsidRPr="002926D7" w:rsidRDefault="00BF2978" w:rsidP="002926D7">
      <w:pPr>
        <w:autoSpaceDE w:val="0"/>
        <w:autoSpaceDN w:val="0"/>
        <w:adjustRightInd w:val="0"/>
        <w:ind w:left="1440"/>
        <w:rPr>
          <w:rFonts w:cs="Arial"/>
          <w:szCs w:val="20"/>
        </w:rPr>
      </w:pPr>
    </w:p>
    <w:p w14:paraId="08BA1927" w14:textId="77777777" w:rsidR="00BF2978" w:rsidRPr="002926D7" w:rsidRDefault="00BF2978" w:rsidP="002926D7">
      <w:pPr>
        <w:numPr>
          <w:ilvl w:val="1"/>
          <w:numId w:val="26"/>
        </w:numPr>
        <w:autoSpaceDE w:val="0"/>
        <w:autoSpaceDN w:val="0"/>
        <w:adjustRightInd w:val="0"/>
        <w:rPr>
          <w:rFonts w:cs="Arial"/>
          <w:szCs w:val="20"/>
        </w:rPr>
      </w:pPr>
      <w:r w:rsidRPr="002926D7">
        <w:rPr>
          <w:rFonts w:cs="Arial"/>
          <w:szCs w:val="20"/>
        </w:rPr>
        <w:t>UNDP reserves the right to verify whether such a plan is in place, and to suggest modifications to the plan when necessary. Failure to maintain and implement an appropriate security plan as required hereunder shall be deemed a breach of the responsible party’s, subcontractor’s and sub-recipient’s obligations under this Project Document.</w:t>
      </w:r>
    </w:p>
    <w:p w14:paraId="6663ABBB" w14:textId="77777777" w:rsidR="00BF2978" w:rsidRPr="002926D7" w:rsidRDefault="00BF2978" w:rsidP="002926D7">
      <w:pPr>
        <w:autoSpaceDE w:val="0"/>
        <w:autoSpaceDN w:val="0"/>
        <w:adjustRightInd w:val="0"/>
        <w:ind w:left="1440"/>
        <w:rPr>
          <w:rFonts w:cs="Arial"/>
          <w:szCs w:val="20"/>
        </w:rPr>
      </w:pPr>
    </w:p>
    <w:p w14:paraId="18C0187A" w14:textId="77777777" w:rsidR="00BF2978" w:rsidRPr="002926D7" w:rsidRDefault="00BF2978" w:rsidP="002926D7">
      <w:pPr>
        <w:numPr>
          <w:ilvl w:val="1"/>
          <w:numId w:val="26"/>
        </w:numPr>
        <w:rPr>
          <w:rFonts w:cs="Arial"/>
        </w:rPr>
      </w:pPr>
      <w:r w:rsidRPr="002926D7">
        <w:rPr>
          <w:rFonts w:cs="Arial"/>
        </w:rPr>
        <w:t xml:space="preserve">Each responsible party, subcontractor and sub-recipient (each a “sub-party” and together “sub-parties”) acknowledges and agrees that UNDP will not tolerate sexual harassment and sexual exploitation and abuse of anyone by the sub-parties, and other entities involved in Project implementation, either as contractors or subcontractors and their personnel, and any individuals performing services for them under the Project Document. </w:t>
      </w:r>
    </w:p>
    <w:p w14:paraId="1C77B73F" w14:textId="77777777" w:rsidR="00BF2978" w:rsidRPr="002926D7" w:rsidRDefault="00BF2978" w:rsidP="002926D7">
      <w:pPr>
        <w:ind w:left="1800"/>
        <w:rPr>
          <w:rFonts w:cs="Arial"/>
        </w:rPr>
      </w:pPr>
      <w:r w:rsidRPr="002926D7">
        <w:rPr>
          <w:rFonts w:cs="Arial"/>
        </w:rPr>
        <w:t>(a)</w:t>
      </w:r>
      <w:r w:rsidRPr="002926D7">
        <w:rPr>
          <w:rFonts w:ascii="Times New Roman" w:hAnsi="Times New Roman"/>
          <w:sz w:val="24"/>
        </w:rPr>
        <w:t xml:space="preserve"> </w:t>
      </w:r>
      <w:r w:rsidRPr="002926D7">
        <w:rPr>
          <w:rFonts w:cs="Arial"/>
        </w:rPr>
        <w:t>In the implementation of the activities under this Project Document, each sub-party shall comply with the standards of conduct set forth in the Secretary General’s Bulletin ST/SGB/2003/13 of 9 October 2003, concerning “Special measures for protection from sexual exploitation and sexual abuse” (“SEA”).</w:t>
      </w:r>
    </w:p>
    <w:p w14:paraId="37BDA4D5" w14:textId="77777777" w:rsidR="00BF2978" w:rsidRPr="002926D7" w:rsidRDefault="00BF2978" w:rsidP="002926D7">
      <w:pPr>
        <w:ind w:left="1800"/>
      </w:pPr>
      <w:r w:rsidRPr="002926D7">
        <w:rPr>
          <w:rFonts w:cs="Arial"/>
        </w:rPr>
        <w:t>(b)</w:t>
      </w:r>
      <w:r w:rsidRPr="002926D7">
        <w:t xml:space="preserve"> Moreover, and without limitation to the application of other regulations, rules, policies and procedures bearing upon the performance of the activities under this Project Document, in the implementation of activities, each sub-party, shall not engage in any form of sexual harassment (“SH”). SH is defined as any unwelcome conduct of a sexual nature that might reasonably be expected or be perceived to cause offense or humiliation, when such conduct interferes with work, is made a condition of employment or creates an intimidating, hostile or offensive work environment. SH may occur in the workplace or in connection with work. While typically involving a pattern of conduct, SH may take the form of a single incident. In assessing the reasonableness of expectations or perceptions, the perspective of the person who is the target of the conduct shall be considered.</w:t>
      </w:r>
    </w:p>
    <w:p w14:paraId="01695B05" w14:textId="77777777" w:rsidR="00BF2978" w:rsidRPr="002926D7" w:rsidRDefault="00BF2978" w:rsidP="002926D7"/>
    <w:p w14:paraId="41D587E9" w14:textId="77777777" w:rsidR="00BF2978" w:rsidRPr="002926D7" w:rsidRDefault="00BF2978" w:rsidP="002926D7">
      <w:pPr>
        <w:numPr>
          <w:ilvl w:val="1"/>
          <w:numId w:val="26"/>
        </w:numPr>
        <w:autoSpaceDE w:val="0"/>
        <w:autoSpaceDN w:val="0"/>
        <w:adjustRightInd w:val="0"/>
        <w:rPr>
          <w:rFonts w:cs="Arial"/>
        </w:rPr>
      </w:pPr>
      <w:r w:rsidRPr="002926D7">
        <w:rPr>
          <w:rFonts w:cs="Arial"/>
        </w:rPr>
        <w:t>In the performance of the activities under this Project, each sub-party shall (with respect to its own activities) and shall require from its sub-parties (with respect to their activities) that they, have minimum standards and procedures in place, or a plan to develop and/or improve such standards and procedures in order to be able to take effective preventive and investigative action. These should include: policies on sexual harassment and sexual exploitation and abuse; policies on whistleblowing/protection against retaliation; and complaints, disciplinary and investigative mechanisms. In line with this, sub-parties will and will require that their respective sub-parties will take all appropriate measures to:</w:t>
      </w:r>
    </w:p>
    <w:p w14:paraId="37CBDF38" w14:textId="77777777" w:rsidR="00BF2978" w:rsidRPr="002926D7" w:rsidRDefault="00BF2978" w:rsidP="002926D7">
      <w:pPr>
        <w:autoSpaceDE w:val="0"/>
        <w:autoSpaceDN w:val="0"/>
        <w:adjustRightInd w:val="0"/>
        <w:ind w:left="2160"/>
        <w:rPr>
          <w:rFonts w:cs="Arial"/>
        </w:rPr>
      </w:pPr>
      <w:r w:rsidRPr="002926D7">
        <w:rPr>
          <w:rFonts w:cs="Arial"/>
        </w:rPr>
        <w:lastRenderedPageBreak/>
        <w:t>(i) Prevent its employees, agents or any other persons engaged to perform any services under this Project Document, from engaging in SH or SEA;</w:t>
      </w:r>
    </w:p>
    <w:p w14:paraId="233F4A07" w14:textId="77777777" w:rsidR="00BF2978" w:rsidRPr="002926D7" w:rsidRDefault="00BF2978" w:rsidP="002926D7">
      <w:pPr>
        <w:autoSpaceDE w:val="0"/>
        <w:autoSpaceDN w:val="0"/>
        <w:adjustRightInd w:val="0"/>
        <w:ind w:left="2160"/>
        <w:rPr>
          <w:rFonts w:cs="Arial"/>
        </w:rPr>
      </w:pPr>
      <w:r w:rsidRPr="002926D7">
        <w:rPr>
          <w:rFonts w:cs="Arial"/>
        </w:rPr>
        <w:t>(ii) Offer employees and associated personnel training on prevention and response to SH and SEA, where sub-parties have not put in place its own training regarding the prevention of SH and SEA, sub-parties may use the training material available at UNDP;</w:t>
      </w:r>
    </w:p>
    <w:p w14:paraId="4E07AA7C" w14:textId="77777777" w:rsidR="00BF2978" w:rsidRPr="002926D7" w:rsidRDefault="00BF2978" w:rsidP="002926D7">
      <w:pPr>
        <w:autoSpaceDE w:val="0"/>
        <w:autoSpaceDN w:val="0"/>
        <w:adjustRightInd w:val="0"/>
        <w:ind w:left="2160"/>
        <w:rPr>
          <w:rFonts w:cs="Arial"/>
        </w:rPr>
      </w:pPr>
      <w:r w:rsidRPr="002926D7">
        <w:rPr>
          <w:rFonts w:cs="Arial"/>
        </w:rPr>
        <w:t xml:space="preserve">(iii) Report and monitor allegations of SH and SEA of which any of the sub-parties have been informed or have otherwise become aware, and status thereof; </w:t>
      </w:r>
    </w:p>
    <w:p w14:paraId="17243CE1" w14:textId="77777777" w:rsidR="00BF2978" w:rsidRPr="002926D7" w:rsidRDefault="00BF2978" w:rsidP="002926D7">
      <w:pPr>
        <w:autoSpaceDE w:val="0"/>
        <w:autoSpaceDN w:val="0"/>
        <w:adjustRightInd w:val="0"/>
        <w:ind w:left="1440" w:firstLine="720"/>
        <w:rPr>
          <w:rFonts w:cs="Arial"/>
        </w:rPr>
      </w:pPr>
      <w:r w:rsidRPr="002926D7">
        <w:rPr>
          <w:rFonts w:cs="Arial"/>
        </w:rPr>
        <w:t>(iv) Refer victims/survivors of SH and SEA to safe and confidential victim assistance; and</w:t>
      </w:r>
    </w:p>
    <w:p w14:paraId="64403171" w14:textId="77777777" w:rsidR="00BF2978" w:rsidRPr="002926D7" w:rsidRDefault="00BF2978" w:rsidP="002926D7">
      <w:pPr>
        <w:autoSpaceDE w:val="0"/>
        <w:autoSpaceDN w:val="0"/>
        <w:adjustRightInd w:val="0"/>
        <w:ind w:left="2160"/>
        <w:rPr>
          <w:rFonts w:cs="Arial"/>
        </w:rPr>
      </w:pPr>
      <w:r w:rsidRPr="002926D7">
        <w:rPr>
          <w:rFonts w:cs="Arial"/>
        </w:rPr>
        <w:t xml:space="preserve">(v) Promptly and confidentially record and investigate any allegations credible enough to warrant an investigation of SH or SEA. Each sub-party shall advise UNDP of any such allegations received and investigations being conducted by itself or any of its sub-parties with respect to their activities under the Project Document, and shall keep UNDP informed during the investigation by it or any of such sub-parties, to the extent that such notification (i) does not jeopardize the conduct of the investigation, including but not limited to the safety or security of persons, and/or (ii) is not in contravention of any laws applicable to it. Following the investigation, the relevant sub-party shall advise UNDP of any actions taken by it or any of the other entities further to the investigation. </w:t>
      </w:r>
    </w:p>
    <w:p w14:paraId="0DB5B49D" w14:textId="77777777" w:rsidR="00BF2978" w:rsidRPr="002926D7" w:rsidRDefault="00BF2978" w:rsidP="002926D7">
      <w:pPr>
        <w:autoSpaceDE w:val="0"/>
        <w:autoSpaceDN w:val="0"/>
        <w:adjustRightInd w:val="0"/>
        <w:ind w:left="1440"/>
        <w:rPr>
          <w:rFonts w:cs="Arial"/>
        </w:rPr>
      </w:pPr>
    </w:p>
    <w:p w14:paraId="0EDEA87B" w14:textId="77777777" w:rsidR="00BF2978" w:rsidRPr="002926D7" w:rsidRDefault="00BF2978" w:rsidP="002926D7">
      <w:pPr>
        <w:numPr>
          <w:ilvl w:val="1"/>
          <w:numId w:val="26"/>
        </w:numPr>
        <w:rPr>
          <w:rFonts w:cs="Arial"/>
        </w:rPr>
      </w:pPr>
      <w:r w:rsidRPr="002926D7">
        <w:rPr>
          <w:rFonts w:cs="Arial"/>
        </w:rPr>
        <w:t>Each sub-party shall establish that it has complied with the foregoing, to the satisfaction of UNDP, when requested by UNDP or any party acting on its behalf to provide such confirmation. Failure of the relevant sub-party to comply of the foregoing, as determined by UNDP, shall be considered grounds for suspension or termination of the Project.</w:t>
      </w:r>
    </w:p>
    <w:p w14:paraId="0EF22811" w14:textId="77777777" w:rsidR="00BF2978" w:rsidRPr="002926D7" w:rsidRDefault="00BF2978" w:rsidP="002926D7">
      <w:pPr>
        <w:ind w:left="1440"/>
        <w:rPr>
          <w:rFonts w:cs="Arial"/>
        </w:rPr>
      </w:pPr>
    </w:p>
    <w:p w14:paraId="7AF7BC2F" w14:textId="77777777" w:rsidR="00BF2978" w:rsidRPr="002926D7" w:rsidRDefault="00BF2978" w:rsidP="002926D7">
      <w:pPr>
        <w:numPr>
          <w:ilvl w:val="1"/>
          <w:numId w:val="26"/>
        </w:numPr>
        <w:rPr>
          <w:rFonts w:cs="Arial"/>
        </w:rPr>
      </w:pPr>
      <w:r w:rsidRPr="002926D7">
        <w:rPr>
          <w:rFonts w:cs="Arial"/>
        </w:rPr>
        <w:t>Each responsible party, subcontractor and sub-recipient will ensure that any project activities undertaken by them will be implemented in a manner consistent with the UNDP Social and Environmental Standards and shall ensure that any incidents or issues of non-compliance shall be reported to UNDP in accordance with UNDP Social and Environmental Standards.</w:t>
      </w:r>
    </w:p>
    <w:p w14:paraId="0CFB5721" w14:textId="77777777" w:rsidR="00BF2978" w:rsidRPr="002926D7" w:rsidRDefault="00BF2978" w:rsidP="002926D7">
      <w:pPr>
        <w:autoSpaceDE w:val="0"/>
        <w:autoSpaceDN w:val="0"/>
        <w:adjustRightInd w:val="0"/>
        <w:ind w:left="1440"/>
        <w:rPr>
          <w:color w:val="000000"/>
        </w:rPr>
      </w:pPr>
    </w:p>
    <w:p w14:paraId="214A50CD" w14:textId="77777777" w:rsidR="00BF2978" w:rsidRPr="002926D7" w:rsidRDefault="00BF2978" w:rsidP="002926D7">
      <w:pPr>
        <w:numPr>
          <w:ilvl w:val="1"/>
          <w:numId w:val="26"/>
        </w:numPr>
        <w:autoSpaceDE w:val="0"/>
        <w:autoSpaceDN w:val="0"/>
        <w:adjustRightInd w:val="0"/>
        <w:rPr>
          <w:rFonts w:eastAsia="Calibri" w:cs="Arial"/>
          <w:color w:val="000000"/>
        </w:rPr>
      </w:pPr>
      <w:r w:rsidRPr="002926D7">
        <w:rPr>
          <w:rFonts w:cs="Arial"/>
        </w:rPr>
        <w:t>Each responsible party, subcontractor and sub-recipient</w:t>
      </w:r>
      <w:r w:rsidRPr="002926D7">
        <w:rPr>
          <w:rFonts w:eastAsia="Calibri" w:cs="Arial"/>
          <w:color w:val="000000"/>
        </w:rPr>
        <w:t xml:space="preserve"> will take appropriate steps to prevent misuse of funds, fraud, corruption or other financial irregularities, by its officials, consultants, subcontractors and sub-recipients in implementing the project or programme or using the UNDP funds. It will ensure that its financial management, anti-corruption, anti-fraud and anti-money laundering and countering the financing of terrorism policies are in place and enforced for all funding received from or through UNDP.</w:t>
      </w:r>
    </w:p>
    <w:p w14:paraId="3B0A8AB6" w14:textId="77777777" w:rsidR="00BF2978" w:rsidRPr="002926D7" w:rsidRDefault="00BF2978" w:rsidP="002926D7">
      <w:pPr>
        <w:autoSpaceDE w:val="0"/>
        <w:autoSpaceDN w:val="0"/>
        <w:adjustRightInd w:val="0"/>
        <w:ind w:left="360"/>
        <w:rPr>
          <w:rFonts w:eastAsia="Calibri" w:cs="Arial"/>
          <w:color w:val="000000"/>
          <w:szCs w:val="20"/>
        </w:rPr>
      </w:pPr>
    </w:p>
    <w:p w14:paraId="1E783179" w14:textId="77777777" w:rsidR="00BF2978" w:rsidRPr="002926D7" w:rsidRDefault="00BF2978" w:rsidP="002926D7">
      <w:pPr>
        <w:numPr>
          <w:ilvl w:val="1"/>
          <w:numId w:val="26"/>
        </w:numPr>
        <w:autoSpaceDE w:val="0"/>
        <w:autoSpaceDN w:val="0"/>
        <w:adjustRightInd w:val="0"/>
        <w:rPr>
          <w:rFonts w:eastAsia="Calibri" w:cs="Arial"/>
          <w:color w:val="000000"/>
        </w:rPr>
      </w:pPr>
      <w:r w:rsidRPr="002926D7">
        <w:rPr>
          <w:rFonts w:eastAsia="Calibri" w:cs="Arial"/>
          <w:color w:val="000000"/>
        </w:rPr>
        <w:t xml:space="preserve">The requirements of the following documents, then in force at the time of signature of the Project Document, apply to </w:t>
      </w:r>
      <w:r w:rsidRPr="002926D7">
        <w:rPr>
          <w:rFonts w:cs="Arial"/>
        </w:rPr>
        <w:t>each responsible party, subcontractor and sub-recipient</w:t>
      </w:r>
      <w:r w:rsidRPr="002926D7">
        <w:rPr>
          <w:rFonts w:eastAsia="Calibri" w:cs="Arial"/>
          <w:color w:val="000000"/>
        </w:rPr>
        <w:t>: (a)</w:t>
      </w:r>
      <w:r w:rsidRPr="002926D7">
        <w:rPr>
          <w:rFonts w:eastAsia="Calibri" w:cs="Arial"/>
          <w:b/>
          <w:color w:val="000000"/>
        </w:rPr>
        <w:t xml:space="preserve"> </w:t>
      </w:r>
      <w:r w:rsidRPr="002926D7">
        <w:rPr>
          <w:rFonts w:eastAsia="Calibri" w:cs="Arial"/>
          <w:color w:val="000000"/>
        </w:rPr>
        <w:t>UNDP Policy on Fraud and other Corrupt Practices (b)</w:t>
      </w:r>
      <w:r w:rsidRPr="002926D7">
        <w:rPr>
          <w:color w:val="000000"/>
        </w:rPr>
        <w:t xml:space="preserve"> </w:t>
      </w:r>
      <w:r w:rsidRPr="002926D7">
        <w:rPr>
          <w:rFonts w:eastAsia="Calibri" w:cs="Arial"/>
          <w:color w:val="000000"/>
        </w:rPr>
        <w:t>UNDP Anti-Money Laundering and Countering the Financing of Terrorism Policy; and (c)</w:t>
      </w:r>
      <w:r w:rsidRPr="002926D7">
        <w:rPr>
          <w:rFonts w:eastAsia="Calibri" w:cs="Arial"/>
          <w:b/>
          <w:color w:val="000000"/>
        </w:rPr>
        <w:t xml:space="preserve"> </w:t>
      </w:r>
      <w:r w:rsidRPr="002926D7">
        <w:rPr>
          <w:rFonts w:eastAsia="Calibri" w:cs="Arial"/>
          <w:color w:val="000000"/>
        </w:rPr>
        <w:t xml:space="preserve">UNDP Office of Audit and Investigations Investigation Guidelines. </w:t>
      </w:r>
      <w:r w:rsidRPr="002926D7">
        <w:rPr>
          <w:rFonts w:cs="Arial"/>
        </w:rPr>
        <w:t>Each responsible party, subcontractor and sub-recipient</w:t>
      </w:r>
      <w:r w:rsidRPr="002926D7">
        <w:rPr>
          <w:rFonts w:eastAsia="Calibri" w:cs="Arial"/>
        </w:rPr>
        <w:t xml:space="preserve"> agrees to the requirements of the above documents, which are an integral part of this Project Document and are available online at www.undp.org. </w:t>
      </w:r>
    </w:p>
    <w:p w14:paraId="040EC222" w14:textId="77777777" w:rsidR="00BF2978" w:rsidRPr="002926D7" w:rsidRDefault="00BF2978" w:rsidP="002926D7">
      <w:pPr>
        <w:ind w:left="360"/>
        <w:rPr>
          <w:rFonts w:cs="Arial"/>
          <w:color w:val="000000"/>
          <w:szCs w:val="20"/>
        </w:rPr>
      </w:pPr>
    </w:p>
    <w:p w14:paraId="453A374B" w14:textId="77777777" w:rsidR="00BF2978" w:rsidRPr="002926D7" w:rsidRDefault="00BF2978" w:rsidP="002926D7">
      <w:pPr>
        <w:numPr>
          <w:ilvl w:val="1"/>
          <w:numId w:val="26"/>
        </w:numPr>
        <w:rPr>
          <w:rFonts w:cs="Arial"/>
          <w:color w:val="000000"/>
          <w:szCs w:val="20"/>
        </w:rPr>
      </w:pPr>
      <w:r w:rsidRPr="002926D7">
        <w:rPr>
          <w:rFonts w:cs="Arial"/>
          <w:color w:val="000000"/>
        </w:rPr>
        <w:t xml:space="preserve">In the event that an investigation is required, UNDP will conduct investigations relating to any aspect of UNDP programmes and projects. </w:t>
      </w:r>
      <w:r w:rsidRPr="002926D7">
        <w:rPr>
          <w:rFonts w:cs="Arial"/>
        </w:rPr>
        <w:t>Each responsible party, subcontractor and sub-recipient</w:t>
      </w:r>
      <w:r w:rsidRPr="002926D7">
        <w:rPr>
          <w:rFonts w:cs="Arial"/>
          <w:color w:val="000000"/>
        </w:rPr>
        <w:t xml:space="preserve"> will provide its full cooperation, including making available personnel, relevant documentation, and granting access to its</w:t>
      </w:r>
      <w:r w:rsidRPr="002926D7">
        <w:rPr>
          <w:rFonts w:eastAsia="Calibri" w:cs="Arial"/>
          <w:color w:val="000000"/>
        </w:rPr>
        <w:t xml:space="preserve"> </w:t>
      </w:r>
      <w:r w:rsidRPr="002926D7">
        <w:rPr>
          <w:rFonts w:cs="Arial"/>
          <w:color w:val="000000"/>
        </w:rPr>
        <w:t>(and its consultants’, subcontractors’ and sub-recipients’) premises, for such purposes at reasonable times and on reasonable conditions as may be required for the purpose of an investigation. Should there be a limitation in meeting this obligation, UNDP shall consult with it to find a solution.</w:t>
      </w:r>
    </w:p>
    <w:p w14:paraId="656800C6" w14:textId="77777777" w:rsidR="00BF2978" w:rsidRPr="002926D7" w:rsidRDefault="00BF2978" w:rsidP="002926D7">
      <w:pPr>
        <w:ind w:left="720"/>
        <w:rPr>
          <w:rFonts w:eastAsia="Calibri" w:cs="Arial"/>
          <w:color w:val="000000"/>
          <w:szCs w:val="20"/>
        </w:rPr>
      </w:pPr>
    </w:p>
    <w:p w14:paraId="61F2A589" w14:textId="77777777" w:rsidR="00BF2978" w:rsidRPr="002926D7" w:rsidRDefault="00BF2978" w:rsidP="002926D7">
      <w:pPr>
        <w:numPr>
          <w:ilvl w:val="1"/>
          <w:numId w:val="26"/>
        </w:numPr>
        <w:rPr>
          <w:rFonts w:cs="Arial"/>
          <w:szCs w:val="20"/>
        </w:rPr>
      </w:pPr>
      <w:r w:rsidRPr="002926D7">
        <w:rPr>
          <w:rFonts w:cs="Arial"/>
        </w:rPr>
        <w:lastRenderedPageBreak/>
        <w:t>Each responsible party, subcontractor and sub-recipient will promptly inform UNDP as the Implementing Partner in case of any incidence of inappropriate use of funds, or credible allegation of fraud or corruption with due confidentiality.</w:t>
      </w:r>
    </w:p>
    <w:p w14:paraId="34C57168" w14:textId="77777777" w:rsidR="00BF2978" w:rsidRPr="002926D7" w:rsidRDefault="00BF2978" w:rsidP="002926D7">
      <w:pPr>
        <w:ind w:left="360"/>
        <w:rPr>
          <w:rFonts w:cs="Arial"/>
          <w:szCs w:val="20"/>
        </w:rPr>
      </w:pPr>
    </w:p>
    <w:p w14:paraId="159C6732" w14:textId="77777777" w:rsidR="00BF2978" w:rsidRPr="002926D7" w:rsidRDefault="00BF2978" w:rsidP="002926D7">
      <w:pPr>
        <w:ind w:left="1440"/>
        <w:rPr>
          <w:rFonts w:eastAsia="Calibri" w:cs="Arial"/>
          <w:color w:val="000000"/>
          <w:szCs w:val="20"/>
        </w:rPr>
      </w:pPr>
      <w:r w:rsidRPr="002926D7">
        <w:rPr>
          <w:rFonts w:cs="Arial"/>
          <w:szCs w:val="20"/>
        </w:rPr>
        <w:t>Where it becomes aware that a UNDP project or activity, in whole or in part, is the focus of investigation for alleged fraud/corruption, each responsible party, subcontractor and sub-recipient will inform the UNDP Resident Representative/Head of Office, who will promptly inform UNDP’s Office of Audit and Investigations (OAI). It will provide regular updates to the head of UNDP in the country and OAI of the status of, and actions relating to, such investigation.</w:t>
      </w:r>
    </w:p>
    <w:p w14:paraId="2C2F966C" w14:textId="77777777" w:rsidR="00BF2978" w:rsidRPr="002926D7" w:rsidRDefault="00BF2978" w:rsidP="002926D7">
      <w:pPr>
        <w:ind w:left="360"/>
        <w:rPr>
          <w:rFonts w:cs="Calibri"/>
          <w:b/>
          <w:szCs w:val="20"/>
        </w:rPr>
      </w:pPr>
    </w:p>
    <w:p w14:paraId="38AA7BFC" w14:textId="77777777" w:rsidR="00BF2978" w:rsidRPr="002926D7" w:rsidRDefault="00BF2978" w:rsidP="002926D7">
      <w:pPr>
        <w:numPr>
          <w:ilvl w:val="1"/>
          <w:numId w:val="26"/>
        </w:numPr>
        <w:rPr>
          <w:color w:val="000000"/>
        </w:rPr>
      </w:pPr>
      <w:r w:rsidRPr="002926D7">
        <w:t>UNDP will be entitled to a refund from the responsible party, subcontractor or sub-recipient of any funds provided that have been used inappropriately, including through fraud</w:t>
      </w:r>
      <w:r w:rsidRPr="002926D7">
        <w:rPr>
          <w:rFonts w:cs="Arial"/>
        </w:rPr>
        <w:t>,</w:t>
      </w:r>
      <w:r w:rsidRPr="002926D7">
        <w:t xml:space="preserve"> corruption</w:t>
      </w:r>
      <w:r w:rsidRPr="002926D7">
        <w:rPr>
          <w:rFonts w:cs="Arial"/>
        </w:rPr>
        <w:t xml:space="preserve"> or other financial irregularities</w:t>
      </w:r>
      <w:r w:rsidRPr="002926D7">
        <w:t>, or otherwise paid other than in accordance with the terms and conditions of this Project Document. Such amount may be deducted by UNDP from any payment due to the responsible party, subcontractor or sub-recipient under this or any other agreement. Recovery of such amount by UNDP shall not diminish or curtail any responsible party’s, subcontractor’s or sub-recipient’s obligations under this Project Document.</w:t>
      </w:r>
    </w:p>
    <w:p w14:paraId="7F6348B6" w14:textId="77777777" w:rsidR="00BF2978" w:rsidRPr="002926D7" w:rsidRDefault="00BF2978" w:rsidP="002926D7">
      <w:pPr>
        <w:ind w:left="1440"/>
        <w:rPr>
          <w:rFonts w:cs="Calibri"/>
          <w:b/>
          <w:szCs w:val="20"/>
        </w:rPr>
      </w:pPr>
    </w:p>
    <w:p w14:paraId="1EE969FA" w14:textId="77777777" w:rsidR="00BF2978" w:rsidRPr="002926D7" w:rsidRDefault="00BF2978" w:rsidP="002926D7">
      <w:pPr>
        <w:ind w:left="1440"/>
        <w:rPr>
          <w:rFonts w:cs="Arial"/>
        </w:rPr>
      </w:pPr>
      <w:r w:rsidRPr="002926D7">
        <w:rPr>
          <w:rFonts w:cs="Arial"/>
        </w:rPr>
        <w:t>Where such funds have not been refunded to UNDP, the responsible party, subcontractor or sub-recipient agrees that donors to UNDP (including the Government) whose funding is the source, in whole or in part, of the funds for the activities under this Project Document, may seek recourse to such responsible party, subcontractor or sub-recipient for the recovery of any funds determined by UNDP to have been used inappropriately, including through fraud, corruption or other financial irregularities, or otherwise paid other than in accordance with the terms and conditions of the Project Document.</w:t>
      </w:r>
    </w:p>
    <w:p w14:paraId="7B935909" w14:textId="77777777" w:rsidR="00BF2978" w:rsidRPr="002926D7" w:rsidRDefault="00BF2978" w:rsidP="002926D7">
      <w:pPr>
        <w:ind w:left="1440"/>
        <w:rPr>
          <w:rFonts w:cs="Arial"/>
          <w:szCs w:val="20"/>
        </w:rPr>
      </w:pPr>
    </w:p>
    <w:p w14:paraId="5ECB9778" w14:textId="77777777" w:rsidR="00BF2978" w:rsidRPr="002926D7" w:rsidRDefault="00BF2978" w:rsidP="002926D7">
      <w:pPr>
        <w:ind w:left="1440"/>
        <w:rPr>
          <w:rFonts w:eastAsia="Calibri" w:cs="Arial"/>
          <w:color w:val="000000"/>
          <w:szCs w:val="20"/>
        </w:rPr>
      </w:pPr>
      <w:r w:rsidRPr="002926D7">
        <w:rPr>
          <w:rFonts w:cs="Arial"/>
          <w:i/>
          <w:szCs w:val="20"/>
          <w:u w:val="single"/>
        </w:rPr>
        <w:t>Note</w:t>
      </w:r>
      <w:r w:rsidRPr="002926D7">
        <w:rPr>
          <w:rFonts w:cs="Arial"/>
          <w:i/>
          <w:szCs w:val="20"/>
        </w:rPr>
        <w:t>:</w:t>
      </w:r>
      <w:r w:rsidRPr="002926D7">
        <w:rPr>
          <w:rFonts w:cs="Arial"/>
          <w:szCs w:val="20"/>
        </w:rPr>
        <w:t xml:space="preserve"> The term “Project Document” as used in this clause shall be deemed to include any relevant subsidiary agreement further to the Project Document, including those with responsible parties, subcontractors and sub-recipients.</w:t>
      </w:r>
    </w:p>
    <w:p w14:paraId="437EB155" w14:textId="77777777" w:rsidR="00BF2978" w:rsidRPr="002926D7" w:rsidRDefault="00BF2978" w:rsidP="002926D7">
      <w:pPr>
        <w:ind w:left="360"/>
        <w:rPr>
          <w:rFonts w:cs="Arial"/>
          <w:szCs w:val="20"/>
        </w:rPr>
      </w:pPr>
    </w:p>
    <w:p w14:paraId="6E65E271" w14:textId="77777777" w:rsidR="00BF2978" w:rsidRPr="002926D7" w:rsidRDefault="00BF2978" w:rsidP="002926D7">
      <w:pPr>
        <w:numPr>
          <w:ilvl w:val="1"/>
          <w:numId w:val="26"/>
        </w:numPr>
        <w:rPr>
          <w:rFonts w:cs="Arial"/>
          <w:szCs w:val="20"/>
        </w:rPr>
      </w:pPr>
      <w:r w:rsidRPr="002926D7">
        <w:rPr>
          <w:rFonts w:cs="Arial"/>
        </w:rPr>
        <w:t>Each contract issued by the responsible party, subcontractor or sub-recipient in connection with this Project Document shall include a provision representing that no fees, gratuities, rebates, gifts, commissions or other payments, other than those shown in the proposal, have been given, received, or promised in connection with the selection process or in contract execution, and that the recipient of funds from it shall cooperate with any and all investigations and post-payment audits.</w:t>
      </w:r>
    </w:p>
    <w:p w14:paraId="55ACFDB7" w14:textId="77777777" w:rsidR="00BF2978" w:rsidRPr="002926D7" w:rsidRDefault="00BF2978" w:rsidP="002926D7">
      <w:pPr>
        <w:ind w:left="360"/>
        <w:rPr>
          <w:rFonts w:cs="Arial"/>
          <w:szCs w:val="20"/>
        </w:rPr>
      </w:pPr>
    </w:p>
    <w:p w14:paraId="688E2846" w14:textId="77777777" w:rsidR="00BF2978" w:rsidRPr="002926D7" w:rsidRDefault="00BF2978" w:rsidP="002926D7">
      <w:pPr>
        <w:numPr>
          <w:ilvl w:val="1"/>
          <w:numId w:val="26"/>
        </w:numPr>
        <w:rPr>
          <w:rFonts w:cs="Arial"/>
          <w:szCs w:val="20"/>
        </w:rPr>
      </w:pPr>
      <w:r w:rsidRPr="002926D7">
        <w:rPr>
          <w:rFonts w:cs="Arial"/>
        </w:rPr>
        <w:t>Should UNDP refer to the relevant national authorities for appropriate legal action any alleged wrongdoing relating to the project or programme, the Government will ensure that the relevant national authorities shall actively investigate the same and take appropriate legal action against all individuals found to have participated in the wrongdoing, recover and return any recovered funds to UNDP.</w:t>
      </w:r>
    </w:p>
    <w:p w14:paraId="30ABFA9E" w14:textId="77777777" w:rsidR="00BF2978" w:rsidRPr="002926D7" w:rsidRDefault="00BF2978" w:rsidP="002926D7">
      <w:pPr>
        <w:ind w:left="360"/>
        <w:rPr>
          <w:rFonts w:cs="Arial"/>
          <w:szCs w:val="20"/>
        </w:rPr>
      </w:pPr>
    </w:p>
    <w:p w14:paraId="697FACF1" w14:textId="37C4E482" w:rsidR="00BF2978" w:rsidRPr="002926D7" w:rsidRDefault="00BF2978" w:rsidP="002926D7">
      <w:pPr>
        <w:numPr>
          <w:ilvl w:val="1"/>
          <w:numId w:val="26"/>
        </w:numPr>
        <w:rPr>
          <w:rFonts w:cs="Arial"/>
          <w:szCs w:val="20"/>
        </w:rPr>
      </w:pPr>
      <w:r w:rsidRPr="002926D7">
        <w:rPr>
          <w:rFonts w:cs="Arial"/>
        </w:rPr>
        <w:t xml:space="preserve">Each responsible party, subcontractor and sub-recipient shall ensure that all of its obligations set forth under this section entitled “Risk Management” are passed on to its subcontractors and sub-recipients and that all the clauses under this section entitled “Risk Management Standard Clauses” are adequately reflected, </w:t>
      </w:r>
      <w:r w:rsidRPr="002926D7">
        <w:rPr>
          <w:rFonts w:cs="Arial"/>
          <w:i/>
        </w:rPr>
        <w:t>mutatis mutandis</w:t>
      </w:r>
      <w:r w:rsidRPr="002926D7">
        <w:rPr>
          <w:rFonts w:cs="Arial"/>
        </w:rPr>
        <w:t>, in all its sub-contracts or sub-agreements entered into further to this Project Document</w:t>
      </w:r>
      <w:r w:rsidRPr="002926D7">
        <w:t>.</w:t>
      </w:r>
    </w:p>
    <w:p w14:paraId="621A848C" w14:textId="77777777" w:rsidR="00BF2978" w:rsidRPr="002926D7" w:rsidRDefault="00BF2978" w:rsidP="002926D7">
      <w:pPr>
        <w:rPr>
          <w:b/>
        </w:rPr>
      </w:pPr>
    </w:p>
    <w:p w14:paraId="624858D6" w14:textId="77777777" w:rsidR="00E23E2E" w:rsidRPr="002926D7" w:rsidRDefault="00E23E2E" w:rsidP="002926D7">
      <w:pPr>
        <w:jc w:val="left"/>
        <w:rPr>
          <w:szCs w:val="20"/>
        </w:rPr>
      </w:pPr>
      <w:bookmarkStart w:id="209" w:name="_Hlk97536775"/>
    </w:p>
    <w:p w14:paraId="1C3AA109" w14:textId="6B1A5785" w:rsidR="00E84AE7" w:rsidRPr="002926D7" w:rsidRDefault="00E84AE7" w:rsidP="002926D7">
      <w:pPr>
        <w:spacing w:before="120" w:after="120"/>
        <w:jc w:val="left"/>
        <w:rPr>
          <w:rFonts w:ascii="Times" w:eastAsia="Times" w:hAnsi="Times" w:cs="Times"/>
          <w:szCs w:val="20"/>
        </w:rPr>
      </w:pPr>
      <w:r w:rsidRPr="002926D7">
        <w:br w:type="page"/>
      </w:r>
    </w:p>
    <w:p w14:paraId="263785F9" w14:textId="4621DD7B" w:rsidR="003E3ABA" w:rsidRPr="002926D7" w:rsidRDefault="003E3ABA" w:rsidP="002926D7">
      <w:pPr>
        <w:pStyle w:val="Heading1"/>
        <w:spacing w:before="0" w:after="60"/>
        <w:rPr>
          <w:rFonts w:ascii="Calibri" w:hAnsi="Calibri"/>
        </w:rPr>
      </w:pPr>
      <w:bookmarkStart w:id="210" w:name="_Toc151386988"/>
      <w:r w:rsidRPr="002926D7">
        <w:rPr>
          <w:rFonts w:ascii="Calibri" w:hAnsi="Calibri"/>
        </w:rPr>
        <w:lastRenderedPageBreak/>
        <w:t>Mandatory Annexes</w:t>
      </w:r>
      <w:bookmarkEnd w:id="210"/>
    </w:p>
    <w:p w14:paraId="6E1E9F53" w14:textId="021FB019" w:rsidR="00F360E0" w:rsidRPr="002926D7" w:rsidRDefault="00F360E0" w:rsidP="002926D7">
      <w:pPr>
        <w:jc w:val="left"/>
        <w:rPr>
          <w:szCs w:val="22"/>
        </w:rPr>
      </w:pPr>
      <w:bookmarkStart w:id="211" w:name="_Toc120378030"/>
    </w:p>
    <w:p w14:paraId="4677F693" w14:textId="77777777" w:rsidR="00653AC4" w:rsidRPr="002926D7" w:rsidRDefault="00653AC4" w:rsidP="002926D7">
      <w:pPr>
        <w:pStyle w:val="Heading2"/>
        <w:spacing w:after="120"/>
        <w:ind w:left="0"/>
        <w:rPr>
          <w:rFonts w:ascii="Calibri" w:hAnsi="Calibri"/>
          <w:szCs w:val="22"/>
        </w:rPr>
      </w:pPr>
      <w:bookmarkStart w:id="212" w:name="_Toc151386989"/>
      <w:r w:rsidRPr="002926D7">
        <w:rPr>
          <w:rFonts w:ascii="Calibri" w:hAnsi="Calibri"/>
          <w:szCs w:val="22"/>
        </w:rPr>
        <w:t>Annex 1: GEF budget template</w:t>
      </w:r>
      <w:bookmarkEnd w:id="212"/>
    </w:p>
    <w:p w14:paraId="158045B7" w14:textId="77777777" w:rsidR="00653AC4" w:rsidRPr="002926D7" w:rsidRDefault="00653AC4" w:rsidP="002926D7">
      <w:pPr>
        <w:pStyle w:val="Heading2"/>
        <w:spacing w:after="120"/>
        <w:ind w:left="0"/>
        <w:rPr>
          <w:rFonts w:ascii="Calibri" w:hAnsi="Calibri"/>
          <w:szCs w:val="22"/>
        </w:rPr>
      </w:pPr>
      <w:bookmarkStart w:id="213" w:name="_Toc151386990"/>
      <w:r w:rsidRPr="002926D7">
        <w:rPr>
          <w:rFonts w:ascii="Calibri" w:hAnsi="Calibri"/>
          <w:szCs w:val="22"/>
        </w:rPr>
        <w:t>Annex 2: List of participating countries</w:t>
      </w:r>
      <w:bookmarkEnd w:id="213"/>
    </w:p>
    <w:p w14:paraId="0873EFA0" w14:textId="77777777" w:rsidR="00653AC4" w:rsidRPr="002926D7" w:rsidRDefault="00653AC4" w:rsidP="002926D7">
      <w:pPr>
        <w:pStyle w:val="Heading2"/>
        <w:spacing w:after="120"/>
        <w:ind w:left="0"/>
        <w:rPr>
          <w:rFonts w:ascii="Calibri" w:hAnsi="Calibri"/>
          <w:szCs w:val="22"/>
        </w:rPr>
      </w:pPr>
      <w:bookmarkStart w:id="214" w:name="_Toc151386991"/>
      <w:r w:rsidRPr="002926D7">
        <w:rPr>
          <w:rFonts w:ascii="Calibri" w:hAnsi="Calibri"/>
          <w:szCs w:val="22"/>
        </w:rPr>
        <w:t>Annex 3: Multiyear work plan</w:t>
      </w:r>
      <w:bookmarkEnd w:id="214"/>
    </w:p>
    <w:p w14:paraId="3636E5E8" w14:textId="5CA1B009" w:rsidR="00653AC4" w:rsidRPr="002926D7" w:rsidRDefault="00653AC4" w:rsidP="002926D7">
      <w:pPr>
        <w:pStyle w:val="Heading2"/>
        <w:spacing w:after="120"/>
        <w:ind w:left="0"/>
        <w:rPr>
          <w:rFonts w:ascii="Calibri" w:hAnsi="Calibri"/>
          <w:szCs w:val="22"/>
        </w:rPr>
      </w:pPr>
      <w:bookmarkStart w:id="215" w:name="_Toc151386992"/>
      <w:r w:rsidRPr="002926D7">
        <w:rPr>
          <w:rFonts w:ascii="Calibri" w:hAnsi="Calibri"/>
          <w:szCs w:val="22"/>
        </w:rPr>
        <w:t>Annex 4: UNDP social and environmental screening report</w:t>
      </w:r>
      <w:bookmarkEnd w:id="215"/>
    </w:p>
    <w:p w14:paraId="6620F7D4" w14:textId="77777777" w:rsidR="00653AC4" w:rsidRPr="002926D7" w:rsidRDefault="00653AC4" w:rsidP="002926D7">
      <w:pPr>
        <w:pStyle w:val="Heading2"/>
        <w:tabs>
          <w:tab w:val="left" w:pos="1740"/>
        </w:tabs>
        <w:spacing w:after="120"/>
        <w:ind w:left="0"/>
        <w:rPr>
          <w:rFonts w:asciiTheme="minorHAnsi" w:hAnsiTheme="minorHAnsi" w:cstheme="minorHAnsi"/>
          <w:szCs w:val="20"/>
        </w:rPr>
      </w:pPr>
      <w:bookmarkStart w:id="216" w:name="_Toc151386993"/>
      <w:bookmarkStart w:id="217" w:name="_Hlk151459050"/>
      <w:r w:rsidRPr="002926D7">
        <w:rPr>
          <w:rFonts w:asciiTheme="minorHAnsi" w:hAnsiTheme="minorHAnsi" w:cstheme="minorHAnsi"/>
          <w:szCs w:val="22"/>
        </w:rPr>
        <w:t>Annex 5: Project risk register</w:t>
      </w:r>
      <w:bookmarkEnd w:id="216"/>
    </w:p>
    <w:p w14:paraId="0015CDFD" w14:textId="77777777" w:rsidR="00653AC4" w:rsidRPr="002926D7" w:rsidRDefault="00653AC4" w:rsidP="002926D7">
      <w:pPr>
        <w:pStyle w:val="Heading2"/>
        <w:tabs>
          <w:tab w:val="left" w:pos="1740"/>
        </w:tabs>
        <w:spacing w:after="120"/>
        <w:ind w:left="0"/>
        <w:rPr>
          <w:rFonts w:ascii="Calibri" w:hAnsi="Calibri"/>
          <w:szCs w:val="22"/>
        </w:rPr>
      </w:pPr>
      <w:bookmarkStart w:id="218" w:name="_Toc151386994"/>
      <w:bookmarkEnd w:id="217"/>
      <w:r w:rsidRPr="002926D7">
        <w:rPr>
          <w:rFonts w:ascii="Calibri" w:hAnsi="Calibri"/>
          <w:szCs w:val="22"/>
        </w:rPr>
        <w:t>Annex 6: Stakeholder engagement plan</w:t>
      </w:r>
      <w:bookmarkEnd w:id="218"/>
    </w:p>
    <w:p w14:paraId="11BC6D1D" w14:textId="77777777" w:rsidR="00653AC4" w:rsidRPr="002926D7" w:rsidRDefault="00653AC4" w:rsidP="002926D7">
      <w:pPr>
        <w:pStyle w:val="Heading2"/>
        <w:tabs>
          <w:tab w:val="left" w:pos="1740"/>
        </w:tabs>
        <w:spacing w:after="120"/>
        <w:ind w:left="0"/>
        <w:rPr>
          <w:rFonts w:ascii="Calibri" w:hAnsi="Calibri"/>
          <w:szCs w:val="22"/>
        </w:rPr>
      </w:pPr>
      <w:bookmarkStart w:id="219" w:name="_Toc151386995"/>
      <w:r w:rsidRPr="002926D7">
        <w:rPr>
          <w:rFonts w:ascii="Calibri" w:hAnsi="Calibri"/>
          <w:szCs w:val="22"/>
        </w:rPr>
        <w:t>Annex 7: Environmental and social management framework</w:t>
      </w:r>
      <w:bookmarkEnd w:id="219"/>
    </w:p>
    <w:p w14:paraId="162FD989" w14:textId="77777777" w:rsidR="00653AC4" w:rsidRPr="002926D7" w:rsidRDefault="00653AC4" w:rsidP="002926D7">
      <w:pPr>
        <w:pStyle w:val="Heading2"/>
        <w:tabs>
          <w:tab w:val="left" w:pos="1740"/>
        </w:tabs>
        <w:spacing w:after="120"/>
        <w:ind w:left="0"/>
        <w:rPr>
          <w:rFonts w:asciiTheme="minorHAnsi" w:hAnsiTheme="minorHAnsi" w:cstheme="minorHAnsi"/>
          <w:szCs w:val="20"/>
        </w:rPr>
      </w:pPr>
      <w:bookmarkStart w:id="220" w:name="_Toc151386996"/>
      <w:r w:rsidRPr="002926D7">
        <w:rPr>
          <w:rFonts w:asciiTheme="minorHAnsi" w:hAnsiTheme="minorHAnsi" w:cstheme="minorHAnsi"/>
          <w:szCs w:val="22"/>
        </w:rPr>
        <w:t>Annex 8: Gender analysis and gender action plan</w:t>
      </w:r>
      <w:bookmarkEnd w:id="220"/>
      <w:r w:rsidRPr="002926D7">
        <w:rPr>
          <w:rFonts w:asciiTheme="minorHAnsi" w:hAnsiTheme="minorHAnsi" w:cstheme="minorHAnsi"/>
          <w:szCs w:val="20"/>
        </w:rPr>
        <w:t xml:space="preserve"> </w:t>
      </w:r>
    </w:p>
    <w:p w14:paraId="57B5FABE" w14:textId="77777777" w:rsidR="00653AC4" w:rsidRPr="002926D7" w:rsidRDefault="00653AC4" w:rsidP="002926D7">
      <w:pPr>
        <w:pStyle w:val="Heading2"/>
        <w:tabs>
          <w:tab w:val="left" w:pos="1740"/>
        </w:tabs>
        <w:spacing w:after="120"/>
        <w:ind w:left="0"/>
        <w:rPr>
          <w:rFonts w:asciiTheme="minorHAnsi" w:hAnsiTheme="minorHAnsi" w:cstheme="minorHAnsi"/>
          <w:szCs w:val="20"/>
        </w:rPr>
      </w:pPr>
      <w:bookmarkStart w:id="221" w:name="_Toc151386997"/>
      <w:r w:rsidRPr="002926D7">
        <w:rPr>
          <w:rFonts w:asciiTheme="minorHAnsi" w:hAnsiTheme="minorHAnsi" w:cstheme="minorHAnsi"/>
          <w:szCs w:val="22"/>
        </w:rPr>
        <w:t xml:space="preserve">Annex 9: </w:t>
      </w:r>
      <w:r w:rsidRPr="002926D7">
        <w:rPr>
          <w:rFonts w:asciiTheme="minorHAnsi" w:hAnsiTheme="minorHAnsi" w:cstheme="minorHAnsi"/>
          <w:szCs w:val="20"/>
        </w:rPr>
        <w:t>Procurement plan</w:t>
      </w:r>
      <w:bookmarkEnd w:id="221"/>
    </w:p>
    <w:p w14:paraId="7070F36C" w14:textId="0A1640B0" w:rsidR="00653AC4" w:rsidRPr="002926D7" w:rsidRDefault="00653AC4" w:rsidP="002926D7">
      <w:pPr>
        <w:pStyle w:val="Heading2"/>
        <w:tabs>
          <w:tab w:val="left" w:pos="1740"/>
        </w:tabs>
        <w:spacing w:after="120"/>
        <w:ind w:left="0"/>
        <w:rPr>
          <w:rFonts w:asciiTheme="minorHAnsi" w:hAnsiTheme="minorHAnsi" w:cstheme="minorHAnsi"/>
          <w:szCs w:val="22"/>
        </w:rPr>
      </w:pPr>
      <w:bookmarkStart w:id="222" w:name="_Toc151386998"/>
      <w:bookmarkStart w:id="223" w:name="_Hlk151454043"/>
      <w:r w:rsidRPr="002926D7">
        <w:rPr>
          <w:rFonts w:asciiTheme="minorHAnsi" w:hAnsiTheme="minorHAnsi" w:cstheme="minorHAnsi"/>
          <w:szCs w:val="22"/>
        </w:rPr>
        <w:t xml:space="preserve">Annex 10: Terms of reference </w:t>
      </w:r>
      <w:bookmarkEnd w:id="222"/>
    </w:p>
    <w:p w14:paraId="2B531466" w14:textId="77777777" w:rsidR="00653AC4" w:rsidRPr="002926D7" w:rsidRDefault="00653AC4" w:rsidP="002926D7">
      <w:pPr>
        <w:pStyle w:val="Heading2"/>
        <w:spacing w:after="120"/>
        <w:ind w:left="0"/>
        <w:rPr>
          <w:rFonts w:asciiTheme="minorHAnsi" w:hAnsiTheme="minorHAnsi"/>
        </w:rPr>
      </w:pPr>
      <w:bookmarkStart w:id="224" w:name="_Toc151386999"/>
      <w:bookmarkEnd w:id="223"/>
      <w:r w:rsidRPr="002926D7">
        <w:rPr>
          <w:rFonts w:asciiTheme="minorHAnsi" w:hAnsiTheme="minorHAnsi"/>
        </w:rPr>
        <w:t>Annex 11: Additional agreements: co-financing letter</w:t>
      </w:r>
      <w:bookmarkEnd w:id="224"/>
    </w:p>
    <w:p w14:paraId="1AC051A1" w14:textId="77777777" w:rsidR="00653AC4" w:rsidRPr="002926D7" w:rsidRDefault="00653AC4" w:rsidP="002926D7">
      <w:pPr>
        <w:pStyle w:val="Heading2"/>
        <w:tabs>
          <w:tab w:val="left" w:pos="1740"/>
        </w:tabs>
        <w:spacing w:after="120"/>
        <w:ind w:left="0"/>
        <w:rPr>
          <w:rFonts w:ascii="Calibri" w:hAnsi="Calibri"/>
          <w:szCs w:val="22"/>
        </w:rPr>
      </w:pPr>
      <w:bookmarkStart w:id="225" w:name="_Toc151387000"/>
      <w:r w:rsidRPr="002926D7">
        <w:rPr>
          <w:rFonts w:ascii="Calibri" w:hAnsi="Calibri"/>
          <w:szCs w:val="22"/>
        </w:rPr>
        <w:t>Annex 12: GEF-8 Results Measurement Framework worksheet</w:t>
      </w:r>
      <w:bookmarkEnd w:id="225"/>
    </w:p>
    <w:p w14:paraId="7C96547D" w14:textId="0F501F1A" w:rsidR="00653AC4" w:rsidRPr="002926D7" w:rsidRDefault="00653AC4" w:rsidP="002926D7">
      <w:pPr>
        <w:pStyle w:val="Heading2"/>
        <w:spacing w:after="120"/>
        <w:ind w:left="0"/>
        <w:rPr>
          <w:rFonts w:asciiTheme="minorHAnsi" w:hAnsiTheme="minorHAnsi"/>
        </w:rPr>
      </w:pPr>
      <w:bookmarkStart w:id="226" w:name="_Toc151387001"/>
      <w:r w:rsidRPr="002926D7">
        <w:rPr>
          <w:rFonts w:asciiTheme="minorHAnsi" w:hAnsiTheme="minorHAnsi"/>
        </w:rPr>
        <w:t>Annex 13: GEF taxonomy</w:t>
      </w:r>
      <w:bookmarkEnd w:id="226"/>
      <w:r w:rsidRPr="002926D7">
        <w:rPr>
          <w:rFonts w:asciiTheme="minorHAnsi" w:hAnsiTheme="minorHAnsi"/>
        </w:rPr>
        <w:t xml:space="preserve"> </w:t>
      </w:r>
    </w:p>
    <w:p w14:paraId="7230DF2C" w14:textId="77777777" w:rsidR="00653AC4" w:rsidRPr="002926D7" w:rsidRDefault="00653AC4" w:rsidP="002926D7">
      <w:pPr>
        <w:pStyle w:val="Heading2"/>
        <w:spacing w:after="120"/>
        <w:ind w:left="0"/>
        <w:rPr>
          <w:rFonts w:asciiTheme="minorHAnsi" w:hAnsiTheme="minorHAnsi"/>
        </w:rPr>
      </w:pPr>
      <w:bookmarkStart w:id="227" w:name="_Toc151387002"/>
      <w:r w:rsidRPr="002926D7">
        <w:rPr>
          <w:rFonts w:asciiTheme="minorHAnsi" w:hAnsiTheme="minorHAnsi"/>
        </w:rPr>
        <w:t>Annex 14: UNDP project quality assurance report</w:t>
      </w:r>
      <w:bookmarkEnd w:id="227"/>
    </w:p>
    <w:p w14:paraId="57EE8EBF" w14:textId="77777777" w:rsidR="00653AC4" w:rsidRPr="008A5774" w:rsidRDefault="00653AC4" w:rsidP="002926D7">
      <w:pPr>
        <w:pStyle w:val="Heading2"/>
        <w:tabs>
          <w:tab w:val="left" w:pos="1740"/>
        </w:tabs>
        <w:spacing w:after="120"/>
        <w:ind w:left="0"/>
        <w:rPr>
          <w:rFonts w:ascii="Calibri" w:hAnsi="Calibri"/>
          <w:szCs w:val="22"/>
        </w:rPr>
      </w:pPr>
      <w:bookmarkStart w:id="228" w:name="_Toc151387003"/>
      <w:r w:rsidRPr="002926D7">
        <w:rPr>
          <w:rFonts w:asciiTheme="minorHAnsi" w:hAnsiTheme="minorHAnsi"/>
        </w:rPr>
        <w:t>Annex 15: GEF CEO Endorsement/Approval</w:t>
      </w:r>
      <w:bookmarkEnd w:id="228"/>
    </w:p>
    <w:p w14:paraId="6622DC05" w14:textId="77777777" w:rsidR="006C245D" w:rsidRPr="00653AC4" w:rsidRDefault="006C245D" w:rsidP="002926D7">
      <w:pPr>
        <w:pStyle w:val="Heading2"/>
        <w:tabs>
          <w:tab w:val="left" w:pos="1740"/>
        </w:tabs>
        <w:spacing w:after="120"/>
        <w:ind w:left="0"/>
        <w:rPr>
          <w:rFonts w:asciiTheme="minorHAnsi" w:hAnsiTheme="minorHAnsi" w:cstheme="minorHAnsi"/>
          <w:szCs w:val="22"/>
        </w:rPr>
        <w:sectPr w:rsidR="006C245D" w:rsidRPr="00653AC4" w:rsidSect="00294901">
          <w:pgSz w:w="12240" w:h="15840" w:code="1"/>
          <w:pgMar w:top="1440" w:right="1440" w:bottom="1440" w:left="1440" w:header="720" w:footer="720" w:gutter="0"/>
          <w:cols w:space="720"/>
          <w:docGrid w:linePitch="360"/>
        </w:sectPr>
      </w:pPr>
    </w:p>
    <w:bookmarkEnd w:id="133"/>
    <w:bookmarkEnd w:id="134"/>
    <w:bookmarkEnd w:id="209"/>
    <w:bookmarkEnd w:id="211"/>
    <w:p w14:paraId="537F8DF2" w14:textId="0374788B" w:rsidR="00A01929" w:rsidRPr="00A01929" w:rsidRDefault="00A01929" w:rsidP="002926D7">
      <w:pPr>
        <w:pStyle w:val="Heading2"/>
        <w:spacing w:after="120"/>
        <w:ind w:left="0"/>
      </w:pPr>
    </w:p>
    <w:sectPr w:rsidR="00A01929" w:rsidRPr="00A01929" w:rsidSect="00294901">
      <w:headerReference w:type="first" r:id="rId37"/>
      <w:pgSz w:w="12240" w:h="15840" w:code="1"/>
      <w:pgMar w:top="864" w:right="1152" w:bottom="864" w:left="1152"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82AA6C" w14:textId="77777777" w:rsidR="00354CAC" w:rsidRDefault="00354CAC">
      <w:r>
        <w:separator/>
      </w:r>
    </w:p>
  </w:endnote>
  <w:endnote w:type="continuationSeparator" w:id="0">
    <w:p w14:paraId="2A2B5F2C" w14:textId="77777777" w:rsidR="00354CAC" w:rsidRDefault="00354CAC">
      <w:r>
        <w:continuationSeparator/>
      </w:r>
    </w:p>
  </w:endnote>
  <w:endnote w:type="continuationNotice" w:id="1">
    <w:p w14:paraId="55CB98FB" w14:textId="77777777" w:rsidR="00354CAC" w:rsidRDefault="00354C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urier">
    <w:panose1 w:val="02070409020205020404"/>
    <w:charset w:val="00"/>
    <w:family w:val="auto"/>
    <w:notTrueType/>
    <w:pitch w:val="variable"/>
    <w:sig w:usb0="00000001"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dobe Garamond Pro">
    <w:panose1 w:val="00000000000000000000"/>
    <w:charset w:val="00"/>
    <w:family w:val="roman"/>
    <w:notTrueType/>
    <w:pitch w:val="variable"/>
    <w:sig w:usb0="800000AF" w:usb1="5000205B" w:usb2="00000000" w:usb3="00000000" w:csb0="0000009B" w:csb1="00000000"/>
  </w:font>
  <w:font w:name="Trebuchet MS">
    <w:panose1 w:val="020B0603020202020204"/>
    <w:charset w:val="00"/>
    <w:family w:val="swiss"/>
    <w:pitch w:val="variable"/>
    <w:sig w:usb0="00000687" w:usb1="00000000" w:usb2="00000000" w:usb3="00000000" w:csb0="0000009F" w:csb1="00000000"/>
  </w:font>
  <w:font w:name="Angsana New">
    <w:panose1 w:val="02020603050405020304"/>
    <w:charset w:val="DE"/>
    <w:family w:val="roman"/>
    <w:pitch w:val="variable"/>
    <w:sig w:usb0="81000003" w:usb1="00000000" w:usb2="00000000" w:usb3="00000000" w:csb0="00010001"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imes New Roman Bold">
    <w:altName w:val="Times New Roman"/>
    <w:panose1 w:val="02020803070505020304"/>
    <w:charset w:val="00"/>
    <w:family w:val="auto"/>
    <w:pitch w:val="variable"/>
    <w:sig w:usb0="E0002AEF" w:usb1="C0007841" w:usb2="00000009" w:usb3="00000000" w:csb0="000001FF" w:csb1="00000000"/>
  </w:font>
  <w:font w:name="Cordia New">
    <w:panose1 w:val="020B0304020202020204"/>
    <w:charset w:val="DE"/>
    <w:family w:val="swiss"/>
    <w:pitch w:val="variable"/>
    <w:sig w:usb0="81000003" w:usb1="00000000" w:usb2="00000000" w:usb3="00000000" w:csb0="00010001"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Dotum">
    <w:altName w:val="돋움"/>
    <w:panose1 w:val="020B0600000101010101"/>
    <w:charset w:val="81"/>
    <w:family w:val="swiss"/>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Browallia New">
    <w:charset w:val="DE"/>
    <w:family w:val="swiss"/>
    <w:pitch w:val="variable"/>
    <w:sig w:usb0="81000003" w:usb1="00000000" w:usb2="00000000" w:usb3="00000000" w:csb0="00010001" w:csb1="00000000"/>
  </w:font>
  <w:font w:name="FangSong">
    <w:charset w:val="86"/>
    <w:family w:val="modern"/>
    <w:pitch w:val="fixed"/>
    <w:sig w:usb0="800002BF" w:usb1="38CF7CFA" w:usb2="00000016" w:usb3="00000000" w:csb0="0004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1E292A" w14:textId="77777777" w:rsidR="00A877FB" w:rsidRPr="0086069F" w:rsidRDefault="00A877FB" w:rsidP="0003763F">
    <w:pPr>
      <w:pStyle w:val="Footer"/>
      <w:pBdr>
        <w:top w:val="single" w:sz="4" w:space="1" w:color="D9D9D9"/>
      </w:pBdr>
      <w:jc w:val="right"/>
      <w:rPr>
        <w:sz w:val="18"/>
        <w:szCs w:val="18"/>
      </w:rPr>
    </w:pPr>
    <w:r w:rsidRPr="0086069F">
      <w:rPr>
        <w:sz w:val="18"/>
        <w:szCs w:val="18"/>
      </w:rPr>
      <w:fldChar w:fldCharType="begin"/>
    </w:r>
    <w:r w:rsidRPr="0086069F">
      <w:rPr>
        <w:sz w:val="18"/>
        <w:szCs w:val="18"/>
      </w:rPr>
      <w:instrText xml:space="preserve"> PAGE   \* MERGEFORMAT </w:instrText>
    </w:r>
    <w:r w:rsidRPr="0086069F">
      <w:rPr>
        <w:sz w:val="18"/>
        <w:szCs w:val="18"/>
      </w:rPr>
      <w:fldChar w:fldCharType="separate"/>
    </w:r>
    <w:r w:rsidR="00172952">
      <w:rPr>
        <w:noProof/>
        <w:sz w:val="18"/>
        <w:szCs w:val="18"/>
      </w:rPr>
      <w:t>30</w:t>
    </w:r>
    <w:r w:rsidRPr="0086069F">
      <w:rPr>
        <w:noProof/>
        <w:sz w:val="18"/>
        <w:szCs w:val="18"/>
      </w:rPr>
      <w:fldChar w:fldCharType="end"/>
    </w:r>
    <w:r w:rsidRPr="0086069F">
      <w:rPr>
        <w:sz w:val="18"/>
        <w:szCs w:val="18"/>
      </w:rPr>
      <w:t xml:space="preserve"> | </w:t>
    </w:r>
    <w:r w:rsidRPr="0086069F">
      <w:rPr>
        <w:color w:val="7F7F7F"/>
        <w:spacing w:val="60"/>
        <w:sz w:val="18"/>
        <w:szCs w:val="18"/>
      </w:rPr>
      <w:t>Page</w:t>
    </w:r>
  </w:p>
  <w:p w14:paraId="631DFC62" w14:textId="77777777" w:rsidR="00A877FB" w:rsidRDefault="00A877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9D646" w14:textId="602F3877" w:rsidR="00A877FB" w:rsidRPr="00E30B7F" w:rsidRDefault="00A877FB" w:rsidP="00E30B7F">
    <w:pPr>
      <w:pStyle w:val="Footer"/>
      <w:pBdr>
        <w:top w:val="single" w:sz="4" w:space="1" w:color="D9D9D9"/>
      </w:pBdr>
      <w:tabs>
        <w:tab w:val="left" w:pos="345"/>
        <w:tab w:val="right" w:pos="9360"/>
      </w:tabs>
      <w:jc w:val="right"/>
      <w:rPr>
        <w:sz w:val="18"/>
        <w:szCs w:val="18"/>
      </w:rPr>
    </w:pPr>
    <w:bookmarkStart w:id="39" w:name="_Hlk39426548"/>
    <w:r w:rsidRPr="00CE62FD">
      <w:rPr>
        <w:sz w:val="18"/>
        <w:szCs w:val="18"/>
      </w:rPr>
      <w:tab/>
    </w:r>
    <w:r w:rsidRPr="00CE62FD">
      <w:rPr>
        <w:sz w:val="18"/>
        <w:szCs w:val="18"/>
      </w:rPr>
      <w:tab/>
    </w:r>
    <w:r w:rsidRPr="00CE62FD">
      <w:rPr>
        <w:sz w:val="18"/>
        <w:szCs w:val="18"/>
      </w:rPr>
      <w:tab/>
    </w:r>
    <w:bookmarkStart w:id="40" w:name="_Hlk39426532"/>
    <w:r w:rsidRPr="00CE62FD">
      <w:rPr>
        <w:sz w:val="18"/>
        <w:szCs w:val="18"/>
      </w:rPr>
      <w:fldChar w:fldCharType="begin"/>
    </w:r>
    <w:r w:rsidRPr="00CE62FD">
      <w:rPr>
        <w:sz w:val="18"/>
        <w:szCs w:val="18"/>
      </w:rPr>
      <w:instrText xml:space="preserve"> PAGE   \* MERGEFORMAT </w:instrText>
    </w:r>
    <w:r w:rsidRPr="00CE62FD">
      <w:rPr>
        <w:sz w:val="18"/>
        <w:szCs w:val="18"/>
      </w:rPr>
      <w:fldChar w:fldCharType="separate"/>
    </w:r>
    <w:r w:rsidR="00172952">
      <w:rPr>
        <w:noProof/>
        <w:sz w:val="18"/>
        <w:szCs w:val="18"/>
      </w:rPr>
      <w:t>63</w:t>
    </w:r>
    <w:r w:rsidRPr="00CE62FD">
      <w:rPr>
        <w:noProof/>
        <w:sz w:val="18"/>
        <w:szCs w:val="18"/>
      </w:rPr>
      <w:fldChar w:fldCharType="end"/>
    </w:r>
    <w:r w:rsidRPr="00CE62FD">
      <w:rPr>
        <w:sz w:val="18"/>
        <w:szCs w:val="18"/>
      </w:rPr>
      <w:t xml:space="preserve"> | </w:t>
    </w:r>
    <w:r w:rsidRPr="00CE62FD">
      <w:rPr>
        <w:color w:val="7F7F7F"/>
        <w:spacing w:val="60"/>
        <w:sz w:val="18"/>
        <w:szCs w:val="18"/>
      </w:rPr>
      <w:t>Page</w:t>
    </w:r>
    <w:bookmarkEnd w:id="39"/>
    <w:bookmarkEnd w:id="40"/>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28" w:name="_Hlk39600346"/>
  <w:p w14:paraId="57E7F996" w14:textId="77777777" w:rsidR="00A877FB" w:rsidRPr="0086069F" w:rsidRDefault="00A877FB" w:rsidP="0003763F">
    <w:pPr>
      <w:pStyle w:val="Footer"/>
      <w:pBdr>
        <w:top w:val="single" w:sz="4" w:space="1" w:color="D9D9D9"/>
      </w:pBdr>
      <w:jc w:val="right"/>
      <w:rPr>
        <w:sz w:val="18"/>
        <w:szCs w:val="18"/>
      </w:rPr>
    </w:pPr>
    <w:r w:rsidRPr="0086069F">
      <w:rPr>
        <w:sz w:val="18"/>
        <w:szCs w:val="18"/>
      </w:rPr>
      <w:fldChar w:fldCharType="begin"/>
    </w:r>
    <w:r w:rsidRPr="0086069F">
      <w:rPr>
        <w:sz w:val="18"/>
        <w:szCs w:val="18"/>
      </w:rPr>
      <w:instrText xml:space="preserve"> PAGE   \* MERGEFORMAT </w:instrText>
    </w:r>
    <w:r w:rsidRPr="0086069F">
      <w:rPr>
        <w:sz w:val="18"/>
        <w:szCs w:val="18"/>
      </w:rPr>
      <w:fldChar w:fldCharType="separate"/>
    </w:r>
    <w:r w:rsidR="00172952">
      <w:rPr>
        <w:noProof/>
        <w:sz w:val="18"/>
        <w:szCs w:val="18"/>
      </w:rPr>
      <w:t>39</w:t>
    </w:r>
    <w:r w:rsidRPr="0086069F">
      <w:rPr>
        <w:noProof/>
        <w:sz w:val="18"/>
        <w:szCs w:val="18"/>
      </w:rPr>
      <w:fldChar w:fldCharType="end"/>
    </w:r>
    <w:r w:rsidRPr="0086069F">
      <w:rPr>
        <w:sz w:val="18"/>
        <w:szCs w:val="18"/>
      </w:rPr>
      <w:t xml:space="preserve"> | </w:t>
    </w:r>
    <w:r w:rsidRPr="0086069F">
      <w:rPr>
        <w:color w:val="7F7F7F"/>
        <w:spacing w:val="60"/>
        <w:sz w:val="18"/>
        <w:szCs w:val="18"/>
      </w:rPr>
      <w:t>Page</w:t>
    </w:r>
  </w:p>
  <w:bookmarkEnd w:id="128"/>
  <w:p w14:paraId="795ED312" w14:textId="77777777" w:rsidR="00A877FB" w:rsidRDefault="00A877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35" w:name="_Hlk36996286"/>
  <w:bookmarkStart w:id="136" w:name="_Hlk36996287"/>
  <w:p w14:paraId="493C031B" w14:textId="77CC5D49" w:rsidR="00A877FB" w:rsidRDefault="00A877FB" w:rsidP="00466BB7">
    <w:pPr>
      <w:pStyle w:val="Footer"/>
      <w:pBdr>
        <w:top w:val="single" w:sz="4" w:space="1" w:color="D9D9D9"/>
      </w:pBdr>
      <w:jc w:val="right"/>
    </w:pPr>
    <w:r>
      <w:fldChar w:fldCharType="begin"/>
    </w:r>
    <w:r>
      <w:instrText xml:space="preserve"> PAGE   \* MERGEFORMAT </w:instrText>
    </w:r>
    <w:r>
      <w:fldChar w:fldCharType="separate"/>
    </w:r>
    <w:r w:rsidR="00AA4C43">
      <w:rPr>
        <w:noProof/>
      </w:rPr>
      <w:t>87</w:t>
    </w:r>
    <w:r>
      <w:rPr>
        <w:noProof/>
      </w:rPr>
      <w:fldChar w:fldCharType="end"/>
    </w:r>
    <w:r>
      <w:t xml:space="preserve"> | </w:t>
    </w:r>
    <w:r w:rsidRPr="0003763F">
      <w:rPr>
        <w:color w:val="7F7F7F"/>
        <w:spacing w:val="60"/>
      </w:rPr>
      <w:t>Page</w:t>
    </w:r>
    <w:bookmarkEnd w:id="135"/>
    <w:bookmarkEnd w:id="136"/>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2BAEE" w14:textId="77777777" w:rsidR="00354CAC" w:rsidRDefault="00354CAC">
      <w:r>
        <w:separator/>
      </w:r>
    </w:p>
  </w:footnote>
  <w:footnote w:type="continuationSeparator" w:id="0">
    <w:p w14:paraId="55193543" w14:textId="77777777" w:rsidR="00354CAC" w:rsidRDefault="00354CAC">
      <w:r>
        <w:continuationSeparator/>
      </w:r>
    </w:p>
  </w:footnote>
  <w:footnote w:type="continuationNotice" w:id="1">
    <w:p w14:paraId="531665A1" w14:textId="77777777" w:rsidR="00354CAC" w:rsidRDefault="00354CAC"/>
  </w:footnote>
  <w:footnote w:id="2">
    <w:p w14:paraId="5B2B99AE" w14:textId="77777777" w:rsidR="009C4496" w:rsidRPr="00E20942" w:rsidRDefault="009C4496" w:rsidP="009C4496">
      <w:pPr>
        <w:pStyle w:val="FootnoteText"/>
        <w:rPr>
          <w:rFonts w:ascii="Calibri" w:hAnsi="Calibri" w:cs="Calibri"/>
          <w:color w:val="000000"/>
          <w:sz w:val="16"/>
          <w:szCs w:val="18"/>
          <w:lang w:val="en-GB"/>
        </w:rPr>
      </w:pPr>
      <w:r w:rsidRPr="00E20942">
        <w:rPr>
          <w:rStyle w:val="FootnoteReference"/>
          <w:rFonts w:ascii="Calibri" w:hAnsi="Calibri" w:cs="Calibri"/>
          <w:color w:val="000000"/>
          <w:sz w:val="16"/>
          <w:szCs w:val="18"/>
        </w:rPr>
        <w:footnoteRef/>
      </w:r>
      <w:r w:rsidRPr="00E20942">
        <w:rPr>
          <w:rFonts w:ascii="Calibri" w:hAnsi="Calibri" w:cs="Calibri"/>
          <w:color w:val="000000"/>
          <w:sz w:val="16"/>
          <w:szCs w:val="18"/>
        </w:rPr>
        <w:t xml:space="preserve"> </w:t>
      </w:r>
      <w:hyperlink r:id="rId1" w:history="1">
        <w:r w:rsidRPr="00E20942">
          <w:rPr>
            <w:rStyle w:val="Hyperlink"/>
            <w:rFonts w:cs="Calibri"/>
            <w:color w:val="000000"/>
            <w:sz w:val="16"/>
            <w:szCs w:val="18"/>
          </w:rPr>
          <w:t>https://panorama.solutions/en</w:t>
        </w:r>
      </w:hyperlink>
      <w:r w:rsidRPr="00E20942">
        <w:rPr>
          <w:rStyle w:val="Hyperlink"/>
          <w:rFonts w:cs="Calibri"/>
          <w:color w:val="000000"/>
          <w:sz w:val="16"/>
          <w:szCs w:val="18"/>
        </w:rPr>
        <w:t xml:space="preserve">  </w:t>
      </w:r>
      <w:r w:rsidRPr="00E20942">
        <w:rPr>
          <w:rFonts w:ascii="Calibri" w:hAnsi="Calibri" w:cs="Calibri"/>
          <w:color w:val="000000"/>
          <w:sz w:val="16"/>
          <w:szCs w:val="18"/>
        </w:rPr>
        <w:t xml:space="preserve"> </w:t>
      </w:r>
    </w:p>
  </w:footnote>
  <w:footnote w:id="3">
    <w:p w14:paraId="6CF8E22A" w14:textId="77777777" w:rsidR="00472F8B" w:rsidRPr="00083534" w:rsidRDefault="00472F8B" w:rsidP="00472F8B">
      <w:pPr>
        <w:pStyle w:val="FootnoteText"/>
        <w:rPr>
          <w:rFonts w:cstheme="minorHAnsi"/>
          <w:sz w:val="16"/>
          <w:szCs w:val="16"/>
        </w:rPr>
      </w:pPr>
      <w:r w:rsidRPr="00083534">
        <w:rPr>
          <w:rStyle w:val="FootnoteReference"/>
          <w:rFonts w:asciiTheme="minorHAnsi" w:hAnsiTheme="minorHAnsi" w:cstheme="minorHAnsi"/>
          <w:sz w:val="16"/>
          <w:szCs w:val="16"/>
        </w:rPr>
        <w:footnoteRef/>
      </w:r>
      <w:r w:rsidRPr="00083534">
        <w:rPr>
          <w:rFonts w:cstheme="minorHAnsi"/>
          <w:sz w:val="16"/>
          <w:szCs w:val="16"/>
        </w:rPr>
        <w:t xml:space="preserve"> Cases (projects) were selected for assessment based on their degrees of quantitative and qualitative information on scaling up outcomes. Additionally, the review identified 65 cases in 50 countries where some extent of scaling up in SGP projects had occurred.</w:t>
      </w:r>
    </w:p>
  </w:footnote>
  <w:footnote w:id="4">
    <w:p w14:paraId="23095B59" w14:textId="77777777" w:rsidR="00472F8B" w:rsidRPr="00083534" w:rsidRDefault="00472F8B" w:rsidP="00472F8B">
      <w:pPr>
        <w:pStyle w:val="FootnoteText"/>
        <w:rPr>
          <w:rFonts w:cstheme="minorHAnsi"/>
          <w:sz w:val="16"/>
          <w:szCs w:val="16"/>
        </w:rPr>
      </w:pPr>
      <w:r w:rsidRPr="00083534">
        <w:rPr>
          <w:rStyle w:val="FootnoteReference"/>
          <w:rFonts w:asciiTheme="minorHAnsi" w:hAnsiTheme="minorHAnsi" w:cstheme="minorHAnsi"/>
          <w:sz w:val="16"/>
          <w:szCs w:val="16"/>
        </w:rPr>
        <w:footnoteRef/>
      </w:r>
      <w:r w:rsidRPr="00083534">
        <w:rPr>
          <w:rFonts w:cstheme="minorHAnsi"/>
          <w:sz w:val="16"/>
          <w:szCs w:val="16"/>
        </w:rPr>
        <w:t xml:space="preserve"> GEF IEO (2019). Evaluation of GEF Support to Scaling up Impact. 56</w:t>
      </w:r>
      <w:r w:rsidRPr="00083534">
        <w:rPr>
          <w:rFonts w:cstheme="minorHAnsi"/>
          <w:sz w:val="16"/>
          <w:szCs w:val="16"/>
          <w:vertAlign w:val="superscript"/>
        </w:rPr>
        <w:t>th</w:t>
      </w:r>
      <w:r w:rsidRPr="00083534">
        <w:rPr>
          <w:rFonts w:cstheme="minorHAnsi"/>
          <w:sz w:val="16"/>
          <w:szCs w:val="16"/>
        </w:rPr>
        <w:t xml:space="preserve"> GEF Council Meeting Document. Washington, DC</w:t>
      </w:r>
    </w:p>
  </w:footnote>
  <w:footnote w:id="5">
    <w:p w14:paraId="6A48103C" w14:textId="3F39ECFB" w:rsidR="00032588" w:rsidRPr="00083534" w:rsidRDefault="00032588" w:rsidP="00032588">
      <w:pPr>
        <w:pStyle w:val="FootnoteText"/>
        <w:rPr>
          <w:rFonts w:cstheme="minorHAnsi"/>
          <w:sz w:val="16"/>
          <w:szCs w:val="16"/>
        </w:rPr>
      </w:pPr>
      <w:r w:rsidRPr="00083534">
        <w:rPr>
          <w:rStyle w:val="FootnoteReference"/>
          <w:rFonts w:asciiTheme="minorHAnsi" w:hAnsiTheme="minorHAnsi" w:cstheme="minorHAnsi"/>
          <w:sz w:val="16"/>
          <w:szCs w:val="16"/>
        </w:rPr>
        <w:footnoteRef/>
      </w:r>
      <w:r w:rsidRPr="00083534">
        <w:rPr>
          <w:rFonts w:cstheme="minorHAnsi"/>
          <w:sz w:val="16"/>
          <w:szCs w:val="16"/>
        </w:rPr>
        <w:t xml:space="preserve"> </w:t>
      </w:r>
      <w:r w:rsidRPr="00083534">
        <w:rPr>
          <w:rFonts w:cstheme="minorHAnsi"/>
          <w:i/>
          <w:sz w:val="16"/>
          <w:szCs w:val="16"/>
        </w:rPr>
        <w:t xml:space="preserve">Please see </w:t>
      </w:r>
      <w:hyperlink r:id="rId2" w:history="1">
        <w:r w:rsidR="00083534" w:rsidRPr="00083534">
          <w:rPr>
            <w:rFonts w:cstheme="minorHAnsi"/>
            <w:color w:val="0000FF"/>
            <w:sz w:val="16"/>
            <w:szCs w:val="16"/>
            <w:u w:val="single"/>
          </w:rPr>
          <w:t>https://www.undp.org/digital/transformations</w:t>
        </w:r>
      </w:hyperlink>
    </w:p>
  </w:footnote>
  <w:footnote w:id="6">
    <w:p w14:paraId="574D4616" w14:textId="77777777" w:rsidR="00AA2363" w:rsidRDefault="00AA2363" w:rsidP="00AA2363">
      <w:pPr>
        <w:pStyle w:val="FootnoteText"/>
        <w:rPr>
          <w:rFonts w:cstheme="minorHAnsi"/>
          <w:sz w:val="16"/>
          <w:szCs w:val="18"/>
        </w:rPr>
      </w:pPr>
      <w:r>
        <w:rPr>
          <w:rStyle w:val="FootnoteReference"/>
          <w:rFonts w:cstheme="minorHAnsi"/>
          <w:sz w:val="16"/>
          <w:szCs w:val="18"/>
        </w:rPr>
        <w:footnoteRef/>
      </w:r>
      <w:r>
        <w:rPr>
          <w:rFonts w:cstheme="minorHAnsi"/>
          <w:sz w:val="16"/>
          <w:szCs w:val="18"/>
        </w:rPr>
        <w:t xml:space="preserve"> </w:t>
      </w:r>
      <w:r>
        <w:rPr>
          <w:rFonts w:cstheme="minorHAnsi"/>
          <w:i/>
          <w:iCs/>
          <w:sz w:val="16"/>
          <w:szCs w:val="16"/>
        </w:rPr>
        <w:t>UNDP publishes its project information (indicators, baselines, targets and results) to meet the International Aid Transparency Initiative (IATI) standards.  Make sure that indicators are S.M.A.R.T. (Specific, Measurable, Attainable, Relevant and Time-bound), provide accurate baselines and targets underpinned by reliable evidence and data, and avoid acronyms so that external audience clearly understand the results of the project.</w:t>
      </w:r>
    </w:p>
  </w:footnote>
  <w:footnote w:id="7">
    <w:p w14:paraId="4A868BAA" w14:textId="77777777" w:rsidR="00AA2363" w:rsidRDefault="00AA2363" w:rsidP="00AA2363">
      <w:pPr>
        <w:pStyle w:val="FootnoteText"/>
        <w:rPr>
          <w:rFonts w:cstheme="minorHAnsi"/>
          <w:i/>
          <w:sz w:val="16"/>
          <w:szCs w:val="18"/>
        </w:rPr>
      </w:pPr>
      <w:r>
        <w:rPr>
          <w:rStyle w:val="FootnoteReference"/>
          <w:rFonts w:cstheme="minorHAnsi"/>
          <w:sz w:val="16"/>
          <w:szCs w:val="18"/>
        </w:rPr>
        <w:footnoteRef/>
      </w:r>
      <w:r>
        <w:rPr>
          <w:rFonts w:cstheme="minorHAnsi"/>
          <w:i/>
          <w:sz w:val="16"/>
          <w:szCs w:val="18"/>
        </w:rPr>
        <w:t xml:space="preserve"> Baseline, mid-term and end of project target levels must be expressed in the same neutral unit of analysis as the corresponding indicator. Baseline is the current/original status or condition and needs to be quantified. The baseline can be zero when appropriate given the project has not started. The baseline must be established before the project document is submitted to the GEF for final approval. The baseline values will be used to measure the success of the project through implementation monitoring and evaluation. </w:t>
      </w:r>
    </w:p>
  </w:footnote>
  <w:footnote w:id="8">
    <w:p w14:paraId="26A8D226" w14:textId="77777777" w:rsidR="00AA2363" w:rsidRDefault="00AA2363" w:rsidP="00AA2363">
      <w:pPr>
        <w:pStyle w:val="FootnoteText"/>
        <w:rPr>
          <w:rFonts w:cstheme="minorHAnsi"/>
          <w:i/>
          <w:sz w:val="16"/>
          <w:szCs w:val="16"/>
        </w:rPr>
      </w:pPr>
      <w:r>
        <w:rPr>
          <w:rStyle w:val="FootnoteReference"/>
          <w:rFonts w:cstheme="minorHAnsi"/>
          <w:sz w:val="16"/>
          <w:szCs w:val="16"/>
        </w:rPr>
        <w:footnoteRef/>
      </w:r>
      <w:r>
        <w:rPr>
          <w:rFonts w:cstheme="minorHAnsi"/>
          <w:i/>
          <w:sz w:val="16"/>
          <w:szCs w:val="16"/>
        </w:rPr>
        <w:t xml:space="preserve"> Target is the change in the baseline value that will be achieved by the mid-term review and then again by the terminal evaluation.</w:t>
      </w:r>
    </w:p>
  </w:footnote>
  <w:footnote w:id="9">
    <w:p w14:paraId="3592CA08" w14:textId="77777777" w:rsidR="00AA2363" w:rsidRDefault="00AA2363" w:rsidP="00AA2363">
      <w:pPr>
        <w:pStyle w:val="FootnoteText"/>
        <w:rPr>
          <w:rFonts w:cstheme="minorHAnsi"/>
          <w:sz w:val="16"/>
          <w:szCs w:val="18"/>
        </w:rPr>
      </w:pPr>
      <w:r>
        <w:rPr>
          <w:rStyle w:val="FootnoteReference"/>
          <w:rFonts w:cstheme="minorHAnsi"/>
          <w:sz w:val="16"/>
          <w:szCs w:val="18"/>
        </w:rPr>
        <w:footnoteRef/>
      </w:r>
      <w:r>
        <w:rPr>
          <w:rFonts w:cstheme="minorHAnsi"/>
          <w:sz w:val="16"/>
          <w:szCs w:val="18"/>
        </w:rPr>
        <w:t xml:space="preserve"> </w:t>
      </w:r>
      <w:r>
        <w:rPr>
          <w:rFonts w:cstheme="minorHAnsi"/>
          <w:i/>
          <w:iCs/>
          <w:sz w:val="16"/>
          <w:szCs w:val="16"/>
        </w:rPr>
        <w:t>Data collection methods should outline specific tools used to collect data and additional information as necessary to support monitoring. The PIR cannot be used as a source of verification.</w:t>
      </w:r>
    </w:p>
  </w:footnote>
  <w:footnote w:id="10">
    <w:p w14:paraId="5B5D60A8" w14:textId="77777777" w:rsidR="00025B2D" w:rsidRDefault="00025B2D" w:rsidP="00AA2363">
      <w:pPr>
        <w:pStyle w:val="FootnoteText"/>
        <w:rPr>
          <w:i/>
        </w:rPr>
      </w:pPr>
      <w:r>
        <w:rPr>
          <w:rStyle w:val="FootnoteReference"/>
          <w:rFonts w:cstheme="minorHAnsi"/>
          <w:sz w:val="16"/>
          <w:szCs w:val="18"/>
        </w:rPr>
        <w:footnoteRef/>
      </w:r>
      <w:r>
        <w:rPr>
          <w:rFonts w:cstheme="minorHAnsi"/>
          <w:i/>
          <w:iCs/>
          <w:sz w:val="16"/>
          <w:szCs w:val="18"/>
        </w:rPr>
        <w:t>.</w:t>
      </w:r>
      <w:r>
        <w:rPr>
          <w:rFonts w:cstheme="minorHAnsi"/>
          <w:i/>
          <w:sz w:val="16"/>
          <w:szCs w:val="18"/>
        </w:rPr>
        <w:t xml:space="preserve"> This indicator captures the number of individual people who receive targeted support or assistance from a given GEF-financed project or program and/or who use the specific resources that the project maintains or enhances. Direct beneficiaries are all individuals receiving either: (a) Targeted support. This includes individuals whom can be identified as receiving direct support or assistance, can be counted individually and are aware they are receiving support in some sort and/or use the specific resources. This implies a high degree of attribution to the project; or (b) High intensity of support. This means receiving a high level of support/effort provided per person, assessed on a continuum with broad levels from Low to Medium and High, where only high intensity of support qualifies as direct beneficiary as per Table 1 (page 26) of the GEF’s </w:t>
      </w:r>
      <w:hyperlink r:id="rId3" w:history="1">
        <w:r>
          <w:rPr>
            <w:rStyle w:val="Hyperlink"/>
            <w:rFonts w:cstheme="minorHAnsi"/>
            <w:i/>
            <w:sz w:val="16"/>
            <w:szCs w:val="18"/>
          </w:rPr>
          <w:t>Guidelines on the Implementation of the GEF-8 Results Measurement Framework</w:t>
        </w:r>
        <w:r>
          <w:rPr>
            <w:rStyle w:val="Hyperlink"/>
            <w:rFonts w:cs="Arial"/>
            <w:i/>
            <w:sz w:val="16"/>
            <w:szCs w:val="18"/>
          </w:rPr>
          <w:t xml:space="preserve"> </w:t>
        </w:r>
      </w:hyperlink>
      <w:r>
        <w:rPr>
          <w:i/>
          <w:sz w:val="16"/>
          <w:szCs w:val="18"/>
        </w:rPr>
        <w:t xml:space="preserve"> </w:t>
      </w:r>
    </w:p>
  </w:footnote>
  <w:footnote w:id="11">
    <w:p w14:paraId="2851FF60" w14:textId="77777777" w:rsidR="00C45730" w:rsidRDefault="00C45730" w:rsidP="00AA2363">
      <w:pPr>
        <w:pStyle w:val="FootnoteText"/>
        <w:rPr>
          <w:rFonts w:cstheme="minorHAnsi"/>
          <w:i/>
        </w:rPr>
      </w:pPr>
      <w:r>
        <w:rPr>
          <w:rStyle w:val="FootnoteReference"/>
          <w:rFonts w:cstheme="minorHAnsi"/>
          <w:sz w:val="16"/>
          <w:szCs w:val="18"/>
        </w:rPr>
        <w:footnoteRef/>
      </w:r>
      <w:r>
        <w:rPr>
          <w:rFonts w:cstheme="minorHAnsi"/>
          <w:i/>
          <w:sz w:val="16"/>
          <w:szCs w:val="18"/>
        </w:rPr>
        <w:t>Outcomes are medium term results that the project makes a contribution towards, and that are designed to help achieve the longer-term objective.  Achievement of outcomes will be influenced both by project outputs and additional factors that may be outside the direct control of the project.</w:t>
      </w:r>
    </w:p>
  </w:footnote>
  <w:footnote w:id="12">
    <w:p w14:paraId="54AF0D29" w14:textId="77777777" w:rsidR="00BB55E0" w:rsidRPr="00EB563A" w:rsidRDefault="00BB55E0" w:rsidP="00E17230">
      <w:pPr>
        <w:pStyle w:val="FootnoteText"/>
        <w:rPr>
          <w:i/>
        </w:rPr>
      </w:pPr>
      <w:r w:rsidRPr="00244CAF">
        <w:rPr>
          <w:rStyle w:val="FootnoteReference"/>
          <w:rFonts w:cstheme="minorHAnsi"/>
          <w:i/>
          <w:sz w:val="16"/>
          <w:szCs w:val="18"/>
        </w:rPr>
        <w:footnoteRef/>
      </w:r>
      <w:r w:rsidRPr="00244CAF">
        <w:rPr>
          <w:rFonts w:cstheme="minorHAnsi"/>
          <w:i/>
          <w:iCs/>
          <w:sz w:val="16"/>
          <w:szCs w:val="18"/>
        </w:rPr>
        <w:t>.</w:t>
      </w:r>
      <w:r w:rsidRPr="00244CAF">
        <w:rPr>
          <w:rFonts w:cstheme="minorHAnsi"/>
          <w:i/>
          <w:sz w:val="16"/>
          <w:szCs w:val="18"/>
        </w:rPr>
        <w:t xml:space="preserve"> This indicator captures the number of individual people who receive targeted support or assistance from a given GEF-financed project or program and/or who use the specific resources that the project maintains or enhances. Direct beneficiaries are all individuals receiving either: (a) Targeted support. This includes individuals whom can be identified as receiving direct support or assistance, can be counted individually and are aware they are receiving support in some sort and/or use the specific resources. This implies a high degree of attribution to the project; or (b) High intensity of support. This means receiving a high level of support/effort provided per person, assessed on a continuum with broad levels from Low to Medium and High, where only high intensity of support qualifies as direct beneficiary as per Table 1 (page 26) of the GEF’s </w:t>
      </w:r>
      <w:hyperlink r:id="rId4" w:history="1">
        <w:r w:rsidRPr="00244CAF">
          <w:rPr>
            <w:rStyle w:val="Hyperlink"/>
            <w:rFonts w:cstheme="minorHAnsi"/>
            <w:i/>
            <w:sz w:val="16"/>
            <w:szCs w:val="18"/>
          </w:rPr>
          <w:t>Guidelines on the Implementation of the GEF-8 Results Measurement Framework</w:t>
        </w:r>
        <w:r w:rsidRPr="00244CAF">
          <w:rPr>
            <w:rStyle w:val="Hyperlink"/>
            <w:rFonts w:cs="Arial"/>
            <w:i/>
            <w:sz w:val="16"/>
            <w:szCs w:val="18"/>
          </w:rPr>
          <w:t xml:space="preserve"> </w:t>
        </w:r>
      </w:hyperlink>
      <w:r w:rsidRPr="008E6B98">
        <w:rPr>
          <w:i/>
          <w:sz w:val="16"/>
          <w:szCs w:val="18"/>
        </w:rPr>
        <w:t xml:space="preserve"> </w:t>
      </w:r>
    </w:p>
  </w:footnote>
  <w:footnote w:id="13">
    <w:p w14:paraId="77129E16" w14:textId="4D9444BD" w:rsidR="008773FE" w:rsidRDefault="008773FE">
      <w:pPr>
        <w:pStyle w:val="FootnoteText"/>
      </w:pPr>
      <w:r>
        <w:rPr>
          <w:rStyle w:val="FootnoteReference"/>
        </w:rPr>
        <w:footnoteRef/>
      </w:r>
      <w:r>
        <w:t xml:space="preserve"> </w:t>
      </w:r>
      <w:r w:rsidRPr="00E86FDC">
        <w:rPr>
          <w:rFonts w:cstheme="minorHAnsi"/>
          <w:sz w:val="16"/>
          <w:szCs w:val="16"/>
        </w:rPr>
        <w:t>GEF Small Grants Programme 2.0, Implementation Arrangements for GEF-8. GEF/C63/06/Rev.01, November 25, 2022</w:t>
      </w:r>
    </w:p>
  </w:footnote>
  <w:footnote w:id="14">
    <w:p w14:paraId="005E0CF3" w14:textId="77777777" w:rsidR="00D91A9D" w:rsidRPr="00E86FDC" w:rsidRDefault="00D91A9D" w:rsidP="00D91A9D">
      <w:pPr>
        <w:pStyle w:val="FootnoteText"/>
        <w:rPr>
          <w:rFonts w:cstheme="minorHAnsi"/>
          <w:sz w:val="16"/>
          <w:szCs w:val="16"/>
        </w:rPr>
      </w:pPr>
      <w:r w:rsidRPr="00E86FDC">
        <w:rPr>
          <w:rStyle w:val="FootnoteReference"/>
          <w:rFonts w:cstheme="minorHAnsi"/>
          <w:sz w:val="16"/>
          <w:szCs w:val="16"/>
        </w:rPr>
        <w:footnoteRef/>
      </w:r>
      <w:r w:rsidRPr="00E86FDC">
        <w:rPr>
          <w:rFonts w:cstheme="minorHAnsi"/>
          <w:sz w:val="16"/>
          <w:szCs w:val="16"/>
        </w:rPr>
        <w:t xml:space="preserve"> GEF Small Grants Programme 2.0, Implementation Arrangements for GEF-8. GEF/C63/06/Rev.01, November 25, 2022</w:t>
      </w:r>
    </w:p>
  </w:footnote>
  <w:footnote w:id="15">
    <w:p w14:paraId="523EAFB8" w14:textId="77777777" w:rsidR="00F2781F" w:rsidRPr="003A4433" w:rsidRDefault="00F2781F" w:rsidP="00F2781F">
      <w:pPr>
        <w:pStyle w:val="FootnoteText"/>
        <w:rPr>
          <w:rFonts w:cstheme="minorHAnsi"/>
        </w:rPr>
      </w:pPr>
      <w:r w:rsidRPr="003A4433">
        <w:rPr>
          <w:rStyle w:val="FootnoteReference"/>
          <w:rFonts w:asciiTheme="minorHAnsi" w:hAnsiTheme="minorHAnsi" w:cstheme="minorHAnsi"/>
          <w:sz w:val="16"/>
          <w:szCs w:val="18"/>
        </w:rPr>
        <w:footnoteRef/>
      </w:r>
      <w:r w:rsidRPr="003A4433">
        <w:rPr>
          <w:rFonts w:cstheme="minorHAnsi"/>
          <w:sz w:val="16"/>
          <w:szCs w:val="18"/>
        </w:rPr>
        <w:t xml:space="preserve"> See </w:t>
      </w:r>
      <w:hyperlink r:id="rId5" w:history="1">
        <w:r w:rsidRPr="003A4433">
          <w:rPr>
            <w:rStyle w:val="Hyperlink"/>
            <w:rFonts w:cstheme="minorHAnsi"/>
            <w:sz w:val="16"/>
            <w:szCs w:val="18"/>
          </w:rPr>
          <w:t>https://popp.undp.org/_layouts/15/WopiFrame.aspx?sourcedoc=/UNDP_POPP_DOCUMENT_LIBRARY/Public/PPM_Project%20Management_Closing.docx&amp;action=default</w:t>
        </w:r>
      </w:hyperlink>
      <w:r w:rsidRPr="003A4433">
        <w:rPr>
          <w:rFonts w:cstheme="minorHAnsi"/>
          <w:sz w:val="16"/>
          <w:szCs w:val="18"/>
        </w:rPr>
        <w:t xml:space="preserve">. </w:t>
      </w:r>
    </w:p>
  </w:footnote>
  <w:footnote w:id="16">
    <w:p w14:paraId="2E5BD763" w14:textId="77777777" w:rsidR="00BF2978" w:rsidRPr="003174B4" w:rsidRDefault="00BF2978" w:rsidP="00BF2978">
      <w:pPr>
        <w:pStyle w:val="FootnoteText"/>
      </w:pPr>
      <w:r w:rsidRPr="003174B4">
        <w:rPr>
          <w:rStyle w:val="FootnoteReference"/>
        </w:rPr>
        <w:footnoteRef/>
      </w:r>
      <w:r w:rsidRPr="003174B4">
        <w:t xml:space="preserve"> To be used where UNDP is the Implementing Partner</w:t>
      </w:r>
    </w:p>
  </w:footnote>
  <w:footnote w:id="17">
    <w:p w14:paraId="1462B35B" w14:textId="77777777" w:rsidR="00BF2978" w:rsidRPr="003174B4" w:rsidRDefault="00BF2978" w:rsidP="00BF2978">
      <w:pPr>
        <w:pStyle w:val="FootnoteText"/>
      </w:pPr>
      <w:r w:rsidRPr="003174B4">
        <w:rPr>
          <w:rStyle w:val="FootnoteReference"/>
        </w:rPr>
        <w:footnoteRef/>
      </w:r>
      <w:r w:rsidRPr="003174B4">
        <w:t xml:space="preserve"> To be used where the UN, a UN fund/programme or a specialized agency is the Implementing Partner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D01B88" w14:textId="77777777" w:rsidR="00A877FB" w:rsidRPr="00424365" w:rsidRDefault="00A877FB" w:rsidP="00424365">
    <w:pPr>
      <w:pStyle w:val="Header"/>
      <w:rPr>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4F9717" w14:textId="77777777" w:rsidR="00522450" w:rsidRPr="007A7720" w:rsidRDefault="00522450" w:rsidP="005615E7">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236E5"/>
    <w:multiLevelType w:val="hybridMultilevel"/>
    <w:tmpl w:val="7B98D8BC"/>
    <w:lvl w:ilvl="0" w:tplc="0A34EA92">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0BD01A5"/>
    <w:multiLevelType w:val="hybridMultilevel"/>
    <w:tmpl w:val="9568395C"/>
    <w:styleLink w:val="ImportedStyle8"/>
    <w:lvl w:ilvl="0" w:tplc="0DFA6A26">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31A3DE6">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1B27B9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06453AC">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496667E">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0F85C40">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9A02A4B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84A6812">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4FC84C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061344F8"/>
    <w:multiLevelType w:val="hybridMultilevel"/>
    <w:tmpl w:val="3644321A"/>
    <w:lvl w:ilvl="0" w:tplc="69FC5FA6">
      <w:start w:val="1"/>
      <w:numFmt w:val="lowerRoman"/>
      <w:lvlText w:val="(%1)"/>
      <w:lvlJc w:val="left"/>
      <w:pPr>
        <w:ind w:left="1080" w:hanging="720"/>
      </w:pPr>
      <w:rPr>
        <w:rFonts w:eastAsia="Times New Roman"/>
        <w:sz w:val="20"/>
        <w:szCs w:val="16"/>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7200172"/>
    <w:multiLevelType w:val="hybridMultilevel"/>
    <w:tmpl w:val="DFF2F7B4"/>
    <w:lvl w:ilvl="0" w:tplc="79A04AAC">
      <w:start w:val="1"/>
      <w:numFmt w:val="decimal"/>
      <w:pStyle w:val="Paragraph"/>
      <w:lvlText w:val="%1."/>
      <w:lvlJc w:val="left"/>
      <w:pPr>
        <w:ind w:left="360" w:hanging="360"/>
      </w:pPr>
      <w:rPr>
        <w:rFonts w:ascii="Times New Roman" w:hAnsi="Times New Roman" w:hint="default"/>
        <w:b w:val="0"/>
        <w:i w:val="0"/>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E23E63"/>
    <w:multiLevelType w:val="hybridMultilevel"/>
    <w:tmpl w:val="4726D9A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F23D56"/>
    <w:multiLevelType w:val="hybridMultilevel"/>
    <w:tmpl w:val="845E7E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73731E"/>
    <w:multiLevelType w:val="hybridMultilevel"/>
    <w:tmpl w:val="F30C9874"/>
    <w:lvl w:ilvl="0" w:tplc="13482F74">
      <w:start w:val="1"/>
      <w:numFmt w:val="decimal"/>
      <w:pStyle w:val="MainParanoChapter"/>
      <w:lvlText w:val="%1."/>
      <w:lvlJc w:val="left"/>
      <w:pPr>
        <w:ind w:left="630" w:hanging="360"/>
      </w:pPr>
      <w:rPr>
        <w:rFonts w:ascii="Times New Roman" w:hAnsi="Times New Roman" w:cs="Times New Roman" w:hint="default"/>
        <w:b w:val="0"/>
        <w:i w:val="0"/>
        <w:color w:val="auto"/>
        <w:sz w:val="24"/>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23B0B46"/>
    <w:multiLevelType w:val="hybridMultilevel"/>
    <w:tmpl w:val="5A689BF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2EF7BC1"/>
    <w:multiLevelType w:val="hybridMultilevel"/>
    <w:tmpl w:val="03843EC6"/>
    <w:lvl w:ilvl="0" w:tplc="D3308D2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61698F"/>
    <w:multiLevelType w:val="hybridMultilevel"/>
    <w:tmpl w:val="B5284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57B4793"/>
    <w:multiLevelType w:val="hybridMultilevel"/>
    <w:tmpl w:val="4D08B06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1277A5"/>
    <w:multiLevelType w:val="hybridMultilevel"/>
    <w:tmpl w:val="A976AB9A"/>
    <w:lvl w:ilvl="0" w:tplc="9DB00120">
      <w:start w:val="1"/>
      <w:numFmt w:val="upperRoman"/>
      <w:pStyle w:val="Heading1"/>
      <w:lvlText w:val="%1."/>
      <w:lvlJc w:val="left"/>
      <w:pPr>
        <w:tabs>
          <w:tab w:val="num" w:pos="720"/>
        </w:tabs>
        <w:ind w:left="720" w:hanging="720"/>
      </w:pPr>
      <w:rPr>
        <w:rFonts w:cs="Times New Roman" w:hint="default"/>
      </w:rPr>
    </w:lvl>
    <w:lvl w:ilvl="1" w:tplc="944EE276">
      <w:start w:val="1"/>
      <w:numFmt w:val="bullet"/>
      <w:lvlText w:val=""/>
      <w:lvlJc w:val="left"/>
      <w:pPr>
        <w:tabs>
          <w:tab w:val="num" w:pos="1440"/>
        </w:tabs>
        <w:ind w:left="1440" w:hanging="360"/>
      </w:pPr>
      <w:rPr>
        <w:rFonts w:ascii="Symbol" w:hAnsi="Symbol" w:hint="default"/>
        <w:sz w:val="18"/>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1B6353D3"/>
    <w:multiLevelType w:val="hybridMultilevel"/>
    <w:tmpl w:val="17AA4654"/>
    <w:lvl w:ilvl="0" w:tplc="04090019">
      <w:start w:val="1"/>
      <w:numFmt w:val="lowerLetter"/>
      <w:lvlText w:val="%1."/>
      <w:lvlJc w:val="left"/>
      <w:pPr>
        <w:ind w:left="630" w:hanging="360"/>
      </w:p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3" w15:restartNumberingAfterBreak="0">
    <w:nsid w:val="1ED92C0D"/>
    <w:multiLevelType w:val="hybridMultilevel"/>
    <w:tmpl w:val="AC0832D6"/>
    <w:lvl w:ilvl="0" w:tplc="A6B4F486">
      <w:start w:val="1"/>
      <w:numFmt w:val="decimal"/>
      <w:pStyle w:val="NumberedParagraph"/>
      <w:lvlText w:val="%1."/>
      <w:lvlJc w:val="left"/>
      <w:rPr>
        <w:rFonts w:cs="Times New Roman" w:hint="default"/>
      </w:rPr>
    </w:lvl>
    <w:lvl w:ilvl="1" w:tplc="7DC0C548">
      <w:start w:val="1"/>
      <w:numFmt w:val="lowerLetter"/>
      <w:lvlText w:val="%2."/>
      <w:lvlJc w:val="left"/>
      <w:pPr>
        <w:ind w:left="1440" w:hanging="360"/>
      </w:pPr>
      <w:rPr>
        <w:rFonts w:cs="Times New Roman"/>
      </w:rPr>
    </w:lvl>
    <w:lvl w:ilvl="2" w:tplc="DC66EE82">
      <w:start w:val="1"/>
      <w:numFmt w:val="lowerRoman"/>
      <w:lvlText w:val="%3."/>
      <w:lvlJc w:val="right"/>
      <w:pPr>
        <w:ind w:left="2160" w:hanging="180"/>
      </w:pPr>
      <w:rPr>
        <w:rFonts w:cs="Times New Roman"/>
      </w:rPr>
    </w:lvl>
    <w:lvl w:ilvl="3" w:tplc="937EF386" w:tentative="1">
      <w:start w:val="1"/>
      <w:numFmt w:val="decimal"/>
      <w:lvlText w:val="%4."/>
      <w:lvlJc w:val="left"/>
      <w:pPr>
        <w:ind w:left="2880" w:hanging="360"/>
      </w:pPr>
      <w:rPr>
        <w:rFonts w:cs="Times New Roman"/>
      </w:rPr>
    </w:lvl>
    <w:lvl w:ilvl="4" w:tplc="0B4A75AA" w:tentative="1">
      <w:start w:val="1"/>
      <w:numFmt w:val="lowerLetter"/>
      <w:lvlText w:val="%5."/>
      <w:lvlJc w:val="left"/>
      <w:pPr>
        <w:ind w:left="3600" w:hanging="360"/>
      </w:pPr>
      <w:rPr>
        <w:rFonts w:cs="Times New Roman"/>
      </w:rPr>
    </w:lvl>
    <w:lvl w:ilvl="5" w:tplc="9BEC310A" w:tentative="1">
      <w:start w:val="1"/>
      <w:numFmt w:val="lowerRoman"/>
      <w:lvlText w:val="%6."/>
      <w:lvlJc w:val="right"/>
      <w:pPr>
        <w:ind w:left="4320" w:hanging="180"/>
      </w:pPr>
      <w:rPr>
        <w:rFonts w:cs="Times New Roman"/>
      </w:rPr>
    </w:lvl>
    <w:lvl w:ilvl="6" w:tplc="A4643142" w:tentative="1">
      <w:start w:val="1"/>
      <w:numFmt w:val="decimal"/>
      <w:lvlText w:val="%7."/>
      <w:lvlJc w:val="left"/>
      <w:pPr>
        <w:ind w:left="5040" w:hanging="360"/>
      </w:pPr>
      <w:rPr>
        <w:rFonts w:cs="Times New Roman"/>
      </w:rPr>
    </w:lvl>
    <w:lvl w:ilvl="7" w:tplc="338C0EDA" w:tentative="1">
      <w:start w:val="1"/>
      <w:numFmt w:val="lowerLetter"/>
      <w:lvlText w:val="%8."/>
      <w:lvlJc w:val="left"/>
      <w:pPr>
        <w:ind w:left="5760" w:hanging="360"/>
      </w:pPr>
      <w:rPr>
        <w:rFonts w:cs="Times New Roman"/>
      </w:rPr>
    </w:lvl>
    <w:lvl w:ilvl="8" w:tplc="30245CD0" w:tentative="1">
      <w:start w:val="1"/>
      <w:numFmt w:val="lowerRoman"/>
      <w:lvlText w:val="%9."/>
      <w:lvlJc w:val="right"/>
      <w:pPr>
        <w:ind w:left="6480" w:hanging="180"/>
      </w:pPr>
      <w:rPr>
        <w:rFonts w:cs="Times New Roman"/>
      </w:rPr>
    </w:lvl>
  </w:abstractNum>
  <w:abstractNum w:abstractNumId="14" w15:restartNumberingAfterBreak="0">
    <w:nsid w:val="20495985"/>
    <w:multiLevelType w:val="hybridMultilevel"/>
    <w:tmpl w:val="FB381BD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2D33793"/>
    <w:multiLevelType w:val="hybridMultilevel"/>
    <w:tmpl w:val="D1C8A588"/>
    <w:lvl w:ilvl="0" w:tplc="AD02AA72">
      <w:start w:val="1"/>
      <w:numFmt w:val="decimal"/>
      <w:lvlText w:val="%1."/>
      <w:lvlJc w:val="left"/>
      <w:pPr>
        <w:ind w:left="360" w:hanging="360"/>
      </w:pPr>
      <w:rPr>
        <w:b w:val="0"/>
        <w:i w:val="0"/>
        <w:iCs w:val="0"/>
        <w:color w:val="auto"/>
      </w:rPr>
    </w:lvl>
    <w:lvl w:ilvl="1" w:tplc="010A5D74">
      <w:start w:val="1"/>
      <w:numFmt w:val="decimal"/>
      <w:lvlText w:val="%2)"/>
      <w:lvlJc w:val="left"/>
      <w:pPr>
        <w:ind w:left="1440" w:hanging="360"/>
      </w:pPr>
      <w:rPr>
        <w:rFonts w:asciiTheme="minorHAnsi" w:hAnsiTheme="minorHAnsi" w:cstheme="minorHAnsi" w:hint="default"/>
      </w:rPr>
    </w:lvl>
    <w:lvl w:ilvl="2" w:tplc="B8228CBC">
      <w:start w:val="1"/>
      <w:numFmt w:val="lowerLetter"/>
      <w:lvlText w:val="%3)"/>
      <w:lvlJc w:val="left"/>
      <w:pPr>
        <w:ind w:left="2340" w:hanging="360"/>
      </w:pPr>
      <w:rPr>
        <w:rFonts w:hint="default"/>
      </w:rPr>
    </w:lvl>
    <w:lvl w:ilvl="3" w:tplc="FE70A3C0">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C565C6"/>
    <w:multiLevelType w:val="hybridMultilevel"/>
    <w:tmpl w:val="55CCE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5FC78FB"/>
    <w:multiLevelType w:val="hybridMultilevel"/>
    <w:tmpl w:val="6DAE1606"/>
    <w:lvl w:ilvl="0" w:tplc="0409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29F14106"/>
    <w:multiLevelType w:val="hybridMultilevel"/>
    <w:tmpl w:val="655E2300"/>
    <w:lvl w:ilvl="0" w:tplc="FECA43A0">
      <w:start w:val="1"/>
      <w:numFmt w:val="bullet"/>
      <w:pStyle w:val="Normal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8B06951"/>
    <w:multiLevelType w:val="hybridMultilevel"/>
    <w:tmpl w:val="2E60965E"/>
    <w:lvl w:ilvl="0" w:tplc="FFFFFFFF">
      <w:start w:val="1"/>
      <w:numFmt w:val="decimal"/>
      <w:lvlText w:val="%1."/>
      <w:lvlJc w:val="left"/>
      <w:pPr>
        <w:ind w:left="450" w:hanging="360"/>
      </w:pPr>
      <w:rPr>
        <w:b w:val="0"/>
        <w:i w:val="0"/>
        <w:iCs w:val="0"/>
        <w:color w:val="auto"/>
        <w:sz w:val="20"/>
        <w:szCs w:val="20"/>
      </w:rPr>
    </w:lvl>
    <w:lvl w:ilvl="1" w:tplc="A5F883E2">
      <w:start w:val="1"/>
      <w:numFmt w:val="lowerLetter"/>
      <w:lvlText w:val="%2)"/>
      <w:lvlJc w:val="left"/>
      <w:pPr>
        <w:ind w:left="1440" w:hanging="360"/>
      </w:pPr>
      <w:rPr>
        <w:rFonts w:hint="default"/>
        <w:b w:val="0"/>
        <w:bCs w:val="0"/>
      </w:rPr>
    </w:lvl>
    <w:lvl w:ilvl="2" w:tplc="B8228CBC">
      <w:start w:val="1"/>
      <w:numFmt w:val="lowerLetter"/>
      <w:lvlText w:val="%3)"/>
      <w:lvlJc w:val="left"/>
      <w:pPr>
        <w:ind w:left="2340" w:hanging="360"/>
      </w:pPr>
      <w:rPr>
        <w:rFonts w:hint="default"/>
      </w:rPr>
    </w:lvl>
    <w:lvl w:ilvl="3" w:tplc="FE70A3C0">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2C5EC39"/>
    <w:multiLevelType w:val="hybridMultilevel"/>
    <w:tmpl w:val="387080CC"/>
    <w:lvl w:ilvl="0" w:tplc="9F7CD8C4">
      <w:start w:val="1"/>
      <w:numFmt w:val="bullet"/>
      <w:lvlText w:val=""/>
      <w:lvlJc w:val="left"/>
      <w:pPr>
        <w:ind w:left="720" w:hanging="360"/>
      </w:pPr>
      <w:rPr>
        <w:rFonts w:ascii="Symbol" w:hAnsi="Symbol" w:hint="default"/>
      </w:rPr>
    </w:lvl>
    <w:lvl w:ilvl="1" w:tplc="7DBC0CCA">
      <w:start w:val="1"/>
      <w:numFmt w:val="bullet"/>
      <w:lvlText w:val="o"/>
      <w:lvlJc w:val="left"/>
      <w:pPr>
        <w:ind w:left="1440" w:hanging="360"/>
      </w:pPr>
      <w:rPr>
        <w:rFonts w:ascii="Courier New" w:hAnsi="Courier New" w:hint="default"/>
      </w:rPr>
    </w:lvl>
    <w:lvl w:ilvl="2" w:tplc="0E96DD06">
      <w:start w:val="1"/>
      <w:numFmt w:val="bullet"/>
      <w:lvlText w:val=""/>
      <w:lvlJc w:val="left"/>
      <w:pPr>
        <w:ind w:left="2160" w:hanging="360"/>
      </w:pPr>
      <w:rPr>
        <w:rFonts w:ascii="Wingdings" w:hAnsi="Wingdings" w:hint="default"/>
      </w:rPr>
    </w:lvl>
    <w:lvl w:ilvl="3" w:tplc="EE76C9C4">
      <w:start w:val="1"/>
      <w:numFmt w:val="bullet"/>
      <w:lvlText w:val=""/>
      <w:lvlJc w:val="left"/>
      <w:pPr>
        <w:ind w:left="2880" w:hanging="360"/>
      </w:pPr>
      <w:rPr>
        <w:rFonts w:ascii="Symbol" w:hAnsi="Symbol" w:hint="default"/>
      </w:rPr>
    </w:lvl>
    <w:lvl w:ilvl="4" w:tplc="F9B41002">
      <w:start w:val="1"/>
      <w:numFmt w:val="bullet"/>
      <w:lvlText w:val="o"/>
      <w:lvlJc w:val="left"/>
      <w:pPr>
        <w:ind w:left="3600" w:hanging="360"/>
      </w:pPr>
      <w:rPr>
        <w:rFonts w:ascii="Courier New" w:hAnsi="Courier New" w:hint="default"/>
      </w:rPr>
    </w:lvl>
    <w:lvl w:ilvl="5" w:tplc="7E34F62C">
      <w:start w:val="1"/>
      <w:numFmt w:val="bullet"/>
      <w:lvlText w:val=""/>
      <w:lvlJc w:val="left"/>
      <w:pPr>
        <w:ind w:left="4320" w:hanging="360"/>
      </w:pPr>
      <w:rPr>
        <w:rFonts w:ascii="Wingdings" w:hAnsi="Wingdings" w:hint="default"/>
      </w:rPr>
    </w:lvl>
    <w:lvl w:ilvl="6" w:tplc="B820173E">
      <w:start w:val="1"/>
      <w:numFmt w:val="bullet"/>
      <w:lvlText w:val=""/>
      <w:lvlJc w:val="left"/>
      <w:pPr>
        <w:ind w:left="5040" w:hanging="360"/>
      </w:pPr>
      <w:rPr>
        <w:rFonts w:ascii="Symbol" w:hAnsi="Symbol" w:hint="default"/>
      </w:rPr>
    </w:lvl>
    <w:lvl w:ilvl="7" w:tplc="030072B0">
      <w:start w:val="1"/>
      <w:numFmt w:val="bullet"/>
      <w:lvlText w:val="o"/>
      <w:lvlJc w:val="left"/>
      <w:pPr>
        <w:ind w:left="5760" w:hanging="360"/>
      </w:pPr>
      <w:rPr>
        <w:rFonts w:ascii="Courier New" w:hAnsi="Courier New" w:hint="default"/>
      </w:rPr>
    </w:lvl>
    <w:lvl w:ilvl="8" w:tplc="300EFA32">
      <w:start w:val="1"/>
      <w:numFmt w:val="bullet"/>
      <w:lvlText w:val=""/>
      <w:lvlJc w:val="left"/>
      <w:pPr>
        <w:ind w:left="6480" w:hanging="360"/>
      </w:pPr>
      <w:rPr>
        <w:rFonts w:ascii="Wingdings" w:hAnsi="Wingdings" w:hint="default"/>
      </w:rPr>
    </w:lvl>
  </w:abstractNum>
  <w:abstractNum w:abstractNumId="21" w15:restartNumberingAfterBreak="0">
    <w:nsid w:val="42E87E9B"/>
    <w:multiLevelType w:val="hybridMultilevel"/>
    <w:tmpl w:val="8FB8267E"/>
    <w:lvl w:ilvl="0" w:tplc="61C0599E">
      <w:start w:val="1"/>
      <w:numFmt w:val="decimal"/>
      <w:pStyle w:val="Normal1"/>
      <w:lvlText w:val="%1."/>
      <w:lvlJc w:val="left"/>
      <w:pPr>
        <w:ind w:left="36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3513565"/>
    <w:multiLevelType w:val="hybridMultilevel"/>
    <w:tmpl w:val="34482306"/>
    <w:lvl w:ilvl="0" w:tplc="AD02AA72">
      <w:start w:val="1"/>
      <w:numFmt w:val="decimal"/>
      <w:lvlText w:val="%1."/>
      <w:lvlJc w:val="left"/>
      <w:pPr>
        <w:ind w:left="360" w:hanging="360"/>
      </w:pPr>
      <w:rPr>
        <w:b w:val="0"/>
        <w:i w:val="0"/>
        <w:iCs w:val="0"/>
        <w:color w:val="auto"/>
      </w:rPr>
    </w:lvl>
    <w:lvl w:ilvl="1" w:tplc="E8582A2A">
      <w:start w:val="1"/>
      <w:numFmt w:val="bullet"/>
      <w:lvlText w:val=""/>
      <w:lvlJc w:val="left"/>
      <w:pPr>
        <w:ind w:left="1440" w:hanging="360"/>
      </w:pPr>
      <w:rPr>
        <w:rFonts w:ascii="Wingdings" w:hAnsi="Wingdings" w:hint="default"/>
        <w:b w:val="0"/>
        <w:bCs w:val="0"/>
      </w:rPr>
    </w:lvl>
    <w:lvl w:ilvl="2" w:tplc="B8228CBC">
      <w:start w:val="1"/>
      <w:numFmt w:val="lowerLetter"/>
      <w:lvlText w:val="%3)"/>
      <w:lvlJc w:val="left"/>
      <w:pPr>
        <w:ind w:left="2340" w:hanging="360"/>
      </w:pPr>
      <w:rPr>
        <w:rFonts w:hint="default"/>
      </w:rPr>
    </w:lvl>
    <w:lvl w:ilvl="3" w:tplc="FE70A3C0">
      <w:start w:val="1"/>
      <w:numFmt w:val="lowerLetter"/>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7C213D"/>
    <w:multiLevelType w:val="hybridMultilevel"/>
    <w:tmpl w:val="C4A8F9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8B33827"/>
    <w:multiLevelType w:val="hybridMultilevel"/>
    <w:tmpl w:val="6E16A502"/>
    <w:lvl w:ilvl="0" w:tplc="E55EDE0E">
      <w:start w:val="1"/>
      <w:numFmt w:val="decimal"/>
      <w:pStyle w:val="SESPbodynumbered"/>
      <w:lvlText w:val="%1."/>
      <w:lvlJc w:val="left"/>
      <w:pPr>
        <w:ind w:left="720" w:hanging="360"/>
      </w:pPr>
      <w:rPr>
        <w:rFonts w:hint="default"/>
      </w:rPr>
    </w:lvl>
    <w:lvl w:ilvl="1" w:tplc="0409001B">
      <w:start w:val="1"/>
      <w:numFmt w:val="lowerRoman"/>
      <w:lvlText w:val="%2."/>
      <w:lvlJc w:val="right"/>
      <w:pPr>
        <w:ind w:left="1440" w:hanging="360"/>
      </w:pPr>
    </w:lvl>
    <w:lvl w:ilvl="2" w:tplc="0409001B">
      <w:start w:val="1"/>
      <w:numFmt w:val="lowerRoman"/>
      <w:lvlText w:val="%3."/>
      <w:lvlJc w:val="right"/>
      <w:pPr>
        <w:ind w:left="2160" w:hanging="180"/>
      </w:pPr>
    </w:lvl>
    <w:lvl w:ilvl="3" w:tplc="AE5EC702">
      <w:numFmt w:val="bullet"/>
      <w:lvlText w:val="-"/>
      <w:lvlJc w:val="left"/>
      <w:pPr>
        <w:ind w:left="2880" w:hanging="360"/>
      </w:pPr>
      <w:rPr>
        <w:rFonts w:ascii="Arial" w:eastAsia="MS Mincho" w:hAnsi="Arial" w:cs="Times New Roman"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2E6528"/>
    <w:multiLevelType w:val="hybridMultilevel"/>
    <w:tmpl w:val="4DA87E1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BAF4A31E">
      <w:start w:val="10"/>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775764A"/>
    <w:multiLevelType w:val="hybridMultilevel"/>
    <w:tmpl w:val="B516B626"/>
    <w:lvl w:ilvl="0" w:tplc="4E44F056">
      <w:start w:val="1"/>
      <w:numFmt w:val="lowerLetter"/>
      <w:lvlText w:val="%1."/>
      <w:lvlJc w:val="left"/>
      <w:pPr>
        <w:ind w:left="720" w:hanging="360"/>
      </w:pPr>
      <w:rPr>
        <w:rFonts w:asciiTheme="minorHAnsi" w:hAnsiTheme="minorHAnsi" w:cstheme="minorHAnsi" w:hint="default"/>
        <w:sz w:val="20"/>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7D2101"/>
    <w:multiLevelType w:val="hybridMultilevel"/>
    <w:tmpl w:val="98AA2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B46A22"/>
    <w:multiLevelType w:val="hybridMultilevel"/>
    <w:tmpl w:val="BE1E16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CC41A4E"/>
    <w:multiLevelType w:val="hybridMultilevel"/>
    <w:tmpl w:val="D660D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6C1D05"/>
    <w:multiLevelType w:val="hybridMultilevel"/>
    <w:tmpl w:val="09625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27863AC"/>
    <w:multiLevelType w:val="multilevel"/>
    <w:tmpl w:val="F2D2082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648B6D71"/>
    <w:multiLevelType w:val="hybridMultilevel"/>
    <w:tmpl w:val="B8FE7C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8C7EA8"/>
    <w:multiLevelType w:val="hybridMultilevel"/>
    <w:tmpl w:val="B7C48B60"/>
    <w:lvl w:ilvl="0" w:tplc="25160F0E">
      <w:start w:val="1"/>
      <w:numFmt w:val="bullet"/>
      <w:pStyle w:val="Bullets"/>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B7C4192"/>
    <w:multiLevelType w:val="hybridMultilevel"/>
    <w:tmpl w:val="5CF21B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C0C468D"/>
    <w:multiLevelType w:val="hybridMultilevel"/>
    <w:tmpl w:val="CAB4EE0C"/>
    <w:lvl w:ilvl="0" w:tplc="04090001">
      <w:start w:val="1"/>
      <w:numFmt w:val="bullet"/>
      <w:lvlText w:val=""/>
      <w:lvlJc w:val="left"/>
      <w:pPr>
        <w:ind w:left="360" w:hanging="360"/>
      </w:pPr>
      <w:rPr>
        <w:rFonts w:ascii="Symbol" w:hAnsi="Symbol" w:hint="default"/>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6" w15:restartNumberingAfterBreak="0">
    <w:nsid w:val="6DFB1046"/>
    <w:multiLevelType w:val="hybridMultilevel"/>
    <w:tmpl w:val="10E0C2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5047A81"/>
    <w:multiLevelType w:val="hybridMultilevel"/>
    <w:tmpl w:val="FC1A01C8"/>
    <w:lvl w:ilvl="0" w:tplc="04090001">
      <w:start w:val="1"/>
      <w:numFmt w:val="bullet"/>
      <w:lvlText w:val=""/>
      <w:lvlJc w:val="left"/>
      <w:pPr>
        <w:ind w:left="907" w:hanging="360"/>
      </w:pPr>
      <w:rPr>
        <w:rFonts w:ascii="Symbol" w:hAnsi="Symbol" w:hint="default"/>
      </w:rPr>
    </w:lvl>
    <w:lvl w:ilvl="1" w:tplc="04090003" w:tentative="1">
      <w:start w:val="1"/>
      <w:numFmt w:val="bullet"/>
      <w:lvlText w:val="o"/>
      <w:lvlJc w:val="left"/>
      <w:pPr>
        <w:ind w:left="1627" w:hanging="360"/>
      </w:pPr>
      <w:rPr>
        <w:rFonts w:ascii="Courier New" w:hAnsi="Courier New" w:cs="Courier New" w:hint="default"/>
      </w:rPr>
    </w:lvl>
    <w:lvl w:ilvl="2" w:tplc="04090005" w:tentative="1">
      <w:start w:val="1"/>
      <w:numFmt w:val="bullet"/>
      <w:lvlText w:val=""/>
      <w:lvlJc w:val="left"/>
      <w:pPr>
        <w:ind w:left="2347" w:hanging="360"/>
      </w:pPr>
      <w:rPr>
        <w:rFonts w:ascii="Wingdings" w:hAnsi="Wingdings" w:hint="default"/>
      </w:rPr>
    </w:lvl>
    <w:lvl w:ilvl="3" w:tplc="04090001" w:tentative="1">
      <w:start w:val="1"/>
      <w:numFmt w:val="bullet"/>
      <w:lvlText w:val=""/>
      <w:lvlJc w:val="left"/>
      <w:pPr>
        <w:ind w:left="3067" w:hanging="360"/>
      </w:pPr>
      <w:rPr>
        <w:rFonts w:ascii="Symbol" w:hAnsi="Symbol" w:hint="default"/>
      </w:rPr>
    </w:lvl>
    <w:lvl w:ilvl="4" w:tplc="04090003" w:tentative="1">
      <w:start w:val="1"/>
      <w:numFmt w:val="bullet"/>
      <w:lvlText w:val="o"/>
      <w:lvlJc w:val="left"/>
      <w:pPr>
        <w:ind w:left="3787" w:hanging="360"/>
      </w:pPr>
      <w:rPr>
        <w:rFonts w:ascii="Courier New" w:hAnsi="Courier New" w:cs="Courier New" w:hint="default"/>
      </w:rPr>
    </w:lvl>
    <w:lvl w:ilvl="5" w:tplc="04090005" w:tentative="1">
      <w:start w:val="1"/>
      <w:numFmt w:val="bullet"/>
      <w:lvlText w:val=""/>
      <w:lvlJc w:val="left"/>
      <w:pPr>
        <w:ind w:left="4507" w:hanging="360"/>
      </w:pPr>
      <w:rPr>
        <w:rFonts w:ascii="Wingdings" w:hAnsi="Wingdings" w:hint="default"/>
      </w:rPr>
    </w:lvl>
    <w:lvl w:ilvl="6" w:tplc="04090001" w:tentative="1">
      <w:start w:val="1"/>
      <w:numFmt w:val="bullet"/>
      <w:lvlText w:val=""/>
      <w:lvlJc w:val="left"/>
      <w:pPr>
        <w:ind w:left="5227" w:hanging="360"/>
      </w:pPr>
      <w:rPr>
        <w:rFonts w:ascii="Symbol" w:hAnsi="Symbol" w:hint="default"/>
      </w:rPr>
    </w:lvl>
    <w:lvl w:ilvl="7" w:tplc="04090003" w:tentative="1">
      <w:start w:val="1"/>
      <w:numFmt w:val="bullet"/>
      <w:lvlText w:val="o"/>
      <w:lvlJc w:val="left"/>
      <w:pPr>
        <w:ind w:left="5947" w:hanging="360"/>
      </w:pPr>
      <w:rPr>
        <w:rFonts w:ascii="Courier New" w:hAnsi="Courier New" w:cs="Courier New" w:hint="default"/>
      </w:rPr>
    </w:lvl>
    <w:lvl w:ilvl="8" w:tplc="04090005" w:tentative="1">
      <w:start w:val="1"/>
      <w:numFmt w:val="bullet"/>
      <w:lvlText w:val=""/>
      <w:lvlJc w:val="left"/>
      <w:pPr>
        <w:ind w:left="6667" w:hanging="360"/>
      </w:pPr>
      <w:rPr>
        <w:rFonts w:ascii="Wingdings" w:hAnsi="Wingdings" w:hint="default"/>
      </w:rPr>
    </w:lvl>
  </w:abstractNum>
  <w:abstractNum w:abstractNumId="38" w15:restartNumberingAfterBreak="0">
    <w:nsid w:val="790C1560"/>
    <w:multiLevelType w:val="hybridMultilevel"/>
    <w:tmpl w:val="44561B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C977912"/>
    <w:multiLevelType w:val="hybridMultilevel"/>
    <w:tmpl w:val="762272E6"/>
    <w:lvl w:ilvl="0" w:tplc="0409000F">
      <w:start w:val="1"/>
      <w:numFmt w:val="decimal"/>
      <w:pStyle w:val="BulletText1"/>
      <w:lvlText w:val="%1."/>
      <w:lvlJc w:val="left"/>
      <w:pPr>
        <w:tabs>
          <w:tab w:val="num" w:pos="720"/>
        </w:tabs>
        <w:ind w:left="720" w:hanging="360"/>
      </w:pPr>
      <w:rPr>
        <w:rFonts w:hint="default"/>
      </w:rPr>
    </w:lvl>
    <w:lvl w:ilvl="1" w:tplc="516023DE">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D2F475B"/>
    <w:multiLevelType w:val="hybridMultilevel"/>
    <w:tmpl w:val="49908278"/>
    <w:lvl w:ilvl="0" w:tplc="13BA3746">
      <w:start w:val="2"/>
      <w:numFmt w:val="lowerLetter"/>
      <w:lvlText w:val="%1)"/>
      <w:lvlJc w:val="left"/>
      <w:pPr>
        <w:ind w:left="144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5871293">
    <w:abstractNumId w:val="11"/>
  </w:num>
  <w:num w:numId="2" w16cid:durableId="898203543">
    <w:abstractNumId w:val="3"/>
  </w:num>
  <w:num w:numId="3" w16cid:durableId="1230727220">
    <w:abstractNumId w:val="33"/>
  </w:num>
  <w:num w:numId="4" w16cid:durableId="1797521498">
    <w:abstractNumId w:val="18"/>
  </w:num>
  <w:num w:numId="5" w16cid:durableId="1202399405">
    <w:abstractNumId w:val="8"/>
  </w:num>
  <w:num w:numId="6" w16cid:durableId="1105466463">
    <w:abstractNumId w:val="21"/>
  </w:num>
  <w:num w:numId="7" w16cid:durableId="1125388950">
    <w:abstractNumId w:val="5"/>
  </w:num>
  <w:num w:numId="8" w16cid:durableId="335499911">
    <w:abstractNumId w:val="19"/>
  </w:num>
  <w:num w:numId="9" w16cid:durableId="709958162">
    <w:abstractNumId w:val="6"/>
  </w:num>
  <w:num w:numId="10" w16cid:durableId="1321470739">
    <w:abstractNumId w:val="1"/>
  </w:num>
  <w:num w:numId="11" w16cid:durableId="663553092">
    <w:abstractNumId w:val="4"/>
  </w:num>
  <w:num w:numId="12" w16cid:durableId="436753829">
    <w:abstractNumId w:val="10"/>
  </w:num>
  <w:num w:numId="13" w16cid:durableId="1357343830">
    <w:abstractNumId w:val="7"/>
  </w:num>
  <w:num w:numId="14" w16cid:durableId="1370109232">
    <w:abstractNumId w:val="15"/>
  </w:num>
  <w:num w:numId="15" w16cid:durableId="1066034325">
    <w:abstractNumId w:val="22"/>
  </w:num>
  <w:num w:numId="16" w16cid:durableId="2127383591">
    <w:abstractNumId w:val="14"/>
  </w:num>
  <w:num w:numId="17" w16cid:durableId="969821363">
    <w:abstractNumId w:val="40"/>
  </w:num>
  <w:num w:numId="18" w16cid:durableId="1915505864">
    <w:abstractNumId w:val="38"/>
  </w:num>
  <w:num w:numId="19" w16cid:durableId="1088114352">
    <w:abstractNumId w:val="13"/>
  </w:num>
  <w:num w:numId="20" w16cid:durableId="910962139">
    <w:abstractNumId w:val="24"/>
  </w:num>
  <w:num w:numId="21" w16cid:durableId="935947301">
    <w:abstractNumId w:val="37"/>
  </w:num>
  <w:num w:numId="22" w16cid:durableId="1605192264">
    <w:abstractNumId w:val="23"/>
  </w:num>
  <w:num w:numId="23" w16cid:durableId="1958220671">
    <w:abstractNumId w:val="20"/>
  </w:num>
  <w:num w:numId="24" w16cid:durableId="446856639">
    <w:abstractNumId w:val="35"/>
  </w:num>
  <w:num w:numId="25" w16cid:durableId="506335149">
    <w:abstractNumId w:val="27"/>
  </w:num>
  <w:num w:numId="26" w16cid:durableId="2138986728">
    <w:abstractNumId w:val="25"/>
  </w:num>
  <w:num w:numId="27" w16cid:durableId="1210796820">
    <w:abstractNumId w:val="39"/>
  </w:num>
  <w:num w:numId="28" w16cid:durableId="1762143595">
    <w:abstractNumId w:val="16"/>
  </w:num>
  <w:num w:numId="29" w16cid:durableId="2141141393">
    <w:abstractNumId w:val="17"/>
  </w:num>
  <w:num w:numId="30" w16cid:durableId="194966007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324672499">
    <w:abstractNumId w:val="32"/>
  </w:num>
  <w:num w:numId="32" w16cid:durableId="1739546976">
    <w:abstractNumId w:val="30"/>
  </w:num>
  <w:num w:numId="33" w16cid:durableId="961300685">
    <w:abstractNumId w:val="26"/>
  </w:num>
  <w:num w:numId="34" w16cid:durableId="1194343056">
    <w:abstractNumId w:val="36"/>
  </w:num>
  <w:num w:numId="35" w16cid:durableId="545794047">
    <w:abstractNumId w:val="12"/>
  </w:num>
  <w:num w:numId="36" w16cid:durableId="1247418499">
    <w:abstractNumId w:val="0"/>
  </w:num>
  <w:num w:numId="37" w16cid:durableId="113699059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492985897">
    <w:abstractNumId w:val="28"/>
  </w:num>
  <w:num w:numId="39" w16cid:durableId="1451557616">
    <w:abstractNumId w:val="29"/>
  </w:num>
  <w:num w:numId="40" w16cid:durableId="1779325375">
    <w:abstractNumId w:val="9"/>
  </w:num>
  <w:num w:numId="41" w16cid:durableId="1235433801">
    <w:abstractNumId w:val="34"/>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0"/>
  <w:defaultTabStop w:val="720"/>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K0MLQ0MzCyNDQ2tjBS0lEKTi0uzszPAykwrgUA2TQpkiwAAAA="/>
  </w:docVars>
  <w:rsids>
    <w:rsidRoot w:val="00991FF7"/>
    <w:rsid w:val="000000D1"/>
    <w:rsid w:val="0000010A"/>
    <w:rsid w:val="00000CA8"/>
    <w:rsid w:val="00001151"/>
    <w:rsid w:val="000012AE"/>
    <w:rsid w:val="000013B9"/>
    <w:rsid w:val="00001D86"/>
    <w:rsid w:val="00001E8D"/>
    <w:rsid w:val="00001F7B"/>
    <w:rsid w:val="00001F81"/>
    <w:rsid w:val="000021D4"/>
    <w:rsid w:val="000025B8"/>
    <w:rsid w:val="0000278F"/>
    <w:rsid w:val="00002906"/>
    <w:rsid w:val="00002A5F"/>
    <w:rsid w:val="00002CC1"/>
    <w:rsid w:val="00002CCF"/>
    <w:rsid w:val="00002CE3"/>
    <w:rsid w:val="00002FE5"/>
    <w:rsid w:val="000033A5"/>
    <w:rsid w:val="00003B84"/>
    <w:rsid w:val="00003C43"/>
    <w:rsid w:val="00003C72"/>
    <w:rsid w:val="00003F96"/>
    <w:rsid w:val="00004042"/>
    <w:rsid w:val="00004157"/>
    <w:rsid w:val="00004536"/>
    <w:rsid w:val="00004549"/>
    <w:rsid w:val="00004A84"/>
    <w:rsid w:val="00004F03"/>
    <w:rsid w:val="00005125"/>
    <w:rsid w:val="00005456"/>
    <w:rsid w:val="0000570B"/>
    <w:rsid w:val="000057AA"/>
    <w:rsid w:val="00005845"/>
    <w:rsid w:val="0000586A"/>
    <w:rsid w:val="00005D48"/>
    <w:rsid w:val="00006498"/>
    <w:rsid w:val="0000683B"/>
    <w:rsid w:val="00006911"/>
    <w:rsid w:val="00006D7C"/>
    <w:rsid w:val="0000734F"/>
    <w:rsid w:val="000075A3"/>
    <w:rsid w:val="000077F2"/>
    <w:rsid w:val="00007B01"/>
    <w:rsid w:val="000101B0"/>
    <w:rsid w:val="000101E6"/>
    <w:rsid w:val="000103E0"/>
    <w:rsid w:val="0001054B"/>
    <w:rsid w:val="00010553"/>
    <w:rsid w:val="000107D3"/>
    <w:rsid w:val="0001093E"/>
    <w:rsid w:val="00010BB9"/>
    <w:rsid w:val="00010BF7"/>
    <w:rsid w:val="00010C64"/>
    <w:rsid w:val="00010E68"/>
    <w:rsid w:val="00011183"/>
    <w:rsid w:val="00011268"/>
    <w:rsid w:val="0001134C"/>
    <w:rsid w:val="0001168F"/>
    <w:rsid w:val="00011819"/>
    <w:rsid w:val="000120F9"/>
    <w:rsid w:val="000122EA"/>
    <w:rsid w:val="000125B2"/>
    <w:rsid w:val="00012692"/>
    <w:rsid w:val="00012D5E"/>
    <w:rsid w:val="00012E2D"/>
    <w:rsid w:val="000131D9"/>
    <w:rsid w:val="00013523"/>
    <w:rsid w:val="000139BE"/>
    <w:rsid w:val="00013ADE"/>
    <w:rsid w:val="00013F51"/>
    <w:rsid w:val="0001401E"/>
    <w:rsid w:val="000154C3"/>
    <w:rsid w:val="00015653"/>
    <w:rsid w:val="00015860"/>
    <w:rsid w:val="000158B3"/>
    <w:rsid w:val="00015B6A"/>
    <w:rsid w:val="00015D7A"/>
    <w:rsid w:val="00015E4B"/>
    <w:rsid w:val="00016231"/>
    <w:rsid w:val="00016649"/>
    <w:rsid w:val="00016765"/>
    <w:rsid w:val="00017411"/>
    <w:rsid w:val="000177F6"/>
    <w:rsid w:val="00017B23"/>
    <w:rsid w:val="00017B82"/>
    <w:rsid w:val="00017BFE"/>
    <w:rsid w:val="00017D90"/>
    <w:rsid w:val="000201E6"/>
    <w:rsid w:val="0002027D"/>
    <w:rsid w:val="00020544"/>
    <w:rsid w:val="000205AF"/>
    <w:rsid w:val="00020AA0"/>
    <w:rsid w:val="00021004"/>
    <w:rsid w:val="00021238"/>
    <w:rsid w:val="000217F5"/>
    <w:rsid w:val="00021B90"/>
    <w:rsid w:val="00022401"/>
    <w:rsid w:val="000224C8"/>
    <w:rsid w:val="0002252F"/>
    <w:rsid w:val="000225BF"/>
    <w:rsid w:val="00022AB0"/>
    <w:rsid w:val="00022DE9"/>
    <w:rsid w:val="000230A3"/>
    <w:rsid w:val="00023435"/>
    <w:rsid w:val="000234A8"/>
    <w:rsid w:val="000237BF"/>
    <w:rsid w:val="0002382F"/>
    <w:rsid w:val="00023A76"/>
    <w:rsid w:val="00023B58"/>
    <w:rsid w:val="00023C29"/>
    <w:rsid w:val="00024088"/>
    <w:rsid w:val="00024142"/>
    <w:rsid w:val="00024495"/>
    <w:rsid w:val="0002489D"/>
    <w:rsid w:val="00025012"/>
    <w:rsid w:val="00025085"/>
    <w:rsid w:val="0002511A"/>
    <w:rsid w:val="0002530B"/>
    <w:rsid w:val="00025B2D"/>
    <w:rsid w:val="00025B2E"/>
    <w:rsid w:val="00025C9A"/>
    <w:rsid w:val="00025E57"/>
    <w:rsid w:val="00025F76"/>
    <w:rsid w:val="000260FF"/>
    <w:rsid w:val="00026455"/>
    <w:rsid w:val="0002661F"/>
    <w:rsid w:val="000266D2"/>
    <w:rsid w:val="00027278"/>
    <w:rsid w:val="0002783E"/>
    <w:rsid w:val="00027A6B"/>
    <w:rsid w:val="00027F7D"/>
    <w:rsid w:val="00030007"/>
    <w:rsid w:val="0003056B"/>
    <w:rsid w:val="000306A2"/>
    <w:rsid w:val="0003082F"/>
    <w:rsid w:val="00030CE1"/>
    <w:rsid w:val="00030FD5"/>
    <w:rsid w:val="0003122B"/>
    <w:rsid w:val="00031318"/>
    <w:rsid w:val="000316CD"/>
    <w:rsid w:val="0003177E"/>
    <w:rsid w:val="00031E16"/>
    <w:rsid w:val="00031E84"/>
    <w:rsid w:val="0003214C"/>
    <w:rsid w:val="00032241"/>
    <w:rsid w:val="00032588"/>
    <w:rsid w:val="00032E37"/>
    <w:rsid w:val="0003367E"/>
    <w:rsid w:val="00033869"/>
    <w:rsid w:val="00033BE2"/>
    <w:rsid w:val="00033EB5"/>
    <w:rsid w:val="00033F65"/>
    <w:rsid w:val="000341EA"/>
    <w:rsid w:val="00034508"/>
    <w:rsid w:val="0003464B"/>
    <w:rsid w:val="000348B8"/>
    <w:rsid w:val="000348DE"/>
    <w:rsid w:val="00034B29"/>
    <w:rsid w:val="00034F5C"/>
    <w:rsid w:val="000352F7"/>
    <w:rsid w:val="0003532B"/>
    <w:rsid w:val="0003538C"/>
    <w:rsid w:val="00035395"/>
    <w:rsid w:val="0003544E"/>
    <w:rsid w:val="000356AA"/>
    <w:rsid w:val="000357EB"/>
    <w:rsid w:val="00035830"/>
    <w:rsid w:val="00035994"/>
    <w:rsid w:val="00035AB7"/>
    <w:rsid w:val="00035D96"/>
    <w:rsid w:val="00035F70"/>
    <w:rsid w:val="0003608F"/>
    <w:rsid w:val="00036330"/>
    <w:rsid w:val="00036379"/>
    <w:rsid w:val="0003646E"/>
    <w:rsid w:val="00036804"/>
    <w:rsid w:val="00036A5C"/>
    <w:rsid w:val="00036AF4"/>
    <w:rsid w:val="00036BBF"/>
    <w:rsid w:val="00036F60"/>
    <w:rsid w:val="0003763F"/>
    <w:rsid w:val="000377AB"/>
    <w:rsid w:val="0003782E"/>
    <w:rsid w:val="00037A3E"/>
    <w:rsid w:val="00037E21"/>
    <w:rsid w:val="00040511"/>
    <w:rsid w:val="0004079A"/>
    <w:rsid w:val="000408F2"/>
    <w:rsid w:val="00040B34"/>
    <w:rsid w:val="00040D01"/>
    <w:rsid w:val="00041029"/>
    <w:rsid w:val="000417F3"/>
    <w:rsid w:val="00041B17"/>
    <w:rsid w:val="00041B95"/>
    <w:rsid w:val="00041E0C"/>
    <w:rsid w:val="00041E6A"/>
    <w:rsid w:val="00041FE0"/>
    <w:rsid w:val="00042327"/>
    <w:rsid w:val="00042642"/>
    <w:rsid w:val="00042A68"/>
    <w:rsid w:val="00042BB9"/>
    <w:rsid w:val="00042DB0"/>
    <w:rsid w:val="00042F17"/>
    <w:rsid w:val="0004318D"/>
    <w:rsid w:val="00043249"/>
    <w:rsid w:val="00043278"/>
    <w:rsid w:val="0004344E"/>
    <w:rsid w:val="00043473"/>
    <w:rsid w:val="000438C6"/>
    <w:rsid w:val="00043A4B"/>
    <w:rsid w:val="00043AC2"/>
    <w:rsid w:val="00043EBA"/>
    <w:rsid w:val="00044177"/>
    <w:rsid w:val="00044298"/>
    <w:rsid w:val="000442C4"/>
    <w:rsid w:val="0004450C"/>
    <w:rsid w:val="000445AD"/>
    <w:rsid w:val="0004460F"/>
    <w:rsid w:val="00044654"/>
    <w:rsid w:val="00044655"/>
    <w:rsid w:val="00044B8D"/>
    <w:rsid w:val="00044BD9"/>
    <w:rsid w:val="00044FDD"/>
    <w:rsid w:val="00045068"/>
    <w:rsid w:val="000459A0"/>
    <w:rsid w:val="00045A76"/>
    <w:rsid w:val="00045CF6"/>
    <w:rsid w:val="000462DC"/>
    <w:rsid w:val="000463E9"/>
    <w:rsid w:val="000464F1"/>
    <w:rsid w:val="00046804"/>
    <w:rsid w:val="00046BFB"/>
    <w:rsid w:val="00046C38"/>
    <w:rsid w:val="00046CF8"/>
    <w:rsid w:val="00047667"/>
    <w:rsid w:val="0004775E"/>
    <w:rsid w:val="000477B7"/>
    <w:rsid w:val="00047973"/>
    <w:rsid w:val="00050021"/>
    <w:rsid w:val="00050277"/>
    <w:rsid w:val="000502F1"/>
    <w:rsid w:val="00050658"/>
    <w:rsid w:val="000506DB"/>
    <w:rsid w:val="000509F3"/>
    <w:rsid w:val="00050CD7"/>
    <w:rsid w:val="00050D84"/>
    <w:rsid w:val="0005135E"/>
    <w:rsid w:val="00051555"/>
    <w:rsid w:val="0005159D"/>
    <w:rsid w:val="00051A25"/>
    <w:rsid w:val="00051A7A"/>
    <w:rsid w:val="0005232E"/>
    <w:rsid w:val="00052671"/>
    <w:rsid w:val="00052D0C"/>
    <w:rsid w:val="00052EF5"/>
    <w:rsid w:val="000530F3"/>
    <w:rsid w:val="000530FF"/>
    <w:rsid w:val="00053494"/>
    <w:rsid w:val="0005351F"/>
    <w:rsid w:val="0005352C"/>
    <w:rsid w:val="0005378F"/>
    <w:rsid w:val="00053B63"/>
    <w:rsid w:val="000540EE"/>
    <w:rsid w:val="00054183"/>
    <w:rsid w:val="0005435C"/>
    <w:rsid w:val="000546F4"/>
    <w:rsid w:val="00054895"/>
    <w:rsid w:val="000548D9"/>
    <w:rsid w:val="000549A0"/>
    <w:rsid w:val="00054B0C"/>
    <w:rsid w:val="00054EB2"/>
    <w:rsid w:val="00054FAA"/>
    <w:rsid w:val="0005530F"/>
    <w:rsid w:val="00055372"/>
    <w:rsid w:val="000556B9"/>
    <w:rsid w:val="000556CB"/>
    <w:rsid w:val="0005571B"/>
    <w:rsid w:val="000557A6"/>
    <w:rsid w:val="00055891"/>
    <w:rsid w:val="00055972"/>
    <w:rsid w:val="00055AC7"/>
    <w:rsid w:val="00055F28"/>
    <w:rsid w:val="00056113"/>
    <w:rsid w:val="000561E4"/>
    <w:rsid w:val="0005631B"/>
    <w:rsid w:val="00056567"/>
    <w:rsid w:val="000565AB"/>
    <w:rsid w:val="00056B16"/>
    <w:rsid w:val="00056C32"/>
    <w:rsid w:val="000570EF"/>
    <w:rsid w:val="000575CF"/>
    <w:rsid w:val="00057858"/>
    <w:rsid w:val="00057D7D"/>
    <w:rsid w:val="00057E03"/>
    <w:rsid w:val="00057F1E"/>
    <w:rsid w:val="0006004C"/>
    <w:rsid w:val="0006010A"/>
    <w:rsid w:val="000603D8"/>
    <w:rsid w:val="0006041E"/>
    <w:rsid w:val="00060664"/>
    <w:rsid w:val="000608AA"/>
    <w:rsid w:val="00060D53"/>
    <w:rsid w:val="00060D9A"/>
    <w:rsid w:val="00060E4F"/>
    <w:rsid w:val="0006103F"/>
    <w:rsid w:val="000610D5"/>
    <w:rsid w:val="000612E3"/>
    <w:rsid w:val="00061536"/>
    <w:rsid w:val="00061B53"/>
    <w:rsid w:val="00061BD9"/>
    <w:rsid w:val="00061C97"/>
    <w:rsid w:val="00061F78"/>
    <w:rsid w:val="00062063"/>
    <w:rsid w:val="0006229B"/>
    <w:rsid w:val="00062706"/>
    <w:rsid w:val="00062792"/>
    <w:rsid w:val="000627F3"/>
    <w:rsid w:val="00062E78"/>
    <w:rsid w:val="0006367B"/>
    <w:rsid w:val="00063762"/>
    <w:rsid w:val="00063935"/>
    <w:rsid w:val="00063B77"/>
    <w:rsid w:val="00063D70"/>
    <w:rsid w:val="00063DD1"/>
    <w:rsid w:val="00063E7C"/>
    <w:rsid w:val="000646AD"/>
    <w:rsid w:val="000646E9"/>
    <w:rsid w:val="000647A0"/>
    <w:rsid w:val="00064A5C"/>
    <w:rsid w:val="00064A64"/>
    <w:rsid w:val="00064BBE"/>
    <w:rsid w:val="00064BC6"/>
    <w:rsid w:val="00065251"/>
    <w:rsid w:val="0006562F"/>
    <w:rsid w:val="000660DA"/>
    <w:rsid w:val="00066792"/>
    <w:rsid w:val="00066A40"/>
    <w:rsid w:val="00066A76"/>
    <w:rsid w:val="00066BE5"/>
    <w:rsid w:val="00066C4E"/>
    <w:rsid w:val="000670E2"/>
    <w:rsid w:val="0006741E"/>
    <w:rsid w:val="0006793B"/>
    <w:rsid w:val="0006795F"/>
    <w:rsid w:val="00067BBD"/>
    <w:rsid w:val="00067BDC"/>
    <w:rsid w:val="00067C2A"/>
    <w:rsid w:val="00067FC8"/>
    <w:rsid w:val="00070127"/>
    <w:rsid w:val="0007025D"/>
    <w:rsid w:val="0007034C"/>
    <w:rsid w:val="00070407"/>
    <w:rsid w:val="0007057F"/>
    <w:rsid w:val="0007079A"/>
    <w:rsid w:val="00070B1A"/>
    <w:rsid w:val="00070B4F"/>
    <w:rsid w:val="00070D42"/>
    <w:rsid w:val="00071321"/>
    <w:rsid w:val="0007137A"/>
    <w:rsid w:val="000715AE"/>
    <w:rsid w:val="000719D8"/>
    <w:rsid w:val="00071AC3"/>
    <w:rsid w:val="00071E65"/>
    <w:rsid w:val="00071F11"/>
    <w:rsid w:val="00072451"/>
    <w:rsid w:val="00072768"/>
    <w:rsid w:val="000729D2"/>
    <w:rsid w:val="000729E6"/>
    <w:rsid w:val="00072CB3"/>
    <w:rsid w:val="00072DC0"/>
    <w:rsid w:val="00073214"/>
    <w:rsid w:val="000734D7"/>
    <w:rsid w:val="000734EF"/>
    <w:rsid w:val="0007366F"/>
    <w:rsid w:val="000737DF"/>
    <w:rsid w:val="00073AEE"/>
    <w:rsid w:val="00073E64"/>
    <w:rsid w:val="0007404F"/>
    <w:rsid w:val="000746EE"/>
    <w:rsid w:val="00074763"/>
    <w:rsid w:val="0007479A"/>
    <w:rsid w:val="000747C7"/>
    <w:rsid w:val="000748D3"/>
    <w:rsid w:val="000748FE"/>
    <w:rsid w:val="00074B7D"/>
    <w:rsid w:val="00074D27"/>
    <w:rsid w:val="00074F20"/>
    <w:rsid w:val="00075056"/>
    <w:rsid w:val="00075100"/>
    <w:rsid w:val="00075324"/>
    <w:rsid w:val="00075876"/>
    <w:rsid w:val="000758DD"/>
    <w:rsid w:val="00075CAF"/>
    <w:rsid w:val="00075D3F"/>
    <w:rsid w:val="00075FD8"/>
    <w:rsid w:val="000761BB"/>
    <w:rsid w:val="000761BF"/>
    <w:rsid w:val="00076E1F"/>
    <w:rsid w:val="00076E60"/>
    <w:rsid w:val="00077232"/>
    <w:rsid w:val="00077367"/>
    <w:rsid w:val="000779A5"/>
    <w:rsid w:val="00077DE4"/>
    <w:rsid w:val="00077F20"/>
    <w:rsid w:val="00077F38"/>
    <w:rsid w:val="00080BD1"/>
    <w:rsid w:val="00080EAA"/>
    <w:rsid w:val="00081598"/>
    <w:rsid w:val="00081627"/>
    <w:rsid w:val="000816B1"/>
    <w:rsid w:val="00081B5A"/>
    <w:rsid w:val="00081EC6"/>
    <w:rsid w:val="0008215A"/>
    <w:rsid w:val="0008225B"/>
    <w:rsid w:val="00082434"/>
    <w:rsid w:val="000824D6"/>
    <w:rsid w:val="00082A60"/>
    <w:rsid w:val="00082B33"/>
    <w:rsid w:val="00082B40"/>
    <w:rsid w:val="00082D8B"/>
    <w:rsid w:val="00082E59"/>
    <w:rsid w:val="0008309A"/>
    <w:rsid w:val="00083534"/>
    <w:rsid w:val="00083AD4"/>
    <w:rsid w:val="00083CA8"/>
    <w:rsid w:val="00083ECB"/>
    <w:rsid w:val="00084201"/>
    <w:rsid w:val="000843C5"/>
    <w:rsid w:val="000843F3"/>
    <w:rsid w:val="00084406"/>
    <w:rsid w:val="00084430"/>
    <w:rsid w:val="0008485F"/>
    <w:rsid w:val="000849AE"/>
    <w:rsid w:val="00084C30"/>
    <w:rsid w:val="00084C62"/>
    <w:rsid w:val="00084E2B"/>
    <w:rsid w:val="00084EE0"/>
    <w:rsid w:val="00085230"/>
    <w:rsid w:val="00085869"/>
    <w:rsid w:val="0008590D"/>
    <w:rsid w:val="00085DD1"/>
    <w:rsid w:val="00085EC0"/>
    <w:rsid w:val="000861D1"/>
    <w:rsid w:val="00086212"/>
    <w:rsid w:val="000867F9"/>
    <w:rsid w:val="00086D18"/>
    <w:rsid w:val="00086EF3"/>
    <w:rsid w:val="00086FA9"/>
    <w:rsid w:val="000870C6"/>
    <w:rsid w:val="000872CF"/>
    <w:rsid w:val="00087331"/>
    <w:rsid w:val="000873B2"/>
    <w:rsid w:val="00087A2F"/>
    <w:rsid w:val="00087BFD"/>
    <w:rsid w:val="00087C15"/>
    <w:rsid w:val="00087F76"/>
    <w:rsid w:val="000902FD"/>
    <w:rsid w:val="00090966"/>
    <w:rsid w:val="00090A53"/>
    <w:rsid w:val="00090AF2"/>
    <w:rsid w:val="00090BF9"/>
    <w:rsid w:val="00090CC7"/>
    <w:rsid w:val="00090CD1"/>
    <w:rsid w:val="00090D3E"/>
    <w:rsid w:val="00090EB0"/>
    <w:rsid w:val="0009100C"/>
    <w:rsid w:val="0009107D"/>
    <w:rsid w:val="000915CD"/>
    <w:rsid w:val="0009180D"/>
    <w:rsid w:val="000922A6"/>
    <w:rsid w:val="000923DC"/>
    <w:rsid w:val="0009256F"/>
    <w:rsid w:val="00092B60"/>
    <w:rsid w:val="00092BEC"/>
    <w:rsid w:val="000931C3"/>
    <w:rsid w:val="000938C2"/>
    <w:rsid w:val="00094047"/>
    <w:rsid w:val="0009424B"/>
    <w:rsid w:val="000944FE"/>
    <w:rsid w:val="000948A4"/>
    <w:rsid w:val="00094D2E"/>
    <w:rsid w:val="00094E53"/>
    <w:rsid w:val="00095885"/>
    <w:rsid w:val="00095BB4"/>
    <w:rsid w:val="00096087"/>
    <w:rsid w:val="00096130"/>
    <w:rsid w:val="00096807"/>
    <w:rsid w:val="0009688F"/>
    <w:rsid w:val="000969EE"/>
    <w:rsid w:val="00096C29"/>
    <w:rsid w:val="00096D2A"/>
    <w:rsid w:val="00096EB6"/>
    <w:rsid w:val="00096F0F"/>
    <w:rsid w:val="00096F8E"/>
    <w:rsid w:val="00097017"/>
    <w:rsid w:val="000971A7"/>
    <w:rsid w:val="000973F9"/>
    <w:rsid w:val="00097632"/>
    <w:rsid w:val="000977CC"/>
    <w:rsid w:val="0009782C"/>
    <w:rsid w:val="000979AE"/>
    <w:rsid w:val="00097A1E"/>
    <w:rsid w:val="00097EFB"/>
    <w:rsid w:val="00097F0F"/>
    <w:rsid w:val="00097F96"/>
    <w:rsid w:val="000A013F"/>
    <w:rsid w:val="000A0147"/>
    <w:rsid w:val="000A024B"/>
    <w:rsid w:val="000A024F"/>
    <w:rsid w:val="000A0289"/>
    <w:rsid w:val="000A0338"/>
    <w:rsid w:val="000A0830"/>
    <w:rsid w:val="000A08E0"/>
    <w:rsid w:val="000A0973"/>
    <w:rsid w:val="000A0B46"/>
    <w:rsid w:val="000A0BD9"/>
    <w:rsid w:val="000A0E18"/>
    <w:rsid w:val="000A0F4C"/>
    <w:rsid w:val="000A12A6"/>
    <w:rsid w:val="000A1533"/>
    <w:rsid w:val="000A15AE"/>
    <w:rsid w:val="000A1853"/>
    <w:rsid w:val="000A18C6"/>
    <w:rsid w:val="000A1C92"/>
    <w:rsid w:val="000A20A2"/>
    <w:rsid w:val="000A21B0"/>
    <w:rsid w:val="000A21B8"/>
    <w:rsid w:val="000A22A2"/>
    <w:rsid w:val="000A2558"/>
    <w:rsid w:val="000A2A5F"/>
    <w:rsid w:val="000A2C62"/>
    <w:rsid w:val="000A2F7D"/>
    <w:rsid w:val="000A308B"/>
    <w:rsid w:val="000A310D"/>
    <w:rsid w:val="000A36C7"/>
    <w:rsid w:val="000A3778"/>
    <w:rsid w:val="000A383D"/>
    <w:rsid w:val="000A3929"/>
    <w:rsid w:val="000A3C07"/>
    <w:rsid w:val="000A4287"/>
    <w:rsid w:val="000A44E4"/>
    <w:rsid w:val="000A4779"/>
    <w:rsid w:val="000A47FB"/>
    <w:rsid w:val="000A498F"/>
    <w:rsid w:val="000A5408"/>
    <w:rsid w:val="000A55A9"/>
    <w:rsid w:val="000A57D4"/>
    <w:rsid w:val="000A5FFD"/>
    <w:rsid w:val="000A60FE"/>
    <w:rsid w:val="000A6186"/>
    <w:rsid w:val="000A6583"/>
    <w:rsid w:val="000A6848"/>
    <w:rsid w:val="000A6A7D"/>
    <w:rsid w:val="000A6A93"/>
    <w:rsid w:val="000A6C78"/>
    <w:rsid w:val="000A6CEB"/>
    <w:rsid w:val="000A6D37"/>
    <w:rsid w:val="000A6EF8"/>
    <w:rsid w:val="000A73BE"/>
    <w:rsid w:val="000A74B2"/>
    <w:rsid w:val="000A798A"/>
    <w:rsid w:val="000A7A0F"/>
    <w:rsid w:val="000A7ABD"/>
    <w:rsid w:val="000A7B8A"/>
    <w:rsid w:val="000A7BB3"/>
    <w:rsid w:val="000B052D"/>
    <w:rsid w:val="000B0596"/>
    <w:rsid w:val="000B0AB7"/>
    <w:rsid w:val="000B10B7"/>
    <w:rsid w:val="000B1213"/>
    <w:rsid w:val="000B13A1"/>
    <w:rsid w:val="000B13F8"/>
    <w:rsid w:val="000B142C"/>
    <w:rsid w:val="000B14C7"/>
    <w:rsid w:val="000B16F0"/>
    <w:rsid w:val="000B19D2"/>
    <w:rsid w:val="000B19DA"/>
    <w:rsid w:val="000B1BA8"/>
    <w:rsid w:val="000B1C0F"/>
    <w:rsid w:val="000B1E15"/>
    <w:rsid w:val="000B21BB"/>
    <w:rsid w:val="000B2393"/>
    <w:rsid w:val="000B2461"/>
    <w:rsid w:val="000B2A6D"/>
    <w:rsid w:val="000B36AF"/>
    <w:rsid w:val="000B384F"/>
    <w:rsid w:val="000B3A46"/>
    <w:rsid w:val="000B3BC7"/>
    <w:rsid w:val="000B3BCF"/>
    <w:rsid w:val="000B3D4F"/>
    <w:rsid w:val="000B4170"/>
    <w:rsid w:val="000B4665"/>
    <w:rsid w:val="000B48A6"/>
    <w:rsid w:val="000B4C07"/>
    <w:rsid w:val="000B4EBC"/>
    <w:rsid w:val="000B4FF8"/>
    <w:rsid w:val="000B5072"/>
    <w:rsid w:val="000B508E"/>
    <w:rsid w:val="000B550D"/>
    <w:rsid w:val="000B5523"/>
    <w:rsid w:val="000B5696"/>
    <w:rsid w:val="000B58F7"/>
    <w:rsid w:val="000B59A8"/>
    <w:rsid w:val="000B5E17"/>
    <w:rsid w:val="000B600F"/>
    <w:rsid w:val="000B6039"/>
    <w:rsid w:val="000B6132"/>
    <w:rsid w:val="000B6775"/>
    <w:rsid w:val="000B68B2"/>
    <w:rsid w:val="000B69ED"/>
    <w:rsid w:val="000B6A7D"/>
    <w:rsid w:val="000B79F6"/>
    <w:rsid w:val="000C02A8"/>
    <w:rsid w:val="000C0415"/>
    <w:rsid w:val="000C0449"/>
    <w:rsid w:val="000C054B"/>
    <w:rsid w:val="000C06D6"/>
    <w:rsid w:val="000C06D7"/>
    <w:rsid w:val="000C06DB"/>
    <w:rsid w:val="000C0CFA"/>
    <w:rsid w:val="000C0FD8"/>
    <w:rsid w:val="000C10C5"/>
    <w:rsid w:val="000C158E"/>
    <w:rsid w:val="000C1847"/>
    <w:rsid w:val="000C1D2C"/>
    <w:rsid w:val="000C2571"/>
    <w:rsid w:val="000C2632"/>
    <w:rsid w:val="000C2797"/>
    <w:rsid w:val="000C27AC"/>
    <w:rsid w:val="000C295E"/>
    <w:rsid w:val="000C2C2D"/>
    <w:rsid w:val="000C352C"/>
    <w:rsid w:val="000C3642"/>
    <w:rsid w:val="000C3CE5"/>
    <w:rsid w:val="000C3D1A"/>
    <w:rsid w:val="000C3DD7"/>
    <w:rsid w:val="000C3FF2"/>
    <w:rsid w:val="000C4354"/>
    <w:rsid w:val="000C4672"/>
    <w:rsid w:val="000C497C"/>
    <w:rsid w:val="000C498C"/>
    <w:rsid w:val="000C4DDD"/>
    <w:rsid w:val="000C506D"/>
    <w:rsid w:val="000C533E"/>
    <w:rsid w:val="000C53C5"/>
    <w:rsid w:val="000C56C6"/>
    <w:rsid w:val="000C57B3"/>
    <w:rsid w:val="000C58E4"/>
    <w:rsid w:val="000C5C1D"/>
    <w:rsid w:val="000C5CD1"/>
    <w:rsid w:val="000C5EB0"/>
    <w:rsid w:val="000C5F12"/>
    <w:rsid w:val="000C623C"/>
    <w:rsid w:val="000C63A3"/>
    <w:rsid w:val="000C66BF"/>
    <w:rsid w:val="000C6F08"/>
    <w:rsid w:val="000C70C5"/>
    <w:rsid w:val="000C70FB"/>
    <w:rsid w:val="000C7202"/>
    <w:rsid w:val="000C73DD"/>
    <w:rsid w:val="000C755C"/>
    <w:rsid w:val="000C7760"/>
    <w:rsid w:val="000C78C6"/>
    <w:rsid w:val="000D00F9"/>
    <w:rsid w:val="000D01CE"/>
    <w:rsid w:val="000D048C"/>
    <w:rsid w:val="000D04E5"/>
    <w:rsid w:val="000D05BB"/>
    <w:rsid w:val="000D0697"/>
    <w:rsid w:val="000D0818"/>
    <w:rsid w:val="000D0ABB"/>
    <w:rsid w:val="000D0B5E"/>
    <w:rsid w:val="000D0FD6"/>
    <w:rsid w:val="000D11EC"/>
    <w:rsid w:val="000D1449"/>
    <w:rsid w:val="000D16A9"/>
    <w:rsid w:val="000D1E42"/>
    <w:rsid w:val="000D1EE9"/>
    <w:rsid w:val="000D22B9"/>
    <w:rsid w:val="000D285B"/>
    <w:rsid w:val="000D29EA"/>
    <w:rsid w:val="000D2A72"/>
    <w:rsid w:val="000D2A90"/>
    <w:rsid w:val="000D2B04"/>
    <w:rsid w:val="000D2DF2"/>
    <w:rsid w:val="000D2E10"/>
    <w:rsid w:val="000D3179"/>
    <w:rsid w:val="000D334A"/>
    <w:rsid w:val="000D3449"/>
    <w:rsid w:val="000D37C9"/>
    <w:rsid w:val="000D398D"/>
    <w:rsid w:val="000D3A1E"/>
    <w:rsid w:val="000D3D7D"/>
    <w:rsid w:val="000D3F47"/>
    <w:rsid w:val="000D438D"/>
    <w:rsid w:val="000D43BE"/>
    <w:rsid w:val="000D451E"/>
    <w:rsid w:val="000D4590"/>
    <w:rsid w:val="000D45BF"/>
    <w:rsid w:val="000D45C5"/>
    <w:rsid w:val="000D45FB"/>
    <w:rsid w:val="000D4DD6"/>
    <w:rsid w:val="000D4E89"/>
    <w:rsid w:val="000D5052"/>
    <w:rsid w:val="000D5385"/>
    <w:rsid w:val="000D5CED"/>
    <w:rsid w:val="000D6065"/>
    <w:rsid w:val="000D6334"/>
    <w:rsid w:val="000D6487"/>
    <w:rsid w:val="000D65C1"/>
    <w:rsid w:val="000D6E1B"/>
    <w:rsid w:val="000D7AC5"/>
    <w:rsid w:val="000D7E52"/>
    <w:rsid w:val="000D7F13"/>
    <w:rsid w:val="000D7FF4"/>
    <w:rsid w:val="000E0096"/>
    <w:rsid w:val="000E089B"/>
    <w:rsid w:val="000E0AD1"/>
    <w:rsid w:val="000E0CA4"/>
    <w:rsid w:val="000E0DAD"/>
    <w:rsid w:val="000E1B48"/>
    <w:rsid w:val="000E1BFD"/>
    <w:rsid w:val="000E1C96"/>
    <w:rsid w:val="000E2363"/>
    <w:rsid w:val="000E2CEB"/>
    <w:rsid w:val="000E3117"/>
    <w:rsid w:val="000E3178"/>
    <w:rsid w:val="000E33DF"/>
    <w:rsid w:val="000E36D3"/>
    <w:rsid w:val="000E3C19"/>
    <w:rsid w:val="000E506E"/>
    <w:rsid w:val="000E512F"/>
    <w:rsid w:val="000E5842"/>
    <w:rsid w:val="000E586B"/>
    <w:rsid w:val="000E5B28"/>
    <w:rsid w:val="000E6178"/>
    <w:rsid w:val="000E61DB"/>
    <w:rsid w:val="000E6481"/>
    <w:rsid w:val="000E6550"/>
    <w:rsid w:val="000E6707"/>
    <w:rsid w:val="000E6AB0"/>
    <w:rsid w:val="000E6BFF"/>
    <w:rsid w:val="000E6C53"/>
    <w:rsid w:val="000E7595"/>
    <w:rsid w:val="000E75B5"/>
    <w:rsid w:val="000E7618"/>
    <w:rsid w:val="000E7AB4"/>
    <w:rsid w:val="000E7AC6"/>
    <w:rsid w:val="000E7AD0"/>
    <w:rsid w:val="000F0126"/>
    <w:rsid w:val="000F0E78"/>
    <w:rsid w:val="000F1149"/>
    <w:rsid w:val="000F17C2"/>
    <w:rsid w:val="000F1831"/>
    <w:rsid w:val="000F1A04"/>
    <w:rsid w:val="000F1A72"/>
    <w:rsid w:val="000F203D"/>
    <w:rsid w:val="000F225E"/>
    <w:rsid w:val="000F24E7"/>
    <w:rsid w:val="000F272F"/>
    <w:rsid w:val="000F2B73"/>
    <w:rsid w:val="000F2C3A"/>
    <w:rsid w:val="000F3057"/>
    <w:rsid w:val="000F32EE"/>
    <w:rsid w:val="000F3470"/>
    <w:rsid w:val="000F3503"/>
    <w:rsid w:val="000F384F"/>
    <w:rsid w:val="000F3F12"/>
    <w:rsid w:val="000F4082"/>
    <w:rsid w:val="000F41B2"/>
    <w:rsid w:val="000F4475"/>
    <w:rsid w:val="000F468D"/>
    <w:rsid w:val="000F472C"/>
    <w:rsid w:val="000F477E"/>
    <w:rsid w:val="000F51C9"/>
    <w:rsid w:val="000F54DF"/>
    <w:rsid w:val="000F55A3"/>
    <w:rsid w:val="000F5799"/>
    <w:rsid w:val="000F58E6"/>
    <w:rsid w:val="000F5920"/>
    <w:rsid w:val="000F5A3A"/>
    <w:rsid w:val="000F5CDD"/>
    <w:rsid w:val="000F5DE0"/>
    <w:rsid w:val="000F615E"/>
    <w:rsid w:val="000F6317"/>
    <w:rsid w:val="000F6357"/>
    <w:rsid w:val="000F635E"/>
    <w:rsid w:val="000F64F0"/>
    <w:rsid w:val="000F6504"/>
    <w:rsid w:val="000F6944"/>
    <w:rsid w:val="000F6AFE"/>
    <w:rsid w:val="000F72BC"/>
    <w:rsid w:val="000F797F"/>
    <w:rsid w:val="000F7A8E"/>
    <w:rsid w:val="000F7C42"/>
    <w:rsid w:val="000F7EF4"/>
    <w:rsid w:val="0010039D"/>
    <w:rsid w:val="001003F0"/>
    <w:rsid w:val="0010065E"/>
    <w:rsid w:val="001008C6"/>
    <w:rsid w:val="00100978"/>
    <w:rsid w:val="001009DD"/>
    <w:rsid w:val="00100C6B"/>
    <w:rsid w:val="0010116A"/>
    <w:rsid w:val="00101195"/>
    <w:rsid w:val="001011C4"/>
    <w:rsid w:val="00101A4E"/>
    <w:rsid w:val="00101F60"/>
    <w:rsid w:val="001022D4"/>
    <w:rsid w:val="001025EF"/>
    <w:rsid w:val="00102887"/>
    <w:rsid w:val="001029D4"/>
    <w:rsid w:val="00102C1E"/>
    <w:rsid w:val="0010305D"/>
    <w:rsid w:val="001031DE"/>
    <w:rsid w:val="0010331F"/>
    <w:rsid w:val="00103752"/>
    <w:rsid w:val="00103DC8"/>
    <w:rsid w:val="00103E01"/>
    <w:rsid w:val="00103F1F"/>
    <w:rsid w:val="0010416F"/>
    <w:rsid w:val="0010423F"/>
    <w:rsid w:val="001044B7"/>
    <w:rsid w:val="001047C6"/>
    <w:rsid w:val="00104973"/>
    <w:rsid w:val="00104B85"/>
    <w:rsid w:val="0010546D"/>
    <w:rsid w:val="001057D1"/>
    <w:rsid w:val="00105BF3"/>
    <w:rsid w:val="00105C8A"/>
    <w:rsid w:val="00105D4D"/>
    <w:rsid w:val="00105EF0"/>
    <w:rsid w:val="00105FF5"/>
    <w:rsid w:val="001060F5"/>
    <w:rsid w:val="00106211"/>
    <w:rsid w:val="00106287"/>
    <w:rsid w:val="0010636B"/>
    <w:rsid w:val="001068EA"/>
    <w:rsid w:val="00106C64"/>
    <w:rsid w:val="00106D42"/>
    <w:rsid w:val="00107022"/>
    <w:rsid w:val="001071AE"/>
    <w:rsid w:val="00107247"/>
    <w:rsid w:val="00107281"/>
    <w:rsid w:val="0010733B"/>
    <w:rsid w:val="00107472"/>
    <w:rsid w:val="0010762B"/>
    <w:rsid w:val="001077D3"/>
    <w:rsid w:val="00107D07"/>
    <w:rsid w:val="00107F7C"/>
    <w:rsid w:val="00110171"/>
    <w:rsid w:val="001106D9"/>
    <w:rsid w:val="001107FC"/>
    <w:rsid w:val="00110869"/>
    <w:rsid w:val="00110B0F"/>
    <w:rsid w:val="00110F20"/>
    <w:rsid w:val="001111CA"/>
    <w:rsid w:val="00111347"/>
    <w:rsid w:val="0011158A"/>
    <w:rsid w:val="00111667"/>
    <w:rsid w:val="00111710"/>
    <w:rsid w:val="00111777"/>
    <w:rsid w:val="001119ED"/>
    <w:rsid w:val="00111CA3"/>
    <w:rsid w:val="00111F0E"/>
    <w:rsid w:val="001123E5"/>
    <w:rsid w:val="0011260C"/>
    <w:rsid w:val="00112814"/>
    <w:rsid w:val="00112868"/>
    <w:rsid w:val="001128E9"/>
    <w:rsid w:val="00112F30"/>
    <w:rsid w:val="00113106"/>
    <w:rsid w:val="001134AE"/>
    <w:rsid w:val="001138DF"/>
    <w:rsid w:val="00113B22"/>
    <w:rsid w:val="00113E09"/>
    <w:rsid w:val="00114037"/>
    <w:rsid w:val="00114065"/>
    <w:rsid w:val="00114156"/>
    <w:rsid w:val="001143A1"/>
    <w:rsid w:val="0011459A"/>
    <w:rsid w:val="001149D1"/>
    <w:rsid w:val="00115382"/>
    <w:rsid w:val="00115674"/>
    <w:rsid w:val="00115B6D"/>
    <w:rsid w:val="00115EED"/>
    <w:rsid w:val="00116438"/>
    <w:rsid w:val="001166C1"/>
    <w:rsid w:val="00116CFE"/>
    <w:rsid w:val="0011725F"/>
    <w:rsid w:val="0011727B"/>
    <w:rsid w:val="00117E23"/>
    <w:rsid w:val="00117FD1"/>
    <w:rsid w:val="00120135"/>
    <w:rsid w:val="0012047E"/>
    <w:rsid w:val="00120806"/>
    <w:rsid w:val="0012119B"/>
    <w:rsid w:val="0012128B"/>
    <w:rsid w:val="00121337"/>
    <w:rsid w:val="00121376"/>
    <w:rsid w:val="00121BE5"/>
    <w:rsid w:val="00121DBA"/>
    <w:rsid w:val="001220D8"/>
    <w:rsid w:val="00122301"/>
    <w:rsid w:val="0012231B"/>
    <w:rsid w:val="00122C2D"/>
    <w:rsid w:val="00122F61"/>
    <w:rsid w:val="00123667"/>
    <w:rsid w:val="00123B59"/>
    <w:rsid w:val="00123F32"/>
    <w:rsid w:val="00124080"/>
    <w:rsid w:val="001243B2"/>
    <w:rsid w:val="00124802"/>
    <w:rsid w:val="0012491B"/>
    <w:rsid w:val="00124A96"/>
    <w:rsid w:val="00124C6D"/>
    <w:rsid w:val="00124EF1"/>
    <w:rsid w:val="00124F5C"/>
    <w:rsid w:val="00124FB5"/>
    <w:rsid w:val="001250EF"/>
    <w:rsid w:val="001252EE"/>
    <w:rsid w:val="0012531F"/>
    <w:rsid w:val="001253D0"/>
    <w:rsid w:val="0012547F"/>
    <w:rsid w:val="001255BF"/>
    <w:rsid w:val="001256E4"/>
    <w:rsid w:val="00125C15"/>
    <w:rsid w:val="00125E42"/>
    <w:rsid w:val="00126087"/>
    <w:rsid w:val="00126A56"/>
    <w:rsid w:val="00126B07"/>
    <w:rsid w:val="00126D7F"/>
    <w:rsid w:val="00126E27"/>
    <w:rsid w:val="001271F1"/>
    <w:rsid w:val="001274AB"/>
    <w:rsid w:val="00127659"/>
    <w:rsid w:val="00127866"/>
    <w:rsid w:val="00127D0D"/>
    <w:rsid w:val="001304B5"/>
    <w:rsid w:val="00130603"/>
    <w:rsid w:val="0013084B"/>
    <w:rsid w:val="001309D3"/>
    <w:rsid w:val="00130B84"/>
    <w:rsid w:val="00130D56"/>
    <w:rsid w:val="001310FB"/>
    <w:rsid w:val="0013130D"/>
    <w:rsid w:val="001313FC"/>
    <w:rsid w:val="0013167C"/>
    <w:rsid w:val="0013189F"/>
    <w:rsid w:val="00131A2B"/>
    <w:rsid w:val="00131B16"/>
    <w:rsid w:val="00131DE7"/>
    <w:rsid w:val="001323A1"/>
    <w:rsid w:val="0013251C"/>
    <w:rsid w:val="001327BF"/>
    <w:rsid w:val="001327E0"/>
    <w:rsid w:val="00132B3B"/>
    <w:rsid w:val="00132BCA"/>
    <w:rsid w:val="00132FCA"/>
    <w:rsid w:val="00133018"/>
    <w:rsid w:val="001330DE"/>
    <w:rsid w:val="001331CC"/>
    <w:rsid w:val="00133902"/>
    <w:rsid w:val="00133D29"/>
    <w:rsid w:val="0013428E"/>
    <w:rsid w:val="0013429F"/>
    <w:rsid w:val="0013445D"/>
    <w:rsid w:val="001344A4"/>
    <w:rsid w:val="00134546"/>
    <w:rsid w:val="00134676"/>
    <w:rsid w:val="00134894"/>
    <w:rsid w:val="001348CE"/>
    <w:rsid w:val="001348D8"/>
    <w:rsid w:val="001348DA"/>
    <w:rsid w:val="00134B86"/>
    <w:rsid w:val="00134F15"/>
    <w:rsid w:val="0013520C"/>
    <w:rsid w:val="00135392"/>
    <w:rsid w:val="00135479"/>
    <w:rsid w:val="001354E3"/>
    <w:rsid w:val="00135706"/>
    <w:rsid w:val="0013582D"/>
    <w:rsid w:val="00135A36"/>
    <w:rsid w:val="00135DDE"/>
    <w:rsid w:val="00136B4B"/>
    <w:rsid w:val="00136C73"/>
    <w:rsid w:val="0013737A"/>
    <w:rsid w:val="00137C16"/>
    <w:rsid w:val="00137C6A"/>
    <w:rsid w:val="00137F67"/>
    <w:rsid w:val="001402C3"/>
    <w:rsid w:val="00140EE1"/>
    <w:rsid w:val="00140FA1"/>
    <w:rsid w:val="001411C6"/>
    <w:rsid w:val="001415CA"/>
    <w:rsid w:val="00141B38"/>
    <w:rsid w:val="00141B89"/>
    <w:rsid w:val="001422F0"/>
    <w:rsid w:val="00142791"/>
    <w:rsid w:val="00142B69"/>
    <w:rsid w:val="00142D7F"/>
    <w:rsid w:val="00142E2B"/>
    <w:rsid w:val="00142EE8"/>
    <w:rsid w:val="00142F51"/>
    <w:rsid w:val="00142F70"/>
    <w:rsid w:val="0014301E"/>
    <w:rsid w:val="00143544"/>
    <w:rsid w:val="0014361B"/>
    <w:rsid w:val="00143A59"/>
    <w:rsid w:val="00143B00"/>
    <w:rsid w:val="00143B91"/>
    <w:rsid w:val="00143B95"/>
    <w:rsid w:val="00143BC3"/>
    <w:rsid w:val="00143D63"/>
    <w:rsid w:val="00143F97"/>
    <w:rsid w:val="001441A6"/>
    <w:rsid w:val="001443C3"/>
    <w:rsid w:val="001447EB"/>
    <w:rsid w:val="00144F55"/>
    <w:rsid w:val="00145010"/>
    <w:rsid w:val="001455F1"/>
    <w:rsid w:val="00145816"/>
    <w:rsid w:val="00145A90"/>
    <w:rsid w:val="00145C2E"/>
    <w:rsid w:val="00146321"/>
    <w:rsid w:val="00146350"/>
    <w:rsid w:val="001464C4"/>
    <w:rsid w:val="0014662F"/>
    <w:rsid w:val="0014673C"/>
    <w:rsid w:val="0014674B"/>
    <w:rsid w:val="001467FA"/>
    <w:rsid w:val="0014693A"/>
    <w:rsid w:val="00146C58"/>
    <w:rsid w:val="00146D5A"/>
    <w:rsid w:val="00146DAE"/>
    <w:rsid w:val="001472E8"/>
    <w:rsid w:val="00147529"/>
    <w:rsid w:val="00147A34"/>
    <w:rsid w:val="00147F6A"/>
    <w:rsid w:val="0015005B"/>
    <w:rsid w:val="0015031A"/>
    <w:rsid w:val="0015056C"/>
    <w:rsid w:val="001506D3"/>
    <w:rsid w:val="00150C86"/>
    <w:rsid w:val="00150CF2"/>
    <w:rsid w:val="00151E2E"/>
    <w:rsid w:val="001523EC"/>
    <w:rsid w:val="0015241F"/>
    <w:rsid w:val="0015243B"/>
    <w:rsid w:val="001525A3"/>
    <w:rsid w:val="0015299F"/>
    <w:rsid w:val="00152AC3"/>
    <w:rsid w:val="00152D55"/>
    <w:rsid w:val="00152FA1"/>
    <w:rsid w:val="0015306C"/>
    <w:rsid w:val="00153135"/>
    <w:rsid w:val="00153156"/>
    <w:rsid w:val="00153794"/>
    <w:rsid w:val="00153CFF"/>
    <w:rsid w:val="00153DFA"/>
    <w:rsid w:val="00153E02"/>
    <w:rsid w:val="00154067"/>
    <w:rsid w:val="001540FE"/>
    <w:rsid w:val="00154533"/>
    <w:rsid w:val="001548E4"/>
    <w:rsid w:val="00154BA4"/>
    <w:rsid w:val="00154D20"/>
    <w:rsid w:val="00154EFF"/>
    <w:rsid w:val="00155400"/>
    <w:rsid w:val="00155458"/>
    <w:rsid w:val="00155556"/>
    <w:rsid w:val="00155610"/>
    <w:rsid w:val="0015568A"/>
    <w:rsid w:val="00155911"/>
    <w:rsid w:val="00155AD1"/>
    <w:rsid w:val="00155D98"/>
    <w:rsid w:val="0015600E"/>
    <w:rsid w:val="00156385"/>
    <w:rsid w:val="001566BA"/>
    <w:rsid w:val="001567E7"/>
    <w:rsid w:val="001567E9"/>
    <w:rsid w:val="0015686F"/>
    <w:rsid w:val="00156889"/>
    <w:rsid w:val="00156C3E"/>
    <w:rsid w:val="00156CAB"/>
    <w:rsid w:val="001571F9"/>
    <w:rsid w:val="00157276"/>
    <w:rsid w:val="00157311"/>
    <w:rsid w:val="0015737E"/>
    <w:rsid w:val="00157570"/>
    <w:rsid w:val="00157CFD"/>
    <w:rsid w:val="00157E23"/>
    <w:rsid w:val="00157E85"/>
    <w:rsid w:val="0016045E"/>
    <w:rsid w:val="0016068A"/>
    <w:rsid w:val="00160F58"/>
    <w:rsid w:val="001612BE"/>
    <w:rsid w:val="001614E1"/>
    <w:rsid w:val="001617DC"/>
    <w:rsid w:val="00161809"/>
    <w:rsid w:val="0016180B"/>
    <w:rsid w:val="00161B96"/>
    <w:rsid w:val="00161C3B"/>
    <w:rsid w:val="00161F04"/>
    <w:rsid w:val="00161FFF"/>
    <w:rsid w:val="00162560"/>
    <w:rsid w:val="001625D0"/>
    <w:rsid w:val="0016278F"/>
    <w:rsid w:val="001627A0"/>
    <w:rsid w:val="00162B97"/>
    <w:rsid w:val="00162C8F"/>
    <w:rsid w:val="00162DAA"/>
    <w:rsid w:val="00163153"/>
    <w:rsid w:val="00163195"/>
    <w:rsid w:val="00163378"/>
    <w:rsid w:val="001636A5"/>
    <w:rsid w:val="001636EA"/>
    <w:rsid w:val="001638EC"/>
    <w:rsid w:val="00163D27"/>
    <w:rsid w:val="00163E87"/>
    <w:rsid w:val="0016426B"/>
    <w:rsid w:val="001643BA"/>
    <w:rsid w:val="0016471F"/>
    <w:rsid w:val="001649CD"/>
    <w:rsid w:val="00164D85"/>
    <w:rsid w:val="00166162"/>
    <w:rsid w:val="0016697A"/>
    <w:rsid w:val="00166A12"/>
    <w:rsid w:val="00166DB2"/>
    <w:rsid w:val="00166EBA"/>
    <w:rsid w:val="00167101"/>
    <w:rsid w:val="00167AFC"/>
    <w:rsid w:val="00167B25"/>
    <w:rsid w:val="00167BC2"/>
    <w:rsid w:val="0017005A"/>
    <w:rsid w:val="00170160"/>
    <w:rsid w:val="0017028F"/>
    <w:rsid w:val="00170400"/>
    <w:rsid w:val="00170617"/>
    <w:rsid w:val="001709D6"/>
    <w:rsid w:val="00170DFF"/>
    <w:rsid w:val="0017136C"/>
    <w:rsid w:val="001716BE"/>
    <w:rsid w:val="00171CD3"/>
    <w:rsid w:val="00171D98"/>
    <w:rsid w:val="001720EB"/>
    <w:rsid w:val="001723B5"/>
    <w:rsid w:val="001726EB"/>
    <w:rsid w:val="00172952"/>
    <w:rsid w:val="00172B6E"/>
    <w:rsid w:val="00172BBE"/>
    <w:rsid w:val="00172E20"/>
    <w:rsid w:val="00172EA1"/>
    <w:rsid w:val="00173727"/>
    <w:rsid w:val="0017375D"/>
    <w:rsid w:val="00173799"/>
    <w:rsid w:val="00173967"/>
    <w:rsid w:val="0017399E"/>
    <w:rsid w:val="00173A09"/>
    <w:rsid w:val="00173D7D"/>
    <w:rsid w:val="00174012"/>
    <w:rsid w:val="001748C7"/>
    <w:rsid w:val="00174CEE"/>
    <w:rsid w:val="00174F5B"/>
    <w:rsid w:val="00174F8B"/>
    <w:rsid w:val="00175107"/>
    <w:rsid w:val="00175386"/>
    <w:rsid w:val="0017547D"/>
    <w:rsid w:val="001754B1"/>
    <w:rsid w:val="001755F4"/>
    <w:rsid w:val="00175918"/>
    <w:rsid w:val="00175E83"/>
    <w:rsid w:val="001761C9"/>
    <w:rsid w:val="00176215"/>
    <w:rsid w:val="0017626D"/>
    <w:rsid w:val="0017651C"/>
    <w:rsid w:val="00176704"/>
    <w:rsid w:val="00176726"/>
    <w:rsid w:val="0017674A"/>
    <w:rsid w:val="0017677A"/>
    <w:rsid w:val="00176DEF"/>
    <w:rsid w:val="00177325"/>
    <w:rsid w:val="0017747C"/>
    <w:rsid w:val="001774AD"/>
    <w:rsid w:val="0017781C"/>
    <w:rsid w:val="0017789F"/>
    <w:rsid w:val="00177976"/>
    <w:rsid w:val="00177A33"/>
    <w:rsid w:val="00177B5A"/>
    <w:rsid w:val="00177D21"/>
    <w:rsid w:val="00177F10"/>
    <w:rsid w:val="0018089C"/>
    <w:rsid w:val="00180BD4"/>
    <w:rsid w:val="00181244"/>
    <w:rsid w:val="00181BBD"/>
    <w:rsid w:val="00181C67"/>
    <w:rsid w:val="00181D07"/>
    <w:rsid w:val="00181DD4"/>
    <w:rsid w:val="00181E7A"/>
    <w:rsid w:val="0018211F"/>
    <w:rsid w:val="00182292"/>
    <w:rsid w:val="0018244E"/>
    <w:rsid w:val="001825F7"/>
    <w:rsid w:val="00182770"/>
    <w:rsid w:val="00182776"/>
    <w:rsid w:val="00182B81"/>
    <w:rsid w:val="00182BA8"/>
    <w:rsid w:val="00182CA1"/>
    <w:rsid w:val="00182EA7"/>
    <w:rsid w:val="0018347B"/>
    <w:rsid w:val="001835D9"/>
    <w:rsid w:val="00183CCE"/>
    <w:rsid w:val="00183D88"/>
    <w:rsid w:val="00183F7F"/>
    <w:rsid w:val="00184565"/>
    <w:rsid w:val="00184AA4"/>
    <w:rsid w:val="00184B18"/>
    <w:rsid w:val="00184BCE"/>
    <w:rsid w:val="0018500A"/>
    <w:rsid w:val="0018509D"/>
    <w:rsid w:val="0018541F"/>
    <w:rsid w:val="00185461"/>
    <w:rsid w:val="0018546D"/>
    <w:rsid w:val="00185527"/>
    <w:rsid w:val="001857E3"/>
    <w:rsid w:val="00185823"/>
    <w:rsid w:val="00185B86"/>
    <w:rsid w:val="00185D47"/>
    <w:rsid w:val="00185FE5"/>
    <w:rsid w:val="0018613E"/>
    <w:rsid w:val="0018637D"/>
    <w:rsid w:val="00186638"/>
    <w:rsid w:val="00186AAF"/>
    <w:rsid w:val="00186B8E"/>
    <w:rsid w:val="00186D11"/>
    <w:rsid w:val="00186F80"/>
    <w:rsid w:val="001900B3"/>
    <w:rsid w:val="001900EB"/>
    <w:rsid w:val="0019026C"/>
    <w:rsid w:val="00190754"/>
    <w:rsid w:val="00190860"/>
    <w:rsid w:val="00190987"/>
    <w:rsid w:val="001909E5"/>
    <w:rsid w:val="00190F06"/>
    <w:rsid w:val="00191551"/>
    <w:rsid w:val="00191608"/>
    <w:rsid w:val="00191A6D"/>
    <w:rsid w:val="00191D2F"/>
    <w:rsid w:val="00191F69"/>
    <w:rsid w:val="0019201C"/>
    <w:rsid w:val="00192102"/>
    <w:rsid w:val="001922D9"/>
    <w:rsid w:val="001923E3"/>
    <w:rsid w:val="00192618"/>
    <w:rsid w:val="00192812"/>
    <w:rsid w:val="00192D5F"/>
    <w:rsid w:val="001935EF"/>
    <w:rsid w:val="001939D9"/>
    <w:rsid w:val="00193BFC"/>
    <w:rsid w:val="00194333"/>
    <w:rsid w:val="001944C6"/>
    <w:rsid w:val="001945BD"/>
    <w:rsid w:val="00194BA9"/>
    <w:rsid w:val="00194EE1"/>
    <w:rsid w:val="00195540"/>
    <w:rsid w:val="00195933"/>
    <w:rsid w:val="00195F54"/>
    <w:rsid w:val="001962B4"/>
    <w:rsid w:val="00196502"/>
    <w:rsid w:val="001966AD"/>
    <w:rsid w:val="00196AC3"/>
    <w:rsid w:val="00196E4C"/>
    <w:rsid w:val="00196EDA"/>
    <w:rsid w:val="0019742F"/>
    <w:rsid w:val="0019755B"/>
    <w:rsid w:val="001976C8"/>
    <w:rsid w:val="0019774B"/>
    <w:rsid w:val="00197758"/>
    <w:rsid w:val="00197AC9"/>
    <w:rsid w:val="00197B08"/>
    <w:rsid w:val="00197DE3"/>
    <w:rsid w:val="001A0031"/>
    <w:rsid w:val="001A02C1"/>
    <w:rsid w:val="001A07EF"/>
    <w:rsid w:val="001A0866"/>
    <w:rsid w:val="001A0917"/>
    <w:rsid w:val="001A0943"/>
    <w:rsid w:val="001A0B78"/>
    <w:rsid w:val="001A0BEF"/>
    <w:rsid w:val="001A0CB6"/>
    <w:rsid w:val="001A0D50"/>
    <w:rsid w:val="001A1150"/>
    <w:rsid w:val="001A1400"/>
    <w:rsid w:val="001A17A2"/>
    <w:rsid w:val="001A1864"/>
    <w:rsid w:val="001A1964"/>
    <w:rsid w:val="001A1BF2"/>
    <w:rsid w:val="001A1E4A"/>
    <w:rsid w:val="001A2021"/>
    <w:rsid w:val="001A2425"/>
    <w:rsid w:val="001A254B"/>
    <w:rsid w:val="001A27C4"/>
    <w:rsid w:val="001A2894"/>
    <w:rsid w:val="001A2986"/>
    <w:rsid w:val="001A2AA6"/>
    <w:rsid w:val="001A2B30"/>
    <w:rsid w:val="001A2D26"/>
    <w:rsid w:val="001A2D47"/>
    <w:rsid w:val="001A30B3"/>
    <w:rsid w:val="001A358A"/>
    <w:rsid w:val="001A3802"/>
    <w:rsid w:val="001A3B22"/>
    <w:rsid w:val="001A3E87"/>
    <w:rsid w:val="001A44AC"/>
    <w:rsid w:val="001A4812"/>
    <w:rsid w:val="001A497E"/>
    <w:rsid w:val="001A49B7"/>
    <w:rsid w:val="001A49C9"/>
    <w:rsid w:val="001A4D76"/>
    <w:rsid w:val="001A5491"/>
    <w:rsid w:val="001A579A"/>
    <w:rsid w:val="001A584F"/>
    <w:rsid w:val="001A594E"/>
    <w:rsid w:val="001A59A0"/>
    <w:rsid w:val="001A59C7"/>
    <w:rsid w:val="001A5CD7"/>
    <w:rsid w:val="001A60F2"/>
    <w:rsid w:val="001A62EA"/>
    <w:rsid w:val="001A631B"/>
    <w:rsid w:val="001A636C"/>
    <w:rsid w:val="001A66B2"/>
    <w:rsid w:val="001A6DAD"/>
    <w:rsid w:val="001A70CE"/>
    <w:rsid w:val="001A7113"/>
    <w:rsid w:val="001A72E9"/>
    <w:rsid w:val="001A753E"/>
    <w:rsid w:val="001A7B9D"/>
    <w:rsid w:val="001A7D44"/>
    <w:rsid w:val="001A7DCF"/>
    <w:rsid w:val="001A7F0F"/>
    <w:rsid w:val="001B030E"/>
    <w:rsid w:val="001B04BB"/>
    <w:rsid w:val="001B063C"/>
    <w:rsid w:val="001B0940"/>
    <w:rsid w:val="001B0CF4"/>
    <w:rsid w:val="001B0DA6"/>
    <w:rsid w:val="001B0DD9"/>
    <w:rsid w:val="001B0F8B"/>
    <w:rsid w:val="001B14E4"/>
    <w:rsid w:val="001B1A8E"/>
    <w:rsid w:val="001B1BCE"/>
    <w:rsid w:val="001B207C"/>
    <w:rsid w:val="001B20F9"/>
    <w:rsid w:val="001B22CF"/>
    <w:rsid w:val="001B25DA"/>
    <w:rsid w:val="001B263B"/>
    <w:rsid w:val="001B2AEE"/>
    <w:rsid w:val="001B2B3F"/>
    <w:rsid w:val="001B2EA3"/>
    <w:rsid w:val="001B3075"/>
    <w:rsid w:val="001B3329"/>
    <w:rsid w:val="001B338D"/>
    <w:rsid w:val="001B3622"/>
    <w:rsid w:val="001B3854"/>
    <w:rsid w:val="001B3A35"/>
    <w:rsid w:val="001B3A9E"/>
    <w:rsid w:val="001B43BC"/>
    <w:rsid w:val="001B4644"/>
    <w:rsid w:val="001B4790"/>
    <w:rsid w:val="001B4BD9"/>
    <w:rsid w:val="001B4F89"/>
    <w:rsid w:val="001B56A2"/>
    <w:rsid w:val="001B570B"/>
    <w:rsid w:val="001B5832"/>
    <w:rsid w:val="001B5A8E"/>
    <w:rsid w:val="001B6223"/>
    <w:rsid w:val="001B6640"/>
    <w:rsid w:val="001B684C"/>
    <w:rsid w:val="001B6B6B"/>
    <w:rsid w:val="001B6EC3"/>
    <w:rsid w:val="001B6F2F"/>
    <w:rsid w:val="001B7015"/>
    <w:rsid w:val="001B74DE"/>
    <w:rsid w:val="001B79ED"/>
    <w:rsid w:val="001B7A8D"/>
    <w:rsid w:val="001B7F0C"/>
    <w:rsid w:val="001C03AD"/>
    <w:rsid w:val="001C05C4"/>
    <w:rsid w:val="001C05DE"/>
    <w:rsid w:val="001C06AD"/>
    <w:rsid w:val="001C0857"/>
    <w:rsid w:val="001C0BBD"/>
    <w:rsid w:val="001C111C"/>
    <w:rsid w:val="001C127F"/>
    <w:rsid w:val="001C130F"/>
    <w:rsid w:val="001C1363"/>
    <w:rsid w:val="001C1A16"/>
    <w:rsid w:val="001C25B6"/>
    <w:rsid w:val="001C2765"/>
    <w:rsid w:val="001C27F8"/>
    <w:rsid w:val="001C28C2"/>
    <w:rsid w:val="001C2A72"/>
    <w:rsid w:val="001C2B79"/>
    <w:rsid w:val="001C3363"/>
    <w:rsid w:val="001C37CF"/>
    <w:rsid w:val="001C3F4A"/>
    <w:rsid w:val="001C426A"/>
    <w:rsid w:val="001C458B"/>
    <w:rsid w:val="001C4A20"/>
    <w:rsid w:val="001C4A6B"/>
    <w:rsid w:val="001C4A7A"/>
    <w:rsid w:val="001C4AC8"/>
    <w:rsid w:val="001C502A"/>
    <w:rsid w:val="001C505F"/>
    <w:rsid w:val="001C53C6"/>
    <w:rsid w:val="001C5460"/>
    <w:rsid w:val="001C576B"/>
    <w:rsid w:val="001C577A"/>
    <w:rsid w:val="001C57D4"/>
    <w:rsid w:val="001C59E3"/>
    <w:rsid w:val="001C5BA1"/>
    <w:rsid w:val="001C5D45"/>
    <w:rsid w:val="001C60E3"/>
    <w:rsid w:val="001C61FB"/>
    <w:rsid w:val="001C621F"/>
    <w:rsid w:val="001C64FC"/>
    <w:rsid w:val="001C677D"/>
    <w:rsid w:val="001C67CF"/>
    <w:rsid w:val="001C6898"/>
    <w:rsid w:val="001C6E41"/>
    <w:rsid w:val="001C7024"/>
    <w:rsid w:val="001C71A7"/>
    <w:rsid w:val="001C7835"/>
    <w:rsid w:val="001C7E82"/>
    <w:rsid w:val="001D0384"/>
    <w:rsid w:val="001D066F"/>
    <w:rsid w:val="001D085B"/>
    <w:rsid w:val="001D0A4A"/>
    <w:rsid w:val="001D0B24"/>
    <w:rsid w:val="001D0B98"/>
    <w:rsid w:val="001D0F8F"/>
    <w:rsid w:val="001D124F"/>
    <w:rsid w:val="001D15C1"/>
    <w:rsid w:val="001D1EB5"/>
    <w:rsid w:val="001D2097"/>
    <w:rsid w:val="001D2681"/>
    <w:rsid w:val="001D2E2C"/>
    <w:rsid w:val="001D310D"/>
    <w:rsid w:val="001D3679"/>
    <w:rsid w:val="001D37A6"/>
    <w:rsid w:val="001D3AB5"/>
    <w:rsid w:val="001D3AB7"/>
    <w:rsid w:val="001D3E48"/>
    <w:rsid w:val="001D3E4C"/>
    <w:rsid w:val="001D45FA"/>
    <w:rsid w:val="001D4798"/>
    <w:rsid w:val="001D5B18"/>
    <w:rsid w:val="001D669C"/>
    <w:rsid w:val="001D6F18"/>
    <w:rsid w:val="001D713E"/>
    <w:rsid w:val="001D734E"/>
    <w:rsid w:val="001D7438"/>
    <w:rsid w:val="001D7CB4"/>
    <w:rsid w:val="001D7E35"/>
    <w:rsid w:val="001E0176"/>
    <w:rsid w:val="001E0345"/>
    <w:rsid w:val="001E0A62"/>
    <w:rsid w:val="001E0F01"/>
    <w:rsid w:val="001E0F11"/>
    <w:rsid w:val="001E152F"/>
    <w:rsid w:val="001E1862"/>
    <w:rsid w:val="001E19F1"/>
    <w:rsid w:val="001E1DC7"/>
    <w:rsid w:val="001E2266"/>
    <w:rsid w:val="001E2955"/>
    <w:rsid w:val="001E3017"/>
    <w:rsid w:val="001E30AA"/>
    <w:rsid w:val="001E31C3"/>
    <w:rsid w:val="001E3222"/>
    <w:rsid w:val="001E361F"/>
    <w:rsid w:val="001E3650"/>
    <w:rsid w:val="001E393C"/>
    <w:rsid w:val="001E396B"/>
    <w:rsid w:val="001E3F1F"/>
    <w:rsid w:val="001E3FB3"/>
    <w:rsid w:val="001E401E"/>
    <w:rsid w:val="001E4241"/>
    <w:rsid w:val="001E4EA1"/>
    <w:rsid w:val="001E50FD"/>
    <w:rsid w:val="001E5527"/>
    <w:rsid w:val="001E5562"/>
    <w:rsid w:val="001E5CAF"/>
    <w:rsid w:val="001E5D04"/>
    <w:rsid w:val="001E5FF6"/>
    <w:rsid w:val="001E61F7"/>
    <w:rsid w:val="001E63B2"/>
    <w:rsid w:val="001E6439"/>
    <w:rsid w:val="001E6563"/>
    <w:rsid w:val="001E6C54"/>
    <w:rsid w:val="001E6D0B"/>
    <w:rsid w:val="001E6E73"/>
    <w:rsid w:val="001E6E7F"/>
    <w:rsid w:val="001E73CE"/>
    <w:rsid w:val="001E78BD"/>
    <w:rsid w:val="001E7C29"/>
    <w:rsid w:val="001E7D8C"/>
    <w:rsid w:val="001F0014"/>
    <w:rsid w:val="001F0209"/>
    <w:rsid w:val="001F024F"/>
    <w:rsid w:val="001F0519"/>
    <w:rsid w:val="001F0632"/>
    <w:rsid w:val="001F0870"/>
    <w:rsid w:val="001F0B46"/>
    <w:rsid w:val="001F0D77"/>
    <w:rsid w:val="001F0DE9"/>
    <w:rsid w:val="001F0F81"/>
    <w:rsid w:val="001F1073"/>
    <w:rsid w:val="001F12F8"/>
    <w:rsid w:val="001F131B"/>
    <w:rsid w:val="001F1397"/>
    <w:rsid w:val="001F153C"/>
    <w:rsid w:val="001F172E"/>
    <w:rsid w:val="001F1973"/>
    <w:rsid w:val="001F19AB"/>
    <w:rsid w:val="001F1A09"/>
    <w:rsid w:val="001F1A8A"/>
    <w:rsid w:val="001F1D15"/>
    <w:rsid w:val="001F264A"/>
    <w:rsid w:val="001F2CE4"/>
    <w:rsid w:val="001F2D37"/>
    <w:rsid w:val="001F3291"/>
    <w:rsid w:val="001F3587"/>
    <w:rsid w:val="001F38FB"/>
    <w:rsid w:val="001F3EE3"/>
    <w:rsid w:val="001F411B"/>
    <w:rsid w:val="001F4133"/>
    <w:rsid w:val="001F4467"/>
    <w:rsid w:val="001F44E0"/>
    <w:rsid w:val="001F455D"/>
    <w:rsid w:val="001F46F6"/>
    <w:rsid w:val="001F4987"/>
    <w:rsid w:val="001F49F2"/>
    <w:rsid w:val="001F4B06"/>
    <w:rsid w:val="001F4BA5"/>
    <w:rsid w:val="001F4E51"/>
    <w:rsid w:val="001F51F2"/>
    <w:rsid w:val="001F5433"/>
    <w:rsid w:val="001F55F4"/>
    <w:rsid w:val="001F61BB"/>
    <w:rsid w:val="001F6275"/>
    <w:rsid w:val="001F627B"/>
    <w:rsid w:val="001F653D"/>
    <w:rsid w:val="001F6948"/>
    <w:rsid w:val="001F6A6A"/>
    <w:rsid w:val="001F6E52"/>
    <w:rsid w:val="001F7291"/>
    <w:rsid w:val="001F731B"/>
    <w:rsid w:val="001F73FB"/>
    <w:rsid w:val="001F743E"/>
    <w:rsid w:val="001F76AE"/>
    <w:rsid w:val="001F77EF"/>
    <w:rsid w:val="001F7909"/>
    <w:rsid w:val="001F7AA6"/>
    <w:rsid w:val="001F7B8F"/>
    <w:rsid w:val="001F7BE8"/>
    <w:rsid w:val="00200053"/>
    <w:rsid w:val="0020079D"/>
    <w:rsid w:val="00200AF5"/>
    <w:rsid w:val="00200CDF"/>
    <w:rsid w:val="002015B3"/>
    <w:rsid w:val="002018E2"/>
    <w:rsid w:val="00201B77"/>
    <w:rsid w:val="00201CC1"/>
    <w:rsid w:val="002022B1"/>
    <w:rsid w:val="002024B4"/>
    <w:rsid w:val="00202506"/>
    <w:rsid w:val="002026B3"/>
    <w:rsid w:val="0020280D"/>
    <w:rsid w:val="00202AA5"/>
    <w:rsid w:val="00202DC6"/>
    <w:rsid w:val="00202E24"/>
    <w:rsid w:val="00202F84"/>
    <w:rsid w:val="0020310F"/>
    <w:rsid w:val="002032EC"/>
    <w:rsid w:val="0020342A"/>
    <w:rsid w:val="002034EF"/>
    <w:rsid w:val="0020351D"/>
    <w:rsid w:val="0020380F"/>
    <w:rsid w:val="00203894"/>
    <w:rsid w:val="00203A61"/>
    <w:rsid w:val="00203C11"/>
    <w:rsid w:val="00203F44"/>
    <w:rsid w:val="00204277"/>
    <w:rsid w:val="0020477E"/>
    <w:rsid w:val="002049BF"/>
    <w:rsid w:val="00204C05"/>
    <w:rsid w:val="00204DCA"/>
    <w:rsid w:val="00204E38"/>
    <w:rsid w:val="00204FE1"/>
    <w:rsid w:val="00205115"/>
    <w:rsid w:val="00205234"/>
    <w:rsid w:val="0020563D"/>
    <w:rsid w:val="00205829"/>
    <w:rsid w:val="00205A02"/>
    <w:rsid w:val="00205B65"/>
    <w:rsid w:val="0020620C"/>
    <w:rsid w:val="002067D4"/>
    <w:rsid w:val="002068FA"/>
    <w:rsid w:val="00206C78"/>
    <w:rsid w:val="0020765B"/>
    <w:rsid w:val="002078C3"/>
    <w:rsid w:val="00207D96"/>
    <w:rsid w:val="002102D3"/>
    <w:rsid w:val="00210381"/>
    <w:rsid w:val="002106F7"/>
    <w:rsid w:val="00210C35"/>
    <w:rsid w:val="00210CB9"/>
    <w:rsid w:val="00211045"/>
    <w:rsid w:val="00211050"/>
    <w:rsid w:val="00211225"/>
    <w:rsid w:val="00211427"/>
    <w:rsid w:val="00211985"/>
    <w:rsid w:val="00211AE1"/>
    <w:rsid w:val="00211BEA"/>
    <w:rsid w:val="00211D8B"/>
    <w:rsid w:val="00211EC2"/>
    <w:rsid w:val="00211FED"/>
    <w:rsid w:val="0021263D"/>
    <w:rsid w:val="002128F2"/>
    <w:rsid w:val="00212B0D"/>
    <w:rsid w:val="00212D20"/>
    <w:rsid w:val="00212E44"/>
    <w:rsid w:val="00212ED0"/>
    <w:rsid w:val="00212FFF"/>
    <w:rsid w:val="0021324D"/>
    <w:rsid w:val="002132CF"/>
    <w:rsid w:val="002136F7"/>
    <w:rsid w:val="00213AEE"/>
    <w:rsid w:val="00213B3C"/>
    <w:rsid w:val="00214157"/>
    <w:rsid w:val="002141BC"/>
    <w:rsid w:val="00214320"/>
    <w:rsid w:val="00214C11"/>
    <w:rsid w:val="00214C16"/>
    <w:rsid w:val="002150D6"/>
    <w:rsid w:val="00215788"/>
    <w:rsid w:val="002157E8"/>
    <w:rsid w:val="0021581F"/>
    <w:rsid w:val="00215AD6"/>
    <w:rsid w:val="00215B7D"/>
    <w:rsid w:val="00215BB9"/>
    <w:rsid w:val="00215F6B"/>
    <w:rsid w:val="00216441"/>
    <w:rsid w:val="002165C8"/>
    <w:rsid w:val="002168D9"/>
    <w:rsid w:val="0021693A"/>
    <w:rsid w:val="00216D60"/>
    <w:rsid w:val="00217471"/>
    <w:rsid w:val="0021751A"/>
    <w:rsid w:val="00217A5E"/>
    <w:rsid w:val="00217B81"/>
    <w:rsid w:val="00220076"/>
    <w:rsid w:val="002202B9"/>
    <w:rsid w:val="0022073C"/>
    <w:rsid w:val="002207BF"/>
    <w:rsid w:val="00220D62"/>
    <w:rsid w:val="00221020"/>
    <w:rsid w:val="00221CC9"/>
    <w:rsid w:val="00221CCB"/>
    <w:rsid w:val="00221DB3"/>
    <w:rsid w:val="00221E24"/>
    <w:rsid w:val="00221ED4"/>
    <w:rsid w:val="00222128"/>
    <w:rsid w:val="0022236D"/>
    <w:rsid w:val="0022282B"/>
    <w:rsid w:val="00222B80"/>
    <w:rsid w:val="00222CED"/>
    <w:rsid w:val="00222E62"/>
    <w:rsid w:val="00223050"/>
    <w:rsid w:val="00223253"/>
    <w:rsid w:val="0022359C"/>
    <w:rsid w:val="00223929"/>
    <w:rsid w:val="002239A2"/>
    <w:rsid w:val="00223D22"/>
    <w:rsid w:val="00223E6D"/>
    <w:rsid w:val="00223FA7"/>
    <w:rsid w:val="00223FD3"/>
    <w:rsid w:val="00224086"/>
    <w:rsid w:val="00224114"/>
    <w:rsid w:val="00224234"/>
    <w:rsid w:val="002242E9"/>
    <w:rsid w:val="002243FF"/>
    <w:rsid w:val="00224417"/>
    <w:rsid w:val="002247A3"/>
    <w:rsid w:val="00224938"/>
    <w:rsid w:val="00224D85"/>
    <w:rsid w:val="00225038"/>
    <w:rsid w:val="002250C4"/>
    <w:rsid w:val="00225198"/>
    <w:rsid w:val="00225248"/>
    <w:rsid w:val="0022541B"/>
    <w:rsid w:val="002255AA"/>
    <w:rsid w:val="0022582A"/>
    <w:rsid w:val="00225A1B"/>
    <w:rsid w:val="00225AFE"/>
    <w:rsid w:val="00225F1D"/>
    <w:rsid w:val="00225F37"/>
    <w:rsid w:val="002260A4"/>
    <w:rsid w:val="0022640B"/>
    <w:rsid w:val="0022651D"/>
    <w:rsid w:val="00226584"/>
    <w:rsid w:val="002266D2"/>
    <w:rsid w:val="002267DC"/>
    <w:rsid w:val="00226878"/>
    <w:rsid w:val="00226ADE"/>
    <w:rsid w:val="00226D1B"/>
    <w:rsid w:val="00226D58"/>
    <w:rsid w:val="00226F0B"/>
    <w:rsid w:val="0022703A"/>
    <w:rsid w:val="00227698"/>
    <w:rsid w:val="00227811"/>
    <w:rsid w:val="00227D00"/>
    <w:rsid w:val="00227D69"/>
    <w:rsid w:val="0023034D"/>
    <w:rsid w:val="002308B8"/>
    <w:rsid w:val="0023101F"/>
    <w:rsid w:val="002312AC"/>
    <w:rsid w:val="00231380"/>
    <w:rsid w:val="00231598"/>
    <w:rsid w:val="002315AA"/>
    <w:rsid w:val="002317AF"/>
    <w:rsid w:val="00231A33"/>
    <w:rsid w:val="00231A45"/>
    <w:rsid w:val="00231B72"/>
    <w:rsid w:val="00231CF8"/>
    <w:rsid w:val="00231E36"/>
    <w:rsid w:val="00231E74"/>
    <w:rsid w:val="00231EFA"/>
    <w:rsid w:val="002330A0"/>
    <w:rsid w:val="00233370"/>
    <w:rsid w:val="00233434"/>
    <w:rsid w:val="00233A03"/>
    <w:rsid w:val="00233A5A"/>
    <w:rsid w:val="00233B1C"/>
    <w:rsid w:val="00233E47"/>
    <w:rsid w:val="00233E8E"/>
    <w:rsid w:val="00233F11"/>
    <w:rsid w:val="00234201"/>
    <w:rsid w:val="00234249"/>
    <w:rsid w:val="002343A9"/>
    <w:rsid w:val="00234446"/>
    <w:rsid w:val="0023455F"/>
    <w:rsid w:val="00234584"/>
    <w:rsid w:val="002347F5"/>
    <w:rsid w:val="00234A45"/>
    <w:rsid w:val="00234CF5"/>
    <w:rsid w:val="00234D78"/>
    <w:rsid w:val="00234E8E"/>
    <w:rsid w:val="00234E92"/>
    <w:rsid w:val="00234EB8"/>
    <w:rsid w:val="00235303"/>
    <w:rsid w:val="00235406"/>
    <w:rsid w:val="0023557F"/>
    <w:rsid w:val="002355AE"/>
    <w:rsid w:val="00235AE4"/>
    <w:rsid w:val="00235B20"/>
    <w:rsid w:val="00235F3D"/>
    <w:rsid w:val="002363C0"/>
    <w:rsid w:val="00236563"/>
    <w:rsid w:val="002367DC"/>
    <w:rsid w:val="0023688D"/>
    <w:rsid w:val="002369B0"/>
    <w:rsid w:val="00236A33"/>
    <w:rsid w:val="00236E5E"/>
    <w:rsid w:val="00236F86"/>
    <w:rsid w:val="0023749D"/>
    <w:rsid w:val="00237B02"/>
    <w:rsid w:val="00237D5E"/>
    <w:rsid w:val="00237FE5"/>
    <w:rsid w:val="00240789"/>
    <w:rsid w:val="002409C4"/>
    <w:rsid w:val="00240BF7"/>
    <w:rsid w:val="00240DBB"/>
    <w:rsid w:val="002412B8"/>
    <w:rsid w:val="00241485"/>
    <w:rsid w:val="00241BA7"/>
    <w:rsid w:val="00241CD9"/>
    <w:rsid w:val="00241FB9"/>
    <w:rsid w:val="0024218A"/>
    <w:rsid w:val="0024225F"/>
    <w:rsid w:val="00242B34"/>
    <w:rsid w:val="00243032"/>
    <w:rsid w:val="00243069"/>
    <w:rsid w:val="002431FF"/>
    <w:rsid w:val="002432BA"/>
    <w:rsid w:val="0024349A"/>
    <w:rsid w:val="002438E1"/>
    <w:rsid w:val="00243AA9"/>
    <w:rsid w:val="00243BDE"/>
    <w:rsid w:val="00243C1A"/>
    <w:rsid w:val="00243D31"/>
    <w:rsid w:val="00243DCD"/>
    <w:rsid w:val="002443A8"/>
    <w:rsid w:val="00244430"/>
    <w:rsid w:val="0024464B"/>
    <w:rsid w:val="00244B65"/>
    <w:rsid w:val="0024515B"/>
    <w:rsid w:val="00245B9E"/>
    <w:rsid w:val="00245C33"/>
    <w:rsid w:val="00245ECA"/>
    <w:rsid w:val="00245F85"/>
    <w:rsid w:val="002460CA"/>
    <w:rsid w:val="002460CE"/>
    <w:rsid w:val="002462B2"/>
    <w:rsid w:val="00246539"/>
    <w:rsid w:val="00246CC6"/>
    <w:rsid w:val="00247233"/>
    <w:rsid w:val="00247610"/>
    <w:rsid w:val="00247730"/>
    <w:rsid w:val="002479BE"/>
    <w:rsid w:val="00247DAF"/>
    <w:rsid w:val="00247ED4"/>
    <w:rsid w:val="00247F33"/>
    <w:rsid w:val="002500DF"/>
    <w:rsid w:val="002500E5"/>
    <w:rsid w:val="00250105"/>
    <w:rsid w:val="002506ED"/>
    <w:rsid w:val="00250777"/>
    <w:rsid w:val="00250821"/>
    <w:rsid w:val="00250882"/>
    <w:rsid w:val="00250ED3"/>
    <w:rsid w:val="00251511"/>
    <w:rsid w:val="00251588"/>
    <w:rsid w:val="00251A34"/>
    <w:rsid w:val="00251CD1"/>
    <w:rsid w:val="00251D3E"/>
    <w:rsid w:val="0025203A"/>
    <w:rsid w:val="0025249D"/>
    <w:rsid w:val="0025249E"/>
    <w:rsid w:val="002525B0"/>
    <w:rsid w:val="00252875"/>
    <w:rsid w:val="00252885"/>
    <w:rsid w:val="002528C2"/>
    <w:rsid w:val="00252A9C"/>
    <w:rsid w:val="00253046"/>
    <w:rsid w:val="002531DA"/>
    <w:rsid w:val="00253370"/>
    <w:rsid w:val="002535D2"/>
    <w:rsid w:val="002537BB"/>
    <w:rsid w:val="002538D8"/>
    <w:rsid w:val="00253A8F"/>
    <w:rsid w:val="00253C04"/>
    <w:rsid w:val="00253E2F"/>
    <w:rsid w:val="00253F43"/>
    <w:rsid w:val="00254005"/>
    <w:rsid w:val="00254039"/>
    <w:rsid w:val="002545BF"/>
    <w:rsid w:val="0025478C"/>
    <w:rsid w:val="0025485E"/>
    <w:rsid w:val="00254E0E"/>
    <w:rsid w:val="00254F75"/>
    <w:rsid w:val="00254FC2"/>
    <w:rsid w:val="0025519D"/>
    <w:rsid w:val="002553C9"/>
    <w:rsid w:val="00255858"/>
    <w:rsid w:val="00255C9D"/>
    <w:rsid w:val="00255E14"/>
    <w:rsid w:val="00255F32"/>
    <w:rsid w:val="0025604A"/>
    <w:rsid w:val="00256117"/>
    <w:rsid w:val="00256241"/>
    <w:rsid w:val="00256632"/>
    <w:rsid w:val="00256981"/>
    <w:rsid w:val="002571BA"/>
    <w:rsid w:val="002572B9"/>
    <w:rsid w:val="002572BD"/>
    <w:rsid w:val="00257413"/>
    <w:rsid w:val="002575E9"/>
    <w:rsid w:val="00257BC1"/>
    <w:rsid w:val="00257D3D"/>
    <w:rsid w:val="00257F90"/>
    <w:rsid w:val="002600A4"/>
    <w:rsid w:val="00260299"/>
    <w:rsid w:val="002603D4"/>
    <w:rsid w:val="002604DE"/>
    <w:rsid w:val="00260583"/>
    <w:rsid w:val="00260802"/>
    <w:rsid w:val="00260E56"/>
    <w:rsid w:val="00260F4A"/>
    <w:rsid w:val="002610BA"/>
    <w:rsid w:val="002610BE"/>
    <w:rsid w:val="002612D0"/>
    <w:rsid w:val="0026145E"/>
    <w:rsid w:val="002616CF"/>
    <w:rsid w:val="0026179E"/>
    <w:rsid w:val="00261C22"/>
    <w:rsid w:val="00261F8B"/>
    <w:rsid w:val="0026201D"/>
    <w:rsid w:val="00262443"/>
    <w:rsid w:val="00262445"/>
    <w:rsid w:val="00262BFE"/>
    <w:rsid w:val="00262D58"/>
    <w:rsid w:val="00262E1F"/>
    <w:rsid w:val="0026364E"/>
    <w:rsid w:val="00263650"/>
    <w:rsid w:val="00263814"/>
    <w:rsid w:val="002638A7"/>
    <w:rsid w:val="00263A3C"/>
    <w:rsid w:val="00263A5F"/>
    <w:rsid w:val="00263CD5"/>
    <w:rsid w:val="00263F74"/>
    <w:rsid w:val="00264073"/>
    <w:rsid w:val="002641E8"/>
    <w:rsid w:val="002644B0"/>
    <w:rsid w:val="00264765"/>
    <w:rsid w:val="002647B5"/>
    <w:rsid w:val="002647CB"/>
    <w:rsid w:val="00264A7F"/>
    <w:rsid w:val="00264F8E"/>
    <w:rsid w:val="00265314"/>
    <w:rsid w:val="002654C0"/>
    <w:rsid w:val="00265577"/>
    <w:rsid w:val="002655DD"/>
    <w:rsid w:val="002657EC"/>
    <w:rsid w:val="002657EF"/>
    <w:rsid w:val="00265B53"/>
    <w:rsid w:val="00265E16"/>
    <w:rsid w:val="002664A8"/>
    <w:rsid w:val="002664F9"/>
    <w:rsid w:val="002668B8"/>
    <w:rsid w:val="002668C2"/>
    <w:rsid w:val="00266D92"/>
    <w:rsid w:val="00266E1C"/>
    <w:rsid w:val="00266E5B"/>
    <w:rsid w:val="00266ED9"/>
    <w:rsid w:val="00267145"/>
    <w:rsid w:val="0026756C"/>
    <w:rsid w:val="002675A6"/>
    <w:rsid w:val="002675B1"/>
    <w:rsid w:val="0026768F"/>
    <w:rsid w:val="0026780F"/>
    <w:rsid w:val="00267856"/>
    <w:rsid w:val="002702BB"/>
    <w:rsid w:val="002703E1"/>
    <w:rsid w:val="0027059E"/>
    <w:rsid w:val="002707FC"/>
    <w:rsid w:val="0027098C"/>
    <w:rsid w:val="002709F1"/>
    <w:rsid w:val="00270C8B"/>
    <w:rsid w:val="00270CE7"/>
    <w:rsid w:val="00270DC3"/>
    <w:rsid w:val="00270E7B"/>
    <w:rsid w:val="0027113A"/>
    <w:rsid w:val="002712F7"/>
    <w:rsid w:val="00271388"/>
    <w:rsid w:val="002714FB"/>
    <w:rsid w:val="00271599"/>
    <w:rsid w:val="00271C38"/>
    <w:rsid w:val="00271CFC"/>
    <w:rsid w:val="00272435"/>
    <w:rsid w:val="002727B4"/>
    <w:rsid w:val="002727CC"/>
    <w:rsid w:val="0027284E"/>
    <w:rsid w:val="00272864"/>
    <w:rsid w:val="00272ABC"/>
    <w:rsid w:val="00272B14"/>
    <w:rsid w:val="00272BC3"/>
    <w:rsid w:val="0027313A"/>
    <w:rsid w:val="00273186"/>
    <w:rsid w:val="0027330C"/>
    <w:rsid w:val="0027379C"/>
    <w:rsid w:val="00273AE7"/>
    <w:rsid w:val="00273F23"/>
    <w:rsid w:val="00274187"/>
    <w:rsid w:val="0027428A"/>
    <w:rsid w:val="002745C0"/>
    <w:rsid w:val="00274706"/>
    <w:rsid w:val="00274A50"/>
    <w:rsid w:val="00274AD6"/>
    <w:rsid w:val="00274BE7"/>
    <w:rsid w:val="00274C1E"/>
    <w:rsid w:val="00274D4B"/>
    <w:rsid w:val="00275235"/>
    <w:rsid w:val="00275F2B"/>
    <w:rsid w:val="00275FDE"/>
    <w:rsid w:val="00276422"/>
    <w:rsid w:val="002764AD"/>
    <w:rsid w:val="002765D8"/>
    <w:rsid w:val="0027676E"/>
    <w:rsid w:val="002767C0"/>
    <w:rsid w:val="00276CDA"/>
    <w:rsid w:val="00276FDA"/>
    <w:rsid w:val="002770D7"/>
    <w:rsid w:val="00277114"/>
    <w:rsid w:val="00277383"/>
    <w:rsid w:val="002773F8"/>
    <w:rsid w:val="002777BA"/>
    <w:rsid w:val="00277DFD"/>
    <w:rsid w:val="00277E9A"/>
    <w:rsid w:val="00277F59"/>
    <w:rsid w:val="0028010D"/>
    <w:rsid w:val="00280250"/>
    <w:rsid w:val="0028037B"/>
    <w:rsid w:val="00280818"/>
    <w:rsid w:val="0028083C"/>
    <w:rsid w:val="0028093F"/>
    <w:rsid w:val="00280A24"/>
    <w:rsid w:val="00280B53"/>
    <w:rsid w:val="00280C29"/>
    <w:rsid w:val="00281056"/>
    <w:rsid w:val="002811A8"/>
    <w:rsid w:val="002813DA"/>
    <w:rsid w:val="002814C1"/>
    <w:rsid w:val="002815AC"/>
    <w:rsid w:val="002816C6"/>
    <w:rsid w:val="0028170B"/>
    <w:rsid w:val="00281711"/>
    <w:rsid w:val="0028189C"/>
    <w:rsid w:val="00281D13"/>
    <w:rsid w:val="00281E03"/>
    <w:rsid w:val="0028206C"/>
    <w:rsid w:val="0028279F"/>
    <w:rsid w:val="00282CBC"/>
    <w:rsid w:val="00282D83"/>
    <w:rsid w:val="00282E27"/>
    <w:rsid w:val="00282E2B"/>
    <w:rsid w:val="00283533"/>
    <w:rsid w:val="00283777"/>
    <w:rsid w:val="00283BAD"/>
    <w:rsid w:val="00283BC6"/>
    <w:rsid w:val="00283C13"/>
    <w:rsid w:val="00283DE6"/>
    <w:rsid w:val="00283E36"/>
    <w:rsid w:val="00284189"/>
    <w:rsid w:val="002842AC"/>
    <w:rsid w:val="0028478A"/>
    <w:rsid w:val="00284BA8"/>
    <w:rsid w:val="00284BB5"/>
    <w:rsid w:val="00284C4E"/>
    <w:rsid w:val="00284D44"/>
    <w:rsid w:val="00284FD9"/>
    <w:rsid w:val="00284FE6"/>
    <w:rsid w:val="0028508A"/>
    <w:rsid w:val="0028508B"/>
    <w:rsid w:val="00285A02"/>
    <w:rsid w:val="00285A2F"/>
    <w:rsid w:val="00285A7D"/>
    <w:rsid w:val="002862C3"/>
    <w:rsid w:val="0028632F"/>
    <w:rsid w:val="00286816"/>
    <w:rsid w:val="00286DA5"/>
    <w:rsid w:val="00286E02"/>
    <w:rsid w:val="00286E2A"/>
    <w:rsid w:val="002871C5"/>
    <w:rsid w:val="00287241"/>
    <w:rsid w:val="002872A4"/>
    <w:rsid w:val="00287491"/>
    <w:rsid w:val="0028789A"/>
    <w:rsid w:val="0028799E"/>
    <w:rsid w:val="00287B14"/>
    <w:rsid w:val="00287D34"/>
    <w:rsid w:val="00290145"/>
    <w:rsid w:val="00290271"/>
    <w:rsid w:val="0029044E"/>
    <w:rsid w:val="002906AA"/>
    <w:rsid w:val="002908AB"/>
    <w:rsid w:val="00290A16"/>
    <w:rsid w:val="00290A95"/>
    <w:rsid w:val="00290FAD"/>
    <w:rsid w:val="00291134"/>
    <w:rsid w:val="0029195E"/>
    <w:rsid w:val="00291BF8"/>
    <w:rsid w:val="002926D7"/>
    <w:rsid w:val="0029271D"/>
    <w:rsid w:val="00292737"/>
    <w:rsid w:val="00292797"/>
    <w:rsid w:val="00292A1D"/>
    <w:rsid w:val="00292D94"/>
    <w:rsid w:val="002934A5"/>
    <w:rsid w:val="00293643"/>
    <w:rsid w:val="00293647"/>
    <w:rsid w:val="002938C8"/>
    <w:rsid w:val="00293A7C"/>
    <w:rsid w:val="00293C23"/>
    <w:rsid w:val="00293D40"/>
    <w:rsid w:val="00293D7B"/>
    <w:rsid w:val="00293E2C"/>
    <w:rsid w:val="00294275"/>
    <w:rsid w:val="00294602"/>
    <w:rsid w:val="0029467D"/>
    <w:rsid w:val="0029468D"/>
    <w:rsid w:val="002946AC"/>
    <w:rsid w:val="00294894"/>
    <w:rsid w:val="00294901"/>
    <w:rsid w:val="00294CE8"/>
    <w:rsid w:val="00294E10"/>
    <w:rsid w:val="0029500E"/>
    <w:rsid w:val="00295147"/>
    <w:rsid w:val="002954E9"/>
    <w:rsid w:val="002956B3"/>
    <w:rsid w:val="00295809"/>
    <w:rsid w:val="00295858"/>
    <w:rsid w:val="0029594E"/>
    <w:rsid w:val="00295B70"/>
    <w:rsid w:val="00295C2E"/>
    <w:rsid w:val="00295D90"/>
    <w:rsid w:val="00296047"/>
    <w:rsid w:val="002960B4"/>
    <w:rsid w:val="00296213"/>
    <w:rsid w:val="00296497"/>
    <w:rsid w:val="002966F5"/>
    <w:rsid w:val="0029674B"/>
    <w:rsid w:val="0029685C"/>
    <w:rsid w:val="0029690E"/>
    <w:rsid w:val="00296C6F"/>
    <w:rsid w:val="00296D6B"/>
    <w:rsid w:val="002976BB"/>
    <w:rsid w:val="00297969"/>
    <w:rsid w:val="00297B5C"/>
    <w:rsid w:val="00297F36"/>
    <w:rsid w:val="002A045D"/>
    <w:rsid w:val="002A05C3"/>
    <w:rsid w:val="002A065B"/>
    <w:rsid w:val="002A0900"/>
    <w:rsid w:val="002A118F"/>
    <w:rsid w:val="002A1376"/>
    <w:rsid w:val="002A1923"/>
    <w:rsid w:val="002A1957"/>
    <w:rsid w:val="002A1DFF"/>
    <w:rsid w:val="002A1FBF"/>
    <w:rsid w:val="002A2220"/>
    <w:rsid w:val="002A2398"/>
    <w:rsid w:val="002A2552"/>
    <w:rsid w:val="002A2615"/>
    <w:rsid w:val="002A28A0"/>
    <w:rsid w:val="002A2ED5"/>
    <w:rsid w:val="002A2F09"/>
    <w:rsid w:val="002A3373"/>
    <w:rsid w:val="002A33D9"/>
    <w:rsid w:val="002A3557"/>
    <w:rsid w:val="002A3786"/>
    <w:rsid w:val="002A37E0"/>
    <w:rsid w:val="002A38BB"/>
    <w:rsid w:val="002A47F9"/>
    <w:rsid w:val="002A4B32"/>
    <w:rsid w:val="002A528B"/>
    <w:rsid w:val="002A5563"/>
    <w:rsid w:val="002A55F4"/>
    <w:rsid w:val="002A5738"/>
    <w:rsid w:val="002A5748"/>
    <w:rsid w:val="002A58F3"/>
    <w:rsid w:val="002A5AD3"/>
    <w:rsid w:val="002A5AFF"/>
    <w:rsid w:val="002A5C87"/>
    <w:rsid w:val="002A5D81"/>
    <w:rsid w:val="002A5E27"/>
    <w:rsid w:val="002A5FA6"/>
    <w:rsid w:val="002A6200"/>
    <w:rsid w:val="002A62FD"/>
    <w:rsid w:val="002A6344"/>
    <w:rsid w:val="002A655A"/>
    <w:rsid w:val="002A68B2"/>
    <w:rsid w:val="002A6BEC"/>
    <w:rsid w:val="002A7441"/>
    <w:rsid w:val="002A77E6"/>
    <w:rsid w:val="002A79D3"/>
    <w:rsid w:val="002B032C"/>
    <w:rsid w:val="002B0394"/>
    <w:rsid w:val="002B0821"/>
    <w:rsid w:val="002B0F31"/>
    <w:rsid w:val="002B0F37"/>
    <w:rsid w:val="002B0FE8"/>
    <w:rsid w:val="002B1166"/>
    <w:rsid w:val="002B1456"/>
    <w:rsid w:val="002B195F"/>
    <w:rsid w:val="002B19A4"/>
    <w:rsid w:val="002B1FDE"/>
    <w:rsid w:val="002B253A"/>
    <w:rsid w:val="002B25F0"/>
    <w:rsid w:val="002B2ABA"/>
    <w:rsid w:val="002B2BAF"/>
    <w:rsid w:val="002B2EBC"/>
    <w:rsid w:val="002B2F61"/>
    <w:rsid w:val="002B3222"/>
    <w:rsid w:val="002B32E3"/>
    <w:rsid w:val="002B3466"/>
    <w:rsid w:val="002B354F"/>
    <w:rsid w:val="002B3C0A"/>
    <w:rsid w:val="002B3CFB"/>
    <w:rsid w:val="002B43A2"/>
    <w:rsid w:val="002B4784"/>
    <w:rsid w:val="002B4A46"/>
    <w:rsid w:val="002B4D5D"/>
    <w:rsid w:val="002B4FAC"/>
    <w:rsid w:val="002B505C"/>
    <w:rsid w:val="002B51C9"/>
    <w:rsid w:val="002B5220"/>
    <w:rsid w:val="002B5683"/>
    <w:rsid w:val="002B5ABD"/>
    <w:rsid w:val="002B5DE9"/>
    <w:rsid w:val="002B62CB"/>
    <w:rsid w:val="002B6694"/>
    <w:rsid w:val="002B6846"/>
    <w:rsid w:val="002B6A3D"/>
    <w:rsid w:val="002B6AD8"/>
    <w:rsid w:val="002B6E4F"/>
    <w:rsid w:val="002B7966"/>
    <w:rsid w:val="002B7A7D"/>
    <w:rsid w:val="002B7D0D"/>
    <w:rsid w:val="002B7E61"/>
    <w:rsid w:val="002C00DE"/>
    <w:rsid w:val="002C0602"/>
    <w:rsid w:val="002C0C5D"/>
    <w:rsid w:val="002C0F24"/>
    <w:rsid w:val="002C1326"/>
    <w:rsid w:val="002C133E"/>
    <w:rsid w:val="002C1528"/>
    <w:rsid w:val="002C16C0"/>
    <w:rsid w:val="002C1804"/>
    <w:rsid w:val="002C1AF4"/>
    <w:rsid w:val="002C23EF"/>
    <w:rsid w:val="002C243C"/>
    <w:rsid w:val="002C244D"/>
    <w:rsid w:val="002C26D3"/>
    <w:rsid w:val="002C27BE"/>
    <w:rsid w:val="002C2900"/>
    <w:rsid w:val="002C2DE0"/>
    <w:rsid w:val="002C34DF"/>
    <w:rsid w:val="002C365A"/>
    <w:rsid w:val="002C3867"/>
    <w:rsid w:val="002C3DE5"/>
    <w:rsid w:val="002C3F19"/>
    <w:rsid w:val="002C402E"/>
    <w:rsid w:val="002C4185"/>
    <w:rsid w:val="002C41DE"/>
    <w:rsid w:val="002C441F"/>
    <w:rsid w:val="002C47C5"/>
    <w:rsid w:val="002C49B0"/>
    <w:rsid w:val="002C4B0D"/>
    <w:rsid w:val="002C510E"/>
    <w:rsid w:val="002C5142"/>
    <w:rsid w:val="002C52B9"/>
    <w:rsid w:val="002C5D13"/>
    <w:rsid w:val="002C5DFF"/>
    <w:rsid w:val="002C5E24"/>
    <w:rsid w:val="002C5F40"/>
    <w:rsid w:val="002C6099"/>
    <w:rsid w:val="002C616E"/>
    <w:rsid w:val="002C629B"/>
    <w:rsid w:val="002C62B3"/>
    <w:rsid w:val="002C6439"/>
    <w:rsid w:val="002C64BD"/>
    <w:rsid w:val="002C69AE"/>
    <w:rsid w:val="002C6D7A"/>
    <w:rsid w:val="002C7073"/>
    <w:rsid w:val="002C72D1"/>
    <w:rsid w:val="002D00CD"/>
    <w:rsid w:val="002D0513"/>
    <w:rsid w:val="002D1057"/>
    <w:rsid w:val="002D16C4"/>
    <w:rsid w:val="002D16CB"/>
    <w:rsid w:val="002D17F8"/>
    <w:rsid w:val="002D19B3"/>
    <w:rsid w:val="002D1C2A"/>
    <w:rsid w:val="002D2008"/>
    <w:rsid w:val="002D2009"/>
    <w:rsid w:val="002D2257"/>
    <w:rsid w:val="002D233A"/>
    <w:rsid w:val="002D235F"/>
    <w:rsid w:val="002D2361"/>
    <w:rsid w:val="002D25F7"/>
    <w:rsid w:val="002D2714"/>
    <w:rsid w:val="002D29DF"/>
    <w:rsid w:val="002D30FE"/>
    <w:rsid w:val="002D33E4"/>
    <w:rsid w:val="002D345E"/>
    <w:rsid w:val="002D3561"/>
    <w:rsid w:val="002D3687"/>
    <w:rsid w:val="002D38E5"/>
    <w:rsid w:val="002D397A"/>
    <w:rsid w:val="002D3998"/>
    <w:rsid w:val="002D3A11"/>
    <w:rsid w:val="002D3DDA"/>
    <w:rsid w:val="002D421E"/>
    <w:rsid w:val="002D4334"/>
    <w:rsid w:val="002D4527"/>
    <w:rsid w:val="002D4975"/>
    <w:rsid w:val="002D49DD"/>
    <w:rsid w:val="002D4A31"/>
    <w:rsid w:val="002D4D67"/>
    <w:rsid w:val="002D4DF8"/>
    <w:rsid w:val="002D5146"/>
    <w:rsid w:val="002D522E"/>
    <w:rsid w:val="002D5383"/>
    <w:rsid w:val="002D5860"/>
    <w:rsid w:val="002D5993"/>
    <w:rsid w:val="002D59BE"/>
    <w:rsid w:val="002D5D98"/>
    <w:rsid w:val="002D5DBD"/>
    <w:rsid w:val="002D602D"/>
    <w:rsid w:val="002D608A"/>
    <w:rsid w:val="002D624A"/>
    <w:rsid w:val="002D64F3"/>
    <w:rsid w:val="002D6C92"/>
    <w:rsid w:val="002D7196"/>
    <w:rsid w:val="002D72F3"/>
    <w:rsid w:val="002D7431"/>
    <w:rsid w:val="002D752D"/>
    <w:rsid w:val="002D78F3"/>
    <w:rsid w:val="002D7ADF"/>
    <w:rsid w:val="002D7C44"/>
    <w:rsid w:val="002E0014"/>
    <w:rsid w:val="002E02BD"/>
    <w:rsid w:val="002E0665"/>
    <w:rsid w:val="002E068A"/>
    <w:rsid w:val="002E0B97"/>
    <w:rsid w:val="002E0F7C"/>
    <w:rsid w:val="002E1057"/>
    <w:rsid w:val="002E11E6"/>
    <w:rsid w:val="002E19C1"/>
    <w:rsid w:val="002E1C7E"/>
    <w:rsid w:val="002E1D0B"/>
    <w:rsid w:val="002E1DBC"/>
    <w:rsid w:val="002E1FDB"/>
    <w:rsid w:val="002E20A1"/>
    <w:rsid w:val="002E21E5"/>
    <w:rsid w:val="002E2536"/>
    <w:rsid w:val="002E264B"/>
    <w:rsid w:val="002E2C88"/>
    <w:rsid w:val="002E3320"/>
    <w:rsid w:val="002E337C"/>
    <w:rsid w:val="002E3F8A"/>
    <w:rsid w:val="002E402B"/>
    <w:rsid w:val="002E433D"/>
    <w:rsid w:val="002E48FD"/>
    <w:rsid w:val="002E497D"/>
    <w:rsid w:val="002E49CA"/>
    <w:rsid w:val="002E4F8C"/>
    <w:rsid w:val="002E52F7"/>
    <w:rsid w:val="002E5D5A"/>
    <w:rsid w:val="002E5E3E"/>
    <w:rsid w:val="002E617F"/>
    <w:rsid w:val="002E6265"/>
    <w:rsid w:val="002E6666"/>
    <w:rsid w:val="002E66B1"/>
    <w:rsid w:val="002E6879"/>
    <w:rsid w:val="002E707F"/>
    <w:rsid w:val="002E73EB"/>
    <w:rsid w:val="002E76B5"/>
    <w:rsid w:val="002E7733"/>
    <w:rsid w:val="002E7985"/>
    <w:rsid w:val="002E7AFA"/>
    <w:rsid w:val="002E7F5B"/>
    <w:rsid w:val="002E7F8F"/>
    <w:rsid w:val="002F01E0"/>
    <w:rsid w:val="002F02EA"/>
    <w:rsid w:val="002F0470"/>
    <w:rsid w:val="002F07FC"/>
    <w:rsid w:val="002F0924"/>
    <w:rsid w:val="002F0A73"/>
    <w:rsid w:val="002F0B48"/>
    <w:rsid w:val="002F0D59"/>
    <w:rsid w:val="002F13E6"/>
    <w:rsid w:val="002F1499"/>
    <w:rsid w:val="002F1903"/>
    <w:rsid w:val="002F1AC5"/>
    <w:rsid w:val="002F1D35"/>
    <w:rsid w:val="002F1F9A"/>
    <w:rsid w:val="002F241D"/>
    <w:rsid w:val="002F269E"/>
    <w:rsid w:val="002F3078"/>
    <w:rsid w:val="002F3084"/>
    <w:rsid w:val="002F3225"/>
    <w:rsid w:val="002F3267"/>
    <w:rsid w:val="002F3499"/>
    <w:rsid w:val="002F3600"/>
    <w:rsid w:val="002F375D"/>
    <w:rsid w:val="002F3761"/>
    <w:rsid w:val="002F3C93"/>
    <w:rsid w:val="002F3F23"/>
    <w:rsid w:val="002F4203"/>
    <w:rsid w:val="002F4396"/>
    <w:rsid w:val="002F4657"/>
    <w:rsid w:val="002F4685"/>
    <w:rsid w:val="002F4718"/>
    <w:rsid w:val="002F49B6"/>
    <w:rsid w:val="002F4BF8"/>
    <w:rsid w:val="002F5065"/>
    <w:rsid w:val="002F5094"/>
    <w:rsid w:val="002F5309"/>
    <w:rsid w:val="002F5827"/>
    <w:rsid w:val="002F5B6F"/>
    <w:rsid w:val="002F5BC2"/>
    <w:rsid w:val="002F5C1D"/>
    <w:rsid w:val="002F5D75"/>
    <w:rsid w:val="002F6148"/>
    <w:rsid w:val="002F6ADB"/>
    <w:rsid w:val="002F7027"/>
    <w:rsid w:val="002F73F9"/>
    <w:rsid w:val="002F7A47"/>
    <w:rsid w:val="002F7B2F"/>
    <w:rsid w:val="002F7BF3"/>
    <w:rsid w:val="002F7D93"/>
    <w:rsid w:val="0030009F"/>
    <w:rsid w:val="0030029F"/>
    <w:rsid w:val="003006A7"/>
    <w:rsid w:val="003008D5"/>
    <w:rsid w:val="0030092A"/>
    <w:rsid w:val="00300AB7"/>
    <w:rsid w:val="00300B26"/>
    <w:rsid w:val="00300F5E"/>
    <w:rsid w:val="00300F84"/>
    <w:rsid w:val="00301044"/>
    <w:rsid w:val="003011A0"/>
    <w:rsid w:val="00301FDD"/>
    <w:rsid w:val="003020BD"/>
    <w:rsid w:val="00302273"/>
    <w:rsid w:val="00302277"/>
    <w:rsid w:val="00302288"/>
    <w:rsid w:val="003024B7"/>
    <w:rsid w:val="003027DB"/>
    <w:rsid w:val="003029F9"/>
    <w:rsid w:val="00303162"/>
    <w:rsid w:val="003031E7"/>
    <w:rsid w:val="0030398D"/>
    <w:rsid w:val="00303993"/>
    <w:rsid w:val="003039EF"/>
    <w:rsid w:val="00303BAB"/>
    <w:rsid w:val="00303C1B"/>
    <w:rsid w:val="00303C7B"/>
    <w:rsid w:val="00304259"/>
    <w:rsid w:val="00304B3D"/>
    <w:rsid w:val="00304CFD"/>
    <w:rsid w:val="00304E27"/>
    <w:rsid w:val="0030544F"/>
    <w:rsid w:val="003055CB"/>
    <w:rsid w:val="00305738"/>
    <w:rsid w:val="003057A8"/>
    <w:rsid w:val="003059E3"/>
    <w:rsid w:val="00305A10"/>
    <w:rsid w:val="00305A3C"/>
    <w:rsid w:val="00305C59"/>
    <w:rsid w:val="00305CFC"/>
    <w:rsid w:val="00305F08"/>
    <w:rsid w:val="00306048"/>
    <w:rsid w:val="003062BF"/>
    <w:rsid w:val="00306419"/>
    <w:rsid w:val="003065F7"/>
    <w:rsid w:val="0030661A"/>
    <w:rsid w:val="00306C5C"/>
    <w:rsid w:val="00306E2C"/>
    <w:rsid w:val="00307273"/>
    <w:rsid w:val="0030784D"/>
    <w:rsid w:val="0030798F"/>
    <w:rsid w:val="00307B5A"/>
    <w:rsid w:val="00307D79"/>
    <w:rsid w:val="00307E3D"/>
    <w:rsid w:val="00307FCB"/>
    <w:rsid w:val="0031027E"/>
    <w:rsid w:val="003105DB"/>
    <w:rsid w:val="003107C2"/>
    <w:rsid w:val="00310A6A"/>
    <w:rsid w:val="003113D0"/>
    <w:rsid w:val="00311B84"/>
    <w:rsid w:val="00311D19"/>
    <w:rsid w:val="00311E45"/>
    <w:rsid w:val="00311F19"/>
    <w:rsid w:val="00311FFB"/>
    <w:rsid w:val="003122C4"/>
    <w:rsid w:val="00312532"/>
    <w:rsid w:val="00312ADE"/>
    <w:rsid w:val="00312B86"/>
    <w:rsid w:val="00313B34"/>
    <w:rsid w:val="00313E3F"/>
    <w:rsid w:val="00313E4A"/>
    <w:rsid w:val="00314B45"/>
    <w:rsid w:val="00314FEE"/>
    <w:rsid w:val="0031514C"/>
    <w:rsid w:val="00315588"/>
    <w:rsid w:val="0031565B"/>
    <w:rsid w:val="0031587B"/>
    <w:rsid w:val="00315A25"/>
    <w:rsid w:val="00315ADA"/>
    <w:rsid w:val="00315C4E"/>
    <w:rsid w:val="00315FB0"/>
    <w:rsid w:val="0031601D"/>
    <w:rsid w:val="003160C0"/>
    <w:rsid w:val="003163F8"/>
    <w:rsid w:val="003164E5"/>
    <w:rsid w:val="003169FE"/>
    <w:rsid w:val="00317025"/>
    <w:rsid w:val="0031712F"/>
    <w:rsid w:val="0031715A"/>
    <w:rsid w:val="0031730F"/>
    <w:rsid w:val="003174B4"/>
    <w:rsid w:val="0031784F"/>
    <w:rsid w:val="00317881"/>
    <w:rsid w:val="00317982"/>
    <w:rsid w:val="003179FD"/>
    <w:rsid w:val="00317C55"/>
    <w:rsid w:val="00317FEC"/>
    <w:rsid w:val="00320044"/>
    <w:rsid w:val="0032007D"/>
    <w:rsid w:val="00320666"/>
    <w:rsid w:val="003207F1"/>
    <w:rsid w:val="003209B7"/>
    <w:rsid w:val="00320DF2"/>
    <w:rsid w:val="00320E1E"/>
    <w:rsid w:val="00320E63"/>
    <w:rsid w:val="00321457"/>
    <w:rsid w:val="00321529"/>
    <w:rsid w:val="0032183A"/>
    <w:rsid w:val="0032187A"/>
    <w:rsid w:val="00321F2F"/>
    <w:rsid w:val="00321FE3"/>
    <w:rsid w:val="0032216E"/>
    <w:rsid w:val="003223F9"/>
    <w:rsid w:val="00322406"/>
    <w:rsid w:val="0032254C"/>
    <w:rsid w:val="0032260E"/>
    <w:rsid w:val="003229BF"/>
    <w:rsid w:val="00322B55"/>
    <w:rsid w:val="00323437"/>
    <w:rsid w:val="0032347F"/>
    <w:rsid w:val="003234CA"/>
    <w:rsid w:val="00323613"/>
    <w:rsid w:val="0032426F"/>
    <w:rsid w:val="00324873"/>
    <w:rsid w:val="00324CE8"/>
    <w:rsid w:val="00324E58"/>
    <w:rsid w:val="00324EE3"/>
    <w:rsid w:val="00324FB4"/>
    <w:rsid w:val="003250AD"/>
    <w:rsid w:val="003251A0"/>
    <w:rsid w:val="003252B7"/>
    <w:rsid w:val="003255CA"/>
    <w:rsid w:val="003258E9"/>
    <w:rsid w:val="00325B66"/>
    <w:rsid w:val="00326350"/>
    <w:rsid w:val="00326589"/>
    <w:rsid w:val="003268DD"/>
    <w:rsid w:val="00327169"/>
    <w:rsid w:val="00327272"/>
    <w:rsid w:val="00327284"/>
    <w:rsid w:val="0032735B"/>
    <w:rsid w:val="00327AD6"/>
    <w:rsid w:val="00327AE5"/>
    <w:rsid w:val="00327BDD"/>
    <w:rsid w:val="00327D3D"/>
    <w:rsid w:val="00327F70"/>
    <w:rsid w:val="003301F1"/>
    <w:rsid w:val="0033072B"/>
    <w:rsid w:val="00330851"/>
    <w:rsid w:val="00330863"/>
    <w:rsid w:val="00330C6E"/>
    <w:rsid w:val="00331487"/>
    <w:rsid w:val="0033151F"/>
    <w:rsid w:val="003315F6"/>
    <w:rsid w:val="003316A1"/>
    <w:rsid w:val="00331881"/>
    <w:rsid w:val="00331AD5"/>
    <w:rsid w:val="00331BEE"/>
    <w:rsid w:val="00331EDC"/>
    <w:rsid w:val="00331FFE"/>
    <w:rsid w:val="0033211B"/>
    <w:rsid w:val="0033222E"/>
    <w:rsid w:val="0033295F"/>
    <w:rsid w:val="0033355F"/>
    <w:rsid w:val="003335EF"/>
    <w:rsid w:val="00333636"/>
    <w:rsid w:val="003336F0"/>
    <w:rsid w:val="003336FB"/>
    <w:rsid w:val="0033391A"/>
    <w:rsid w:val="003339D1"/>
    <w:rsid w:val="00333AB1"/>
    <w:rsid w:val="003341AC"/>
    <w:rsid w:val="003342E8"/>
    <w:rsid w:val="0033444C"/>
    <w:rsid w:val="0033479E"/>
    <w:rsid w:val="0033479F"/>
    <w:rsid w:val="00334C19"/>
    <w:rsid w:val="00335154"/>
    <w:rsid w:val="00335542"/>
    <w:rsid w:val="0033584C"/>
    <w:rsid w:val="00335A0C"/>
    <w:rsid w:val="00335AAF"/>
    <w:rsid w:val="00335C78"/>
    <w:rsid w:val="00335E8B"/>
    <w:rsid w:val="00335F40"/>
    <w:rsid w:val="0033635D"/>
    <w:rsid w:val="003364CC"/>
    <w:rsid w:val="003366A6"/>
    <w:rsid w:val="00336756"/>
    <w:rsid w:val="0033687E"/>
    <w:rsid w:val="00336926"/>
    <w:rsid w:val="00336AEE"/>
    <w:rsid w:val="00336B96"/>
    <w:rsid w:val="00336CA4"/>
    <w:rsid w:val="00336E81"/>
    <w:rsid w:val="00336F72"/>
    <w:rsid w:val="0033712F"/>
    <w:rsid w:val="003375C3"/>
    <w:rsid w:val="00337768"/>
    <w:rsid w:val="00337AEC"/>
    <w:rsid w:val="00337BEE"/>
    <w:rsid w:val="00337E08"/>
    <w:rsid w:val="00337E59"/>
    <w:rsid w:val="003401ED"/>
    <w:rsid w:val="0034064C"/>
    <w:rsid w:val="00340781"/>
    <w:rsid w:val="00340A20"/>
    <w:rsid w:val="00340C51"/>
    <w:rsid w:val="00340E23"/>
    <w:rsid w:val="00340F2F"/>
    <w:rsid w:val="00341005"/>
    <w:rsid w:val="0034145C"/>
    <w:rsid w:val="003416D9"/>
    <w:rsid w:val="0034178C"/>
    <w:rsid w:val="00341B73"/>
    <w:rsid w:val="00341C5E"/>
    <w:rsid w:val="00341D7C"/>
    <w:rsid w:val="00341E8D"/>
    <w:rsid w:val="003421CC"/>
    <w:rsid w:val="00342802"/>
    <w:rsid w:val="00342DC3"/>
    <w:rsid w:val="0034324F"/>
    <w:rsid w:val="0034342B"/>
    <w:rsid w:val="003436D8"/>
    <w:rsid w:val="00343A13"/>
    <w:rsid w:val="00343BFA"/>
    <w:rsid w:val="00343C37"/>
    <w:rsid w:val="00343CCA"/>
    <w:rsid w:val="00343D43"/>
    <w:rsid w:val="003443CA"/>
    <w:rsid w:val="0034481F"/>
    <w:rsid w:val="00344B2C"/>
    <w:rsid w:val="00344F5D"/>
    <w:rsid w:val="00345021"/>
    <w:rsid w:val="003452BF"/>
    <w:rsid w:val="0034575E"/>
    <w:rsid w:val="00345C1A"/>
    <w:rsid w:val="00345EBA"/>
    <w:rsid w:val="00345FF5"/>
    <w:rsid w:val="003463AD"/>
    <w:rsid w:val="0034669A"/>
    <w:rsid w:val="00346D8A"/>
    <w:rsid w:val="00346F20"/>
    <w:rsid w:val="0034701D"/>
    <w:rsid w:val="003470C2"/>
    <w:rsid w:val="0034740A"/>
    <w:rsid w:val="00347495"/>
    <w:rsid w:val="00347534"/>
    <w:rsid w:val="00347790"/>
    <w:rsid w:val="00347998"/>
    <w:rsid w:val="00347F8D"/>
    <w:rsid w:val="00347FAB"/>
    <w:rsid w:val="0035027B"/>
    <w:rsid w:val="0035056B"/>
    <w:rsid w:val="00350CF3"/>
    <w:rsid w:val="00350E54"/>
    <w:rsid w:val="003510D7"/>
    <w:rsid w:val="003511CD"/>
    <w:rsid w:val="003512CF"/>
    <w:rsid w:val="003518E6"/>
    <w:rsid w:val="00351AC2"/>
    <w:rsid w:val="00351DD0"/>
    <w:rsid w:val="0035202D"/>
    <w:rsid w:val="0035223A"/>
    <w:rsid w:val="00352526"/>
    <w:rsid w:val="00352558"/>
    <w:rsid w:val="0035273E"/>
    <w:rsid w:val="003531C7"/>
    <w:rsid w:val="003537C1"/>
    <w:rsid w:val="00353B99"/>
    <w:rsid w:val="00353BF2"/>
    <w:rsid w:val="00353CB0"/>
    <w:rsid w:val="00353F26"/>
    <w:rsid w:val="0035406A"/>
    <w:rsid w:val="0035412D"/>
    <w:rsid w:val="003546BC"/>
    <w:rsid w:val="0035489D"/>
    <w:rsid w:val="00354950"/>
    <w:rsid w:val="00354CAC"/>
    <w:rsid w:val="00354E0E"/>
    <w:rsid w:val="00354F0E"/>
    <w:rsid w:val="00355465"/>
    <w:rsid w:val="003557BA"/>
    <w:rsid w:val="00355954"/>
    <w:rsid w:val="00355A6F"/>
    <w:rsid w:val="00355B1D"/>
    <w:rsid w:val="00355D08"/>
    <w:rsid w:val="00355DAC"/>
    <w:rsid w:val="00356039"/>
    <w:rsid w:val="003560C4"/>
    <w:rsid w:val="003560D2"/>
    <w:rsid w:val="003564F2"/>
    <w:rsid w:val="00356510"/>
    <w:rsid w:val="003567A2"/>
    <w:rsid w:val="00356A5C"/>
    <w:rsid w:val="00356AC5"/>
    <w:rsid w:val="00356BB7"/>
    <w:rsid w:val="003571CD"/>
    <w:rsid w:val="0035786D"/>
    <w:rsid w:val="00357938"/>
    <w:rsid w:val="00357985"/>
    <w:rsid w:val="003579BF"/>
    <w:rsid w:val="00357B9F"/>
    <w:rsid w:val="00357C53"/>
    <w:rsid w:val="00357F46"/>
    <w:rsid w:val="0036091F"/>
    <w:rsid w:val="00361028"/>
    <w:rsid w:val="003610A4"/>
    <w:rsid w:val="0036165F"/>
    <w:rsid w:val="00361719"/>
    <w:rsid w:val="00361728"/>
    <w:rsid w:val="0036189E"/>
    <w:rsid w:val="00361E0E"/>
    <w:rsid w:val="00362177"/>
    <w:rsid w:val="003622A7"/>
    <w:rsid w:val="0036237E"/>
    <w:rsid w:val="00362677"/>
    <w:rsid w:val="00362855"/>
    <w:rsid w:val="00362B41"/>
    <w:rsid w:val="0036306B"/>
    <w:rsid w:val="003635FF"/>
    <w:rsid w:val="003638C3"/>
    <w:rsid w:val="00363AD4"/>
    <w:rsid w:val="00363B0B"/>
    <w:rsid w:val="00363D15"/>
    <w:rsid w:val="00363D28"/>
    <w:rsid w:val="00363DBD"/>
    <w:rsid w:val="003640F7"/>
    <w:rsid w:val="00364990"/>
    <w:rsid w:val="00364AE4"/>
    <w:rsid w:val="003650FF"/>
    <w:rsid w:val="0036517D"/>
    <w:rsid w:val="00365385"/>
    <w:rsid w:val="003656CE"/>
    <w:rsid w:val="0036597B"/>
    <w:rsid w:val="00365A08"/>
    <w:rsid w:val="00365D8E"/>
    <w:rsid w:val="00365E3E"/>
    <w:rsid w:val="00365FC2"/>
    <w:rsid w:val="003669F4"/>
    <w:rsid w:val="00366BE0"/>
    <w:rsid w:val="00366DD5"/>
    <w:rsid w:val="003670B6"/>
    <w:rsid w:val="003673A0"/>
    <w:rsid w:val="00367508"/>
    <w:rsid w:val="003678D4"/>
    <w:rsid w:val="00367AD4"/>
    <w:rsid w:val="00367B59"/>
    <w:rsid w:val="00367BC2"/>
    <w:rsid w:val="003703F0"/>
    <w:rsid w:val="0037067A"/>
    <w:rsid w:val="003707A4"/>
    <w:rsid w:val="00370828"/>
    <w:rsid w:val="003709FA"/>
    <w:rsid w:val="0037132E"/>
    <w:rsid w:val="003714D3"/>
    <w:rsid w:val="00371B0D"/>
    <w:rsid w:val="00371B8F"/>
    <w:rsid w:val="00371F7C"/>
    <w:rsid w:val="0037215E"/>
    <w:rsid w:val="003721DB"/>
    <w:rsid w:val="003721F0"/>
    <w:rsid w:val="0037228D"/>
    <w:rsid w:val="003722C6"/>
    <w:rsid w:val="003723DF"/>
    <w:rsid w:val="0037247E"/>
    <w:rsid w:val="00372589"/>
    <w:rsid w:val="00372CE6"/>
    <w:rsid w:val="00372F33"/>
    <w:rsid w:val="00372FF7"/>
    <w:rsid w:val="00373232"/>
    <w:rsid w:val="00373319"/>
    <w:rsid w:val="0037374D"/>
    <w:rsid w:val="00373804"/>
    <w:rsid w:val="003738BE"/>
    <w:rsid w:val="00373DE4"/>
    <w:rsid w:val="00374009"/>
    <w:rsid w:val="00374126"/>
    <w:rsid w:val="00374315"/>
    <w:rsid w:val="00374482"/>
    <w:rsid w:val="00374577"/>
    <w:rsid w:val="003747AD"/>
    <w:rsid w:val="00374B60"/>
    <w:rsid w:val="00374CBE"/>
    <w:rsid w:val="00375011"/>
    <w:rsid w:val="003750DD"/>
    <w:rsid w:val="003754E8"/>
    <w:rsid w:val="003758BF"/>
    <w:rsid w:val="003758CA"/>
    <w:rsid w:val="00375F52"/>
    <w:rsid w:val="00376100"/>
    <w:rsid w:val="00376267"/>
    <w:rsid w:val="003763B2"/>
    <w:rsid w:val="00376785"/>
    <w:rsid w:val="00376CC0"/>
    <w:rsid w:val="00376DE1"/>
    <w:rsid w:val="00376FFE"/>
    <w:rsid w:val="003770A9"/>
    <w:rsid w:val="00377357"/>
    <w:rsid w:val="0037737A"/>
    <w:rsid w:val="003777AE"/>
    <w:rsid w:val="003779CC"/>
    <w:rsid w:val="00377FDA"/>
    <w:rsid w:val="003801B9"/>
    <w:rsid w:val="003802A5"/>
    <w:rsid w:val="003806E9"/>
    <w:rsid w:val="00380786"/>
    <w:rsid w:val="00380B7C"/>
    <w:rsid w:val="00380DA3"/>
    <w:rsid w:val="00380F6A"/>
    <w:rsid w:val="003810DA"/>
    <w:rsid w:val="003811C1"/>
    <w:rsid w:val="00381757"/>
    <w:rsid w:val="00381A24"/>
    <w:rsid w:val="00381B93"/>
    <w:rsid w:val="00381F20"/>
    <w:rsid w:val="003822FB"/>
    <w:rsid w:val="003827E7"/>
    <w:rsid w:val="0038286C"/>
    <w:rsid w:val="00382D11"/>
    <w:rsid w:val="00382D2E"/>
    <w:rsid w:val="003831E3"/>
    <w:rsid w:val="00383AAE"/>
    <w:rsid w:val="00383E4E"/>
    <w:rsid w:val="003840D3"/>
    <w:rsid w:val="0038417E"/>
    <w:rsid w:val="003847E4"/>
    <w:rsid w:val="003848E5"/>
    <w:rsid w:val="00384A86"/>
    <w:rsid w:val="003850F4"/>
    <w:rsid w:val="00385709"/>
    <w:rsid w:val="00385BD3"/>
    <w:rsid w:val="00385BFD"/>
    <w:rsid w:val="00385F64"/>
    <w:rsid w:val="0038611F"/>
    <w:rsid w:val="00386971"/>
    <w:rsid w:val="00386997"/>
    <w:rsid w:val="00386D00"/>
    <w:rsid w:val="00386D9A"/>
    <w:rsid w:val="00386F0C"/>
    <w:rsid w:val="00386F9A"/>
    <w:rsid w:val="00387287"/>
    <w:rsid w:val="00387376"/>
    <w:rsid w:val="00387466"/>
    <w:rsid w:val="00387486"/>
    <w:rsid w:val="003875E8"/>
    <w:rsid w:val="00387C24"/>
    <w:rsid w:val="00387E71"/>
    <w:rsid w:val="0039092B"/>
    <w:rsid w:val="00391284"/>
    <w:rsid w:val="00391701"/>
    <w:rsid w:val="00391A18"/>
    <w:rsid w:val="00391B06"/>
    <w:rsid w:val="00391E84"/>
    <w:rsid w:val="00391F78"/>
    <w:rsid w:val="00392188"/>
    <w:rsid w:val="00392560"/>
    <w:rsid w:val="003927CA"/>
    <w:rsid w:val="00392E99"/>
    <w:rsid w:val="00393241"/>
    <w:rsid w:val="00393350"/>
    <w:rsid w:val="00393837"/>
    <w:rsid w:val="003942EE"/>
    <w:rsid w:val="00394C21"/>
    <w:rsid w:val="003950B7"/>
    <w:rsid w:val="0039516A"/>
    <w:rsid w:val="00395313"/>
    <w:rsid w:val="0039547D"/>
    <w:rsid w:val="003954AC"/>
    <w:rsid w:val="00395AFF"/>
    <w:rsid w:val="00395FC2"/>
    <w:rsid w:val="0039626C"/>
    <w:rsid w:val="003963B5"/>
    <w:rsid w:val="00396601"/>
    <w:rsid w:val="0039691B"/>
    <w:rsid w:val="003969A3"/>
    <w:rsid w:val="00396CA7"/>
    <w:rsid w:val="00396DC3"/>
    <w:rsid w:val="00396EB2"/>
    <w:rsid w:val="003970BC"/>
    <w:rsid w:val="003971BF"/>
    <w:rsid w:val="003976F9"/>
    <w:rsid w:val="003977F6"/>
    <w:rsid w:val="0039788B"/>
    <w:rsid w:val="00397AAF"/>
    <w:rsid w:val="00397AC4"/>
    <w:rsid w:val="00397DE6"/>
    <w:rsid w:val="003A01F2"/>
    <w:rsid w:val="003A03A5"/>
    <w:rsid w:val="003A05EF"/>
    <w:rsid w:val="003A0609"/>
    <w:rsid w:val="003A0785"/>
    <w:rsid w:val="003A08D6"/>
    <w:rsid w:val="003A0FAF"/>
    <w:rsid w:val="003A102F"/>
    <w:rsid w:val="003A11EA"/>
    <w:rsid w:val="003A159C"/>
    <w:rsid w:val="003A171F"/>
    <w:rsid w:val="003A1BD2"/>
    <w:rsid w:val="003A1BE9"/>
    <w:rsid w:val="003A1C9A"/>
    <w:rsid w:val="003A26AC"/>
    <w:rsid w:val="003A2789"/>
    <w:rsid w:val="003A3079"/>
    <w:rsid w:val="003A3228"/>
    <w:rsid w:val="003A335A"/>
    <w:rsid w:val="003A3403"/>
    <w:rsid w:val="003A3423"/>
    <w:rsid w:val="003A3916"/>
    <w:rsid w:val="003A4074"/>
    <w:rsid w:val="003A4433"/>
    <w:rsid w:val="003A466E"/>
    <w:rsid w:val="003A46A8"/>
    <w:rsid w:val="003A5219"/>
    <w:rsid w:val="003A5299"/>
    <w:rsid w:val="003A5372"/>
    <w:rsid w:val="003A54A5"/>
    <w:rsid w:val="003A592A"/>
    <w:rsid w:val="003A5B9D"/>
    <w:rsid w:val="003A6820"/>
    <w:rsid w:val="003A68B4"/>
    <w:rsid w:val="003A68FF"/>
    <w:rsid w:val="003A6A31"/>
    <w:rsid w:val="003A6B72"/>
    <w:rsid w:val="003A6FFD"/>
    <w:rsid w:val="003A70F8"/>
    <w:rsid w:val="003A7286"/>
    <w:rsid w:val="003A747A"/>
    <w:rsid w:val="003A77C8"/>
    <w:rsid w:val="003A7ADB"/>
    <w:rsid w:val="003A7B9C"/>
    <w:rsid w:val="003A7D93"/>
    <w:rsid w:val="003A7EF7"/>
    <w:rsid w:val="003A7F91"/>
    <w:rsid w:val="003B0301"/>
    <w:rsid w:val="003B0440"/>
    <w:rsid w:val="003B0455"/>
    <w:rsid w:val="003B0971"/>
    <w:rsid w:val="003B0B3E"/>
    <w:rsid w:val="003B0DCD"/>
    <w:rsid w:val="003B0E68"/>
    <w:rsid w:val="003B0F09"/>
    <w:rsid w:val="003B11C3"/>
    <w:rsid w:val="003B1355"/>
    <w:rsid w:val="003B17C5"/>
    <w:rsid w:val="003B17C9"/>
    <w:rsid w:val="003B1B69"/>
    <w:rsid w:val="003B1BA8"/>
    <w:rsid w:val="003B1E14"/>
    <w:rsid w:val="003B215C"/>
    <w:rsid w:val="003B21CA"/>
    <w:rsid w:val="003B2233"/>
    <w:rsid w:val="003B29A9"/>
    <w:rsid w:val="003B2A79"/>
    <w:rsid w:val="003B2C9E"/>
    <w:rsid w:val="003B2FDF"/>
    <w:rsid w:val="003B3170"/>
    <w:rsid w:val="003B32FC"/>
    <w:rsid w:val="003B33BD"/>
    <w:rsid w:val="003B35CF"/>
    <w:rsid w:val="003B3F1D"/>
    <w:rsid w:val="003B3F7B"/>
    <w:rsid w:val="003B3F8B"/>
    <w:rsid w:val="003B407E"/>
    <w:rsid w:val="003B4345"/>
    <w:rsid w:val="003B442B"/>
    <w:rsid w:val="003B45DC"/>
    <w:rsid w:val="003B45E9"/>
    <w:rsid w:val="003B4670"/>
    <w:rsid w:val="003B4C5F"/>
    <w:rsid w:val="003B4D2B"/>
    <w:rsid w:val="003B4DEC"/>
    <w:rsid w:val="003B4FF0"/>
    <w:rsid w:val="003B52D9"/>
    <w:rsid w:val="003B54FD"/>
    <w:rsid w:val="003B573E"/>
    <w:rsid w:val="003B5C2D"/>
    <w:rsid w:val="003B5ECB"/>
    <w:rsid w:val="003B6162"/>
    <w:rsid w:val="003B6435"/>
    <w:rsid w:val="003B6502"/>
    <w:rsid w:val="003B6528"/>
    <w:rsid w:val="003B6735"/>
    <w:rsid w:val="003B68DF"/>
    <w:rsid w:val="003B695E"/>
    <w:rsid w:val="003B6E55"/>
    <w:rsid w:val="003B6EC7"/>
    <w:rsid w:val="003B7016"/>
    <w:rsid w:val="003B7340"/>
    <w:rsid w:val="003B75F4"/>
    <w:rsid w:val="003B7A89"/>
    <w:rsid w:val="003C0165"/>
    <w:rsid w:val="003C01DD"/>
    <w:rsid w:val="003C0371"/>
    <w:rsid w:val="003C03EE"/>
    <w:rsid w:val="003C0446"/>
    <w:rsid w:val="003C0568"/>
    <w:rsid w:val="003C0C73"/>
    <w:rsid w:val="003C0EA7"/>
    <w:rsid w:val="003C0F7A"/>
    <w:rsid w:val="003C10FE"/>
    <w:rsid w:val="003C1611"/>
    <w:rsid w:val="003C1C76"/>
    <w:rsid w:val="003C1F1C"/>
    <w:rsid w:val="003C1F2C"/>
    <w:rsid w:val="003C2578"/>
    <w:rsid w:val="003C290D"/>
    <w:rsid w:val="003C2BF3"/>
    <w:rsid w:val="003C2D66"/>
    <w:rsid w:val="003C2E6C"/>
    <w:rsid w:val="003C2F90"/>
    <w:rsid w:val="003C301D"/>
    <w:rsid w:val="003C31E0"/>
    <w:rsid w:val="003C32EB"/>
    <w:rsid w:val="003C33E1"/>
    <w:rsid w:val="003C3B22"/>
    <w:rsid w:val="003C3E2F"/>
    <w:rsid w:val="003C3F24"/>
    <w:rsid w:val="003C4791"/>
    <w:rsid w:val="003C4B11"/>
    <w:rsid w:val="003C4FE3"/>
    <w:rsid w:val="003C500C"/>
    <w:rsid w:val="003C5620"/>
    <w:rsid w:val="003C57C7"/>
    <w:rsid w:val="003C583B"/>
    <w:rsid w:val="003C586A"/>
    <w:rsid w:val="003C5AB9"/>
    <w:rsid w:val="003C5F35"/>
    <w:rsid w:val="003C6499"/>
    <w:rsid w:val="003C64D3"/>
    <w:rsid w:val="003C681C"/>
    <w:rsid w:val="003C7188"/>
    <w:rsid w:val="003C730F"/>
    <w:rsid w:val="003C7861"/>
    <w:rsid w:val="003C7C1A"/>
    <w:rsid w:val="003C7DB7"/>
    <w:rsid w:val="003C7EE4"/>
    <w:rsid w:val="003D0AC1"/>
    <w:rsid w:val="003D0BA2"/>
    <w:rsid w:val="003D0C4C"/>
    <w:rsid w:val="003D0CC2"/>
    <w:rsid w:val="003D12D5"/>
    <w:rsid w:val="003D1951"/>
    <w:rsid w:val="003D227B"/>
    <w:rsid w:val="003D2308"/>
    <w:rsid w:val="003D27BD"/>
    <w:rsid w:val="003D2C23"/>
    <w:rsid w:val="003D2D7E"/>
    <w:rsid w:val="003D359F"/>
    <w:rsid w:val="003D3C25"/>
    <w:rsid w:val="003D3CDD"/>
    <w:rsid w:val="003D3E2D"/>
    <w:rsid w:val="003D445B"/>
    <w:rsid w:val="003D461A"/>
    <w:rsid w:val="003D4868"/>
    <w:rsid w:val="003D48FA"/>
    <w:rsid w:val="003D4903"/>
    <w:rsid w:val="003D4A6D"/>
    <w:rsid w:val="003D4CF9"/>
    <w:rsid w:val="003D4D93"/>
    <w:rsid w:val="003D53D6"/>
    <w:rsid w:val="003D5B3A"/>
    <w:rsid w:val="003D5B9E"/>
    <w:rsid w:val="003D5BAA"/>
    <w:rsid w:val="003D5F12"/>
    <w:rsid w:val="003D6135"/>
    <w:rsid w:val="003D6462"/>
    <w:rsid w:val="003D68B7"/>
    <w:rsid w:val="003D6AA5"/>
    <w:rsid w:val="003D6AD1"/>
    <w:rsid w:val="003D6C8A"/>
    <w:rsid w:val="003D6E31"/>
    <w:rsid w:val="003D6E53"/>
    <w:rsid w:val="003D6FE3"/>
    <w:rsid w:val="003D7262"/>
    <w:rsid w:val="003D7521"/>
    <w:rsid w:val="003D76C3"/>
    <w:rsid w:val="003D77D8"/>
    <w:rsid w:val="003D7DA2"/>
    <w:rsid w:val="003E0327"/>
    <w:rsid w:val="003E03CE"/>
    <w:rsid w:val="003E0954"/>
    <w:rsid w:val="003E09B9"/>
    <w:rsid w:val="003E0A01"/>
    <w:rsid w:val="003E0CDB"/>
    <w:rsid w:val="003E0E84"/>
    <w:rsid w:val="003E1000"/>
    <w:rsid w:val="003E15B4"/>
    <w:rsid w:val="003E1B76"/>
    <w:rsid w:val="003E1C96"/>
    <w:rsid w:val="003E1CBA"/>
    <w:rsid w:val="003E1F71"/>
    <w:rsid w:val="003E2279"/>
    <w:rsid w:val="003E2289"/>
    <w:rsid w:val="003E2390"/>
    <w:rsid w:val="003E2428"/>
    <w:rsid w:val="003E25A6"/>
    <w:rsid w:val="003E25D4"/>
    <w:rsid w:val="003E266B"/>
    <w:rsid w:val="003E29DE"/>
    <w:rsid w:val="003E2A25"/>
    <w:rsid w:val="003E2B56"/>
    <w:rsid w:val="003E2BFF"/>
    <w:rsid w:val="003E2F12"/>
    <w:rsid w:val="003E322C"/>
    <w:rsid w:val="003E3682"/>
    <w:rsid w:val="003E3A31"/>
    <w:rsid w:val="003E3ABA"/>
    <w:rsid w:val="003E3E49"/>
    <w:rsid w:val="003E4095"/>
    <w:rsid w:val="003E4345"/>
    <w:rsid w:val="003E455D"/>
    <w:rsid w:val="003E46D5"/>
    <w:rsid w:val="003E4957"/>
    <w:rsid w:val="003E4B9D"/>
    <w:rsid w:val="003E4C9D"/>
    <w:rsid w:val="003E524D"/>
    <w:rsid w:val="003E544F"/>
    <w:rsid w:val="003E5554"/>
    <w:rsid w:val="003E5768"/>
    <w:rsid w:val="003E5B2E"/>
    <w:rsid w:val="003E5C8B"/>
    <w:rsid w:val="003E6089"/>
    <w:rsid w:val="003E6852"/>
    <w:rsid w:val="003E6C04"/>
    <w:rsid w:val="003E7392"/>
    <w:rsid w:val="003E73EB"/>
    <w:rsid w:val="003E74DF"/>
    <w:rsid w:val="003E785A"/>
    <w:rsid w:val="003E7860"/>
    <w:rsid w:val="003E7D66"/>
    <w:rsid w:val="003E7D93"/>
    <w:rsid w:val="003E7E3D"/>
    <w:rsid w:val="003F015D"/>
    <w:rsid w:val="003F05F5"/>
    <w:rsid w:val="003F0771"/>
    <w:rsid w:val="003F084D"/>
    <w:rsid w:val="003F0C0E"/>
    <w:rsid w:val="003F0C2A"/>
    <w:rsid w:val="003F0DBE"/>
    <w:rsid w:val="003F0EAD"/>
    <w:rsid w:val="003F0F21"/>
    <w:rsid w:val="003F1173"/>
    <w:rsid w:val="003F123E"/>
    <w:rsid w:val="003F13B3"/>
    <w:rsid w:val="003F1796"/>
    <w:rsid w:val="003F1D87"/>
    <w:rsid w:val="003F22CA"/>
    <w:rsid w:val="003F2425"/>
    <w:rsid w:val="003F243F"/>
    <w:rsid w:val="003F274D"/>
    <w:rsid w:val="003F27C6"/>
    <w:rsid w:val="003F2900"/>
    <w:rsid w:val="003F2B83"/>
    <w:rsid w:val="003F2D3D"/>
    <w:rsid w:val="003F2D42"/>
    <w:rsid w:val="003F2F36"/>
    <w:rsid w:val="003F2F54"/>
    <w:rsid w:val="003F3430"/>
    <w:rsid w:val="003F354C"/>
    <w:rsid w:val="003F3AE0"/>
    <w:rsid w:val="003F3BC5"/>
    <w:rsid w:val="003F3BEB"/>
    <w:rsid w:val="003F3C0B"/>
    <w:rsid w:val="003F3D7A"/>
    <w:rsid w:val="003F3E9B"/>
    <w:rsid w:val="003F418D"/>
    <w:rsid w:val="003F432F"/>
    <w:rsid w:val="003F45A6"/>
    <w:rsid w:val="003F4664"/>
    <w:rsid w:val="003F492C"/>
    <w:rsid w:val="003F4C68"/>
    <w:rsid w:val="003F4CA9"/>
    <w:rsid w:val="003F4F58"/>
    <w:rsid w:val="003F5615"/>
    <w:rsid w:val="003F56A9"/>
    <w:rsid w:val="003F56BF"/>
    <w:rsid w:val="003F5A03"/>
    <w:rsid w:val="003F61D9"/>
    <w:rsid w:val="003F6248"/>
    <w:rsid w:val="003F6490"/>
    <w:rsid w:val="003F6B69"/>
    <w:rsid w:val="003F6DAE"/>
    <w:rsid w:val="003F6F0D"/>
    <w:rsid w:val="003F7121"/>
    <w:rsid w:val="003F7169"/>
    <w:rsid w:val="003F747A"/>
    <w:rsid w:val="003F7636"/>
    <w:rsid w:val="003F76FE"/>
    <w:rsid w:val="003F77BC"/>
    <w:rsid w:val="003F77C3"/>
    <w:rsid w:val="003F786D"/>
    <w:rsid w:val="003F79CA"/>
    <w:rsid w:val="003F7A29"/>
    <w:rsid w:val="003F7AE8"/>
    <w:rsid w:val="003F7FD9"/>
    <w:rsid w:val="00400132"/>
    <w:rsid w:val="0040014B"/>
    <w:rsid w:val="0040016C"/>
    <w:rsid w:val="00400171"/>
    <w:rsid w:val="0040039E"/>
    <w:rsid w:val="00400667"/>
    <w:rsid w:val="00400802"/>
    <w:rsid w:val="00400BA3"/>
    <w:rsid w:val="00400E97"/>
    <w:rsid w:val="00400EC8"/>
    <w:rsid w:val="00401103"/>
    <w:rsid w:val="0040122B"/>
    <w:rsid w:val="00401896"/>
    <w:rsid w:val="00401C4A"/>
    <w:rsid w:val="00401F01"/>
    <w:rsid w:val="004024C9"/>
    <w:rsid w:val="004024E8"/>
    <w:rsid w:val="0040253E"/>
    <w:rsid w:val="004025A9"/>
    <w:rsid w:val="00402743"/>
    <w:rsid w:val="00402B8A"/>
    <w:rsid w:val="00402C51"/>
    <w:rsid w:val="00402D28"/>
    <w:rsid w:val="00402EF3"/>
    <w:rsid w:val="00403476"/>
    <w:rsid w:val="00403B42"/>
    <w:rsid w:val="00403EA8"/>
    <w:rsid w:val="00403F1C"/>
    <w:rsid w:val="0040498B"/>
    <w:rsid w:val="00404D1F"/>
    <w:rsid w:val="00404D7A"/>
    <w:rsid w:val="00404E17"/>
    <w:rsid w:val="00405459"/>
    <w:rsid w:val="00405643"/>
    <w:rsid w:val="00405E60"/>
    <w:rsid w:val="00406452"/>
    <w:rsid w:val="00406578"/>
    <w:rsid w:val="00406995"/>
    <w:rsid w:val="00406CA5"/>
    <w:rsid w:val="00406CF8"/>
    <w:rsid w:val="004070AE"/>
    <w:rsid w:val="00407483"/>
    <w:rsid w:val="00407586"/>
    <w:rsid w:val="0040793A"/>
    <w:rsid w:val="00407C7F"/>
    <w:rsid w:val="00407CE5"/>
    <w:rsid w:val="00407F68"/>
    <w:rsid w:val="00407FDB"/>
    <w:rsid w:val="00410429"/>
    <w:rsid w:val="00410830"/>
    <w:rsid w:val="00410E04"/>
    <w:rsid w:val="00410E7B"/>
    <w:rsid w:val="0041108A"/>
    <w:rsid w:val="004113D4"/>
    <w:rsid w:val="00411D2C"/>
    <w:rsid w:val="00411F1C"/>
    <w:rsid w:val="00411F4F"/>
    <w:rsid w:val="004123CF"/>
    <w:rsid w:val="00412721"/>
    <w:rsid w:val="00412A28"/>
    <w:rsid w:val="00412BCE"/>
    <w:rsid w:val="00412E3D"/>
    <w:rsid w:val="00413131"/>
    <w:rsid w:val="004131BD"/>
    <w:rsid w:val="0041323A"/>
    <w:rsid w:val="004136B7"/>
    <w:rsid w:val="004136D9"/>
    <w:rsid w:val="00413EAE"/>
    <w:rsid w:val="00413EAF"/>
    <w:rsid w:val="0041476F"/>
    <w:rsid w:val="00414949"/>
    <w:rsid w:val="00414A72"/>
    <w:rsid w:val="00414B3B"/>
    <w:rsid w:val="00414CD8"/>
    <w:rsid w:val="00414DE2"/>
    <w:rsid w:val="00414EBD"/>
    <w:rsid w:val="00414F20"/>
    <w:rsid w:val="00414F33"/>
    <w:rsid w:val="00414F42"/>
    <w:rsid w:val="004150F2"/>
    <w:rsid w:val="004155A6"/>
    <w:rsid w:val="004156F1"/>
    <w:rsid w:val="00415850"/>
    <w:rsid w:val="00415C0B"/>
    <w:rsid w:val="00415DEE"/>
    <w:rsid w:val="004162B1"/>
    <w:rsid w:val="004162BF"/>
    <w:rsid w:val="0041669D"/>
    <w:rsid w:val="00416AEF"/>
    <w:rsid w:val="00416B45"/>
    <w:rsid w:val="00416B91"/>
    <w:rsid w:val="00416D14"/>
    <w:rsid w:val="0041701A"/>
    <w:rsid w:val="0041721F"/>
    <w:rsid w:val="004174B9"/>
    <w:rsid w:val="00417A1C"/>
    <w:rsid w:val="00417B1D"/>
    <w:rsid w:val="00417C3C"/>
    <w:rsid w:val="00417D9F"/>
    <w:rsid w:val="004201D5"/>
    <w:rsid w:val="004205E1"/>
    <w:rsid w:val="004206CE"/>
    <w:rsid w:val="00420905"/>
    <w:rsid w:val="004209B7"/>
    <w:rsid w:val="00420A21"/>
    <w:rsid w:val="00420AEB"/>
    <w:rsid w:val="00420C81"/>
    <w:rsid w:val="0042197D"/>
    <w:rsid w:val="00421D1B"/>
    <w:rsid w:val="00421E4E"/>
    <w:rsid w:val="00421FD8"/>
    <w:rsid w:val="00422057"/>
    <w:rsid w:val="0042237F"/>
    <w:rsid w:val="00422888"/>
    <w:rsid w:val="00422A07"/>
    <w:rsid w:val="00422D9E"/>
    <w:rsid w:val="00422F33"/>
    <w:rsid w:val="00423735"/>
    <w:rsid w:val="00423801"/>
    <w:rsid w:val="00423EAD"/>
    <w:rsid w:val="00423F5D"/>
    <w:rsid w:val="00423FBF"/>
    <w:rsid w:val="00424032"/>
    <w:rsid w:val="0042417F"/>
    <w:rsid w:val="00424365"/>
    <w:rsid w:val="00424483"/>
    <w:rsid w:val="004248E2"/>
    <w:rsid w:val="004249C2"/>
    <w:rsid w:val="00424D09"/>
    <w:rsid w:val="00424E8C"/>
    <w:rsid w:val="00425161"/>
    <w:rsid w:val="0042562F"/>
    <w:rsid w:val="0042574D"/>
    <w:rsid w:val="00425B4F"/>
    <w:rsid w:val="004268C3"/>
    <w:rsid w:val="00426A97"/>
    <w:rsid w:val="00426D23"/>
    <w:rsid w:val="00426DB2"/>
    <w:rsid w:val="00426F29"/>
    <w:rsid w:val="00426F66"/>
    <w:rsid w:val="00426FD9"/>
    <w:rsid w:val="00427257"/>
    <w:rsid w:val="00427AFB"/>
    <w:rsid w:val="00427C19"/>
    <w:rsid w:val="004304F5"/>
    <w:rsid w:val="004305E4"/>
    <w:rsid w:val="004309AD"/>
    <w:rsid w:val="00430B82"/>
    <w:rsid w:val="00430D70"/>
    <w:rsid w:val="004311D7"/>
    <w:rsid w:val="0043121A"/>
    <w:rsid w:val="004316DE"/>
    <w:rsid w:val="00431D59"/>
    <w:rsid w:val="00431D83"/>
    <w:rsid w:val="00431E7E"/>
    <w:rsid w:val="00432201"/>
    <w:rsid w:val="004325A0"/>
    <w:rsid w:val="004335AC"/>
    <w:rsid w:val="004339B3"/>
    <w:rsid w:val="00433A50"/>
    <w:rsid w:val="00433E89"/>
    <w:rsid w:val="00434084"/>
    <w:rsid w:val="004342F7"/>
    <w:rsid w:val="0043446D"/>
    <w:rsid w:val="00434C02"/>
    <w:rsid w:val="00434D29"/>
    <w:rsid w:val="004350BA"/>
    <w:rsid w:val="0043514A"/>
    <w:rsid w:val="0043569A"/>
    <w:rsid w:val="004358DB"/>
    <w:rsid w:val="00435AB7"/>
    <w:rsid w:val="00435F65"/>
    <w:rsid w:val="0043623C"/>
    <w:rsid w:val="004362C6"/>
    <w:rsid w:val="0043644E"/>
    <w:rsid w:val="00436C5C"/>
    <w:rsid w:val="00436CBC"/>
    <w:rsid w:val="0043725B"/>
    <w:rsid w:val="004373F2"/>
    <w:rsid w:val="00437520"/>
    <w:rsid w:val="004375ED"/>
    <w:rsid w:val="00437834"/>
    <w:rsid w:val="004378B8"/>
    <w:rsid w:val="00437AC4"/>
    <w:rsid w:val="00437C2C"/>
    <w:rsid w:val="00437F50"/>
    <w:rsid w:val="0044030F"/>
    <w:rsid w:val="004405FA"/>
    <w:rsid w:val="0044077A"/>
    <w:rsid w:val="00440F28"/>
    <w:rsid w:val="0044123F"/>
    <w:rsid w:val="004414EB"/>
    <w:rsid w:val="0044161B"/>
    <w:rsid w:val="00441730"/>
    <w:rsid w:val="00441749"/>
    <w:rsid w:val="00441802"/>
    <w:rsid w:val="00441818"/>
    <w:rsid w:val="00441C44"/>
    <w:rsid w:val="00441F64"/>
    <w:rsid w:val="00441FB8"/>
    <w:rsid w:val="004421E1"/>
    <w:rsid w:val="004424FA"/>
    <w:rsid w:val="00442802"/>
    <w:rsid w:val="00442969"/>
    <w:rsid w:val="00442D1C"/>
    <w:rsid w:val="00442E1A"/>
    <w:rsid w:val="00442E8C"/>
    <w:rsid w:val="004434AC"/>
    <w:rsid w:val="004438EE"/>
    <w:rsid w:val="00443AAA"/>
    <w:rsid w:val="00443BAA"/>
    <w:rsid w:val="00443F6F"/>
    <w:rsid w:val="004440C2"/>
    <w:rsid w:val="0044447C"/>
    <w:rsid w:val="00444597"/>
    <w:rsid w:val="0044471C"/>
    <w:rsid w:val="00444815"/>
    <w:rsid w:val="0044515B"/>
    <w:rsid w:val="0044558B"/>
    <w:rsid w:val="00445633"/>
    <w:rsid w:val="00445687"/>
    <w:rsid w:val="00445736"/>
    <w:rsid w:val="004459B5"/>
    <w:rsid w:val="00445B06"/>
    <w:rsid w:val="00445C35"/>
    <w:rsid w:val="00445DBA"/>
    <w:rsid w:val="0044609E"/>
    <w:rsid w:val="00446A75"/>
    <w:rsid w:val="00446AD7"/>
    <w:rsid w:val="00446C7F"/>
    <w:rsid w:val="00446D08"/>
    <w:rsid w:val="00446D7A"/>
    <w:rsid w:val="00446F71"/>
    <w:rsid w:val="004470DE"/>
    <w:rsid w:val="0044712D"/>
    <w:rsid w:val="00447133"/>
    <w:rsid w:val="004471B5"/>
    <w:rsid w:val="004476CD"/>
    <w:rsid w:val="0044799B"/>
    <w:rsid w:val="00447BBF"/>
    <w:rsid w:val="00447FF0"/>
    <w:rsid w:val="004501B9"/>
    <w:rsid w:val="00450470"/>
    <w:rsid w:val="00450509"/>
    <w:rsid w:val="00450604"/>
    <w:rsid w:val="00450A7C"/>
    <w:rsid w:val="00451696"/>
    <w:rsid w:val="0045185A"/>
    <w:rsid w:val="00451B63"/>
    <w:rsid w:val="00452091"/>
    <w:rsid w:val="00452144"/>
    <w:rsid w:val="00452195"/>
    <w:rsid w:val="00452A6F"/>
    <w:rsid w:val="00452B0E"/>
    <w:rsid w:val="00452C21"/>
    <w:rsid w:val="00453452"/>
    <w:rsid w:val="0045390E"/>
    <w:rsid w:val="00453D4C"/>
    <w:rsid w:val="00453E26"/>
    <w:rsid w:val="004541AC"/>
    <w:rsid w:val="0045435C"/>
    <w:rsid w:val="004543CC"/>
    <w:rsid w:val="004546F5"/>
    <w:rsid w:val="004547F9"/>
    <w:rsid w:val="00454932"/>
    <w:rsid w:val="00454A59"/>
    <w:rsid w:val="00454D3E"/>
    <w:rsid w:val="00455106"/>
    <w:rsid w:val="0045549B"/>
    <w:rsid w:val="00455835"/>
    <w:rsid w:val="004558E3"/>
    <w:rsid w:val="00456028"/>
    <w:rsid w:val="00456508"/>
    <w:rsid w:val="00456C94"/>
    <w:rsid w:val="00456D73"/>
    <w:rsid w:val="00456F3F"/>
    <w:rsid w:val="0045724E"/>
    <w:rsid w:val="004572A8"/>
    <w:rsid w:val="0045748C"/>
    <w:rsid w:val="0045750B"/>
    <w:rsid w:val="00457ABC"/>
    <w:rsid w:val="00457E99"/>
    <w:rsid w:val="00460101"/>
    <w:rsid w:val="00460163"/>
    <w:rsid w:val="004602F7"/>
    <w:rsid w:val="00460911"/>
    <w:rsid w:val="00460C65"/>
    <w:rsid w:val="00460DB4"/>
    <w:rsid w:val="0046120B"/>
    <w:rsid w:val="0046134A"/>
    <w:rsid w:val="0046138B"/>
    <w:rsid w:val="0046170D"/>
    <w:rsid w:val="004617EE"/>
    <w:rsid w:val="00461D61"/>
    <w:rsid w:val="00461E4F"/>
    <w:rsid w:val="004620D0"/>
    <w:rsid w:val="00462458"/>
    <w:rsid w:val="00462859"/>
    <w:rsid w:val="004628B2"/>
    <w:rsid w:val="004629E6"/>
    <w:rsid w:val="00462A23"/>
    <w:rsid w:val="00462AA0"/>
    <w:rsid w:val="00463248"/>
    <w:rsid w:val="00463496"/>
    <w:rsid w:val="004634A9"/>
    <w:rsid w:val="0046397B"/>
    <w:rsid w:val="00463DDF"/>
    <w:rsid w:val="0046419A"/>
    <w:rsid w:val="0046430C"/>
    <w:rsid w:val="004643D6"/>
    <w:rsid w:val="00464D42"/>
    <w:rsid w:val="00464FA5"/>
    <w:rsid w:val="0046500E"/>
    <w:rsid w:val="0046544E"/>
    <w:rsid w:val="00465451"/>
    <w:rsid w:val="00465465"/>
    <w:rsid w:val="0046565B"/>
    <w:rsid w:val="0046577E"/>
    <w:rsid w:val="00465A54"/>
    <w:rsid w:val="00465A9B"/>
    <w:rsid w:val="00465F2D"/>
    <w:rsid w:val="00466184"/>
    <w:rsid w:val="0046629D"/>
    <w:rsid w:val="0046649E"/>
    <w:rsid w:val="00466632"/>
    <w:rsid w:val="004669B2"/>
    <w:rsid w:val="00466BB7"/>
    <w:rsid w:val="00466D8D"/>
    <w:rsid w:val="0046717A"/>
    <w:rsid w:val="004673D9"/>
    <w:rsid w:val="0046784E"/>
    <w:rsid w:val="0046788F"/>
    <w:rsid w:val="00467BF4"/>
    <w:rsid w:val="00467F61"/>
    <w:rsid w:val="0047010E"/>
    <w:rsid w:val="00470442"/>
    <w:rsid w:val="00470E9A"/>
    <w:rsid w:val="0047136E"/>
    <w:rsid w:val="00471743"/>
    <w:rsid w:val="00471937"/>
    <w:rsid w:val="00471A18"/>
    <w:rsid w:val="00471C19"/>
    <w:rsid w:val="00472224"/>
    <w:rsid w:val="004723D1"/>
    <w:rsid w:val="0047242D"/>
    <w:rsid w:val="00472782"/>
    <w:rsid w:val="0047285B"/>
    <w:rsid w:val="00472ACC"/>
    <w:rsid w:val="00472BCF"/>
    <w:rsid w:val="00472E1B"/>
    <w:rsid w:val="00472F5D"/>
    <w:rsid w:val="00472F8B"/>
    <w:rsid w:val="004731BC"/>
    <w:rsid w:val="004736C8"/>
    <w:rsid w:val="004739A4"/>
    <w:rsid w:val="00473BA6"/>
    <w:rsid w:val="0047445D"/>
    <w:rsid w:val="00474A34"/>
    <w:rsid w:val="00474B92"/>
    <w:rsid w:val="0047541A"/>
    <w:rsid w:val="0047554C"/>
    <w:rsid w:val="00475907"/>
    <w:rsid w:val="00475D54"/>
    <w:rsid w:val="0047620B"/>
    <w:rsid w:val="004763E0"/>
    <w:rsid w:val="00476844"/>
    <w:rsid w:val="00476B40"/>
    <w:rsid w:val="00476C60"/>
    <w:rsid w:val="0047727F"/>
    <w:rsid w:val="00477B47"/>
    <w:rsid w:val="00477E70"/>
    <w:rsid w:val="00480204"/>
    <w:rsid w:val="004805FB"/>
    <w:rsid w:val="00480A7E"/>
    <w:rsid w:val="00480B1E"/>
    <w:rsid w:val="00481708"/>
    <w:rsid w:val="00481757"/>
    <w:rsid w:val="00481FE1"/>
    <w:rsid w:val="00482271"/>
    <w:rsid w:val="004824A2"/>
    <w:rsid w:val="004828B4"/>
    <w:rsid w:val="00482B02"/>
    <w:rsid w:val="00483698"/>
    <w:rsid w:val="00483987"/>
    <w:rsid w:val="00483A63"/>
    <w:rsid w:val="00483F7A"/>
    <w:rsid w:val="00483F92"/>
    <w:rsid w:val="00483FA3"/>
    <w:rsid w:val="00483FCB"/>
    <w:rsid w:val="00484B9D"/>
    <w:rsid w:val="00484BC6"/>
    <w:rsid w:val="00484F13"/>
    <w:rsid w:val="0048528B"/>
    <w:rsid w:val="004853F5"/>
    <w:rsid w:val="0048540A"/>
    <w:rsid w:val="004855BD"/>
    <w:rsid w:val="00485608"/>
    <w:rsid w:val="004859B2"/>
    <w:rsid w:val="00485D9F"/>
    <w:rsid w:val="00485DE8"/>
    <w:rsid w:val="00485E6A"/>
    <w:rsid w:val="00485FE7"/>
    <w:rsid w:val="004862A9"/>
    <w:rsid w:val="0048641B"/>
    <w:rsid w:val="0048670D"/>
    <w:rsid w:val="0048713A"/>
    <w:rsid w:val="00487CDE"/>
    <w:rsid w:val="00487FDF"/>
    <w:rsid w:val="00490326"/>
    <w:rsid w:val="00490742"/>
    <w:rsid w:val="004908B8"/>
    <w:rsid w:val="004914CA"/>
    <w:rsid w:val="00491C6B"/>
    <w:rsid w:val="00491C9F"/>
    <w:rsid w:val="00492198"/>
    <w:rsid w:val="004923E4"/>
    <w:rsid w:val="00492433"/>
    <w:rsid w:val="004926C6"/>
    <w:rsid w:val="004928BF"/>
    <w:rsid w:val="00492CB5"/>
    <w:rsid w:val="00492E71"/>
    <w:rsid w:val="00493004"/>
    <w:rsid w:val="004932C0"/>
    <w:rsid w:val="004937E8"/>
    <w:rsid w:val="004939E0"/>
    <w:rsid w:val="00493C90"/>
    <w:rsid w:val="00493D5D"/>
    <w:rsid w:val="00493F18"/>
    <w:rsid w:val="0049415E"/>
    <w:rsid w:val="004946C8"/>
    <w:rsid w:val="00494749"/>
    <w:rsid w:val="004947D3"/>
    <w:rsid w:val="0049486E"/>
    <w:rsid w:val="00494BA9"/>
    <w:rsid w:val="00494C24"/>
    <w:rsid w:val="00494C88"/>
    <w:rsid w:val="00494E39"/>
    <w:rsid w:val="00495218"/>
    <w:rsid w:val="00495841"/>
    <w:rsid w:val="004959BB"/>
    <w:rsid w:val="00495BB7"/>
    <w:rsid w:val="00495CF0"/>
    <w:rsid w:val="00495EDC"/>
    <w:rsid w:val="00495F07"/>
    <w:rsid w:val="004960A9"/>
    <w:rsid w:val="004962CF"/>
    <w:rsid w:val="0049657B"/>
    <w:rsid w:val="004968A1"/>
    <w:rsid w:val="00496BD2"/>
    <w:rsid w:val="00496EDD"/>
    <w:rsid w:val="00496FA6"/>
    <w:rsid w:val="004971FA"/>
    <w:rsid w:val="00497FBF"/>
    <w:rsid w:val="004A0113"/>
    <w:rsid w:val="004A03A0"/>
    <w:rsid w:val="004A042A"/>
    <w:rsid w:val="004A046B"/>
    <w:rsid w:val="004A0527"/>
    <w:rsid w:val="004A0E54"/>
    <w:rsid w:val="004A1146"/>
    <w:rsid w:val="004A1157"/>
    <w:rsid w:val="004A1475"/>
    <w:rsid w:val="004A239D"/>
    <w:rsid w:val="004A281B"/>
    <w:rsid w:val="004A29F4"/>
    <w:rsid w:val="004A2C37"/>
    <w:rsid w:val="004A2C71"/>
    <w:rsid w:val="004A311B"/>
    <w:rsid w:val="004A3369"/>
    <w:rsid w:val="004A357C"/>
    <w:rsid w:val="004A39D9"/>
    <w:rsid w:val="004A3C32"/>
    <w:rsid w:val="004A3C36"/>
    <w:rsid w:val="004A3EB9"/>
    <w:rsid w:val="004A40AA"/>
    <w:rsid w:val="004A40E3"/>
    <w:rsid w:val="004A45D3"/>
    <w:rsid w:val="004A4740"/>
    <w:rsid w:val="004A4CB6"/>
    <w:rsid w:val="004A5257"/>
    <w:rsid w:val="004A54CF"/>
    <w:rsid w:val="004A561C"/>
    <w:rsid w:val="004A5648"/>
    <w:rsid w:val="004A574B"/>
    <w:rsid w:val="004A5852"/>
    <w:rsid w:val="004A59EE"/>
    <w:rsid w:val="004A5D90"/>
    <w:rsid w:val="004A602C"/>
    <w:rsid w:val="004A6F28"/>
    <w:rsid w:val="004A6F41"/>
    <w:rsid w:val="004A6F99"/>
    <w:rsid w:val="004A6FCA"/>
    <w:rsid w:val="004A767A"/>
    <w:rsid w:val="004A7778"/>
    <w:rsid w:val="004A788A"/>
    <w:rsid w:val="004A78BF"/>
    <w:rsid w:val="004A79F7"/>
    <w:rsid w:val="004A7AC7"/>
    <w:rsid w:val="004A7D3C"/>
    <w:rsid w:val="004A7D62"/>
    <w:rsid w:val="004B024E"/>
    <w:rsid w:val="004B0447"/>
    <w:rsid w:val="004B07F6"/>
    <w:rsid w:val="004B13B4"/>
    <w:rsid w:val="004B13C1"/>
    <w:rsid w:val="004B153F"/>
    <w:rsid w:val="004B164E"/>
    <w:rsid w:val="004B17AA"/>
    <w:rsid w:val="004B180A"/>
    <w:rsid w:val="004B187B"/>
    <w:rsid w:val="004B189A"/>
    <w:rsid w:val="004B1F50"/>
    <w:rsid w:val="004B20AE"/>
    <w:rsid w:val="004B2226"/>
    <w:rsid w:val="004B2553"/>
    <w:rsid w:val="004B276B"/>
    <w:rsid w:val="004B278A"/>
    <w:rsid w:val="004B27DC"/>
    <w:rsid w:val="004B281A"/>
    <w:rsid w:val="004B2B5C"/>
    <w:rsid w:val="004B2CB4"/>
    <w:rsid w:val="004B2D0B"/>
    <w:rsid w:val="004B3288"/>
    <w:rsid w:val="004B32B7"/>
    <w:rsid w:val="004B331C"/>
    <w:rsid w:val="004B35CF"/>
    <w:rsid w:val="004B38A5"/>
    <w:rsid w:val="004B4087"/>
    <w:rsid w:val="004B42B4"/>
    <w:rsid w:val="004B460D"/>
    <w:rsid w:val="004B46E6"/>
    <w:rsid w:val="004B49B7"/>
    <w:rsid w:val="004B4BE5"/>
    <w:rsid w:val="004B4D76"/>
    <w:rsid w:val="004B553E"/>
    <w:rsid w:val="004B55AB"/>
    <w:rsid w:val="004B58F5"/>
    <w:rsid w:val="004B5912"/>
    <w:rsid w:val="004B5B72"/>
    <w:rsid w:val="004B5C78"/>
    <w:rsid w:val="004B612C"/>
    <w:rsid w:val="004B6303"/>
    <w:rsid w:val="004B6897"/>
    <w:rsid w:val="004B69B5"/>
    <w:rsid w:val="004B6C12"/>
    <w:rsid w:val="004B70C2"/>
    <w:rsid w:val="004B7231"/>
    <w:rsid w:val="004B78C8"/>
    <w:rsid w:val="004B7929"/>
    <w:rsid w:val="004B79B1"/>
    <w:rsid w:val="004B7BEE"/>
    <w:rsid w:val="004B7F40"/>
    <w:rsid w:val="004C016B"/>
    <w:rsid w:val="004C059F"/>
    <w:rsid w:val="004C05C8"/>
    <w:rsid w:val="004C05DE"/>
    <w:rsid w:val="004C0675"/>
    <w:rsid w:val="004C0680"/>
    <w:rsid w:val="004C0749"/>
    <w:rsid w:val="004C0C38"/>
    <w:rsid w:val="004C0C60"/>
    <w:rsid w:val="004C0D31"/>
    <w:rsid w:val="004C1065"/>
    <w:rsid w:val="004C10E9"/>
    <w:rsid w:val="004C127C"/>
    <w:rsid w:val="004C1B7D"/>
    <w:rsid w:val="004C1DCA"/>
    <w:rsid w:val="004C2261"/>
    <w:rsid w:val="004C25D2"/>
    <w:rsid w:val="004C2A38"/>
    <w:rsid w:val="004C2C55"/>
    <w:rsid w:val="004C2DEA"/>
    <w:rsid w:val="004C2E7E"/>
    <w:rsid w:val="004C2F0B"/>
    <w:rsid w:val="004C314C"/>
    <w:rsid w:val="004C318F"/>
    <w:rsid w:val="004C3311"/>
    <w:rsid w:val="004C3387"/>
    <w:rsid w:val="004C33C6"/>
    <w:rsid w:val="004C3686"/>
    <w:rsid w:val="004C3717"/>
    <w:rsid w:val="004C3C26"/>
    <w:rsid w:val="004C3CE0"/>
    <w:rsid w:val="004C3D7B"/>
    <w:rsid w:val="004C3E20"/>
    <w:rsid w:val="004C427B"/>
    <w:rsid w:val="004C454A"/>
    <w:rsid w:val="004C4C9A"/>
    <w:rsid w:val="004C4F40"/>
    <w:rsid w:val="004C52E0"/>
    <w:rsid w:val="004C5DE9"/>
    <w:rsid w:val="004C6211"/>
    <w:rsid w:val="004C6BF8"/>
    <w:rsid w:val="004C708B"/>
    <w:rsid w:val="004C7878"/>
    <w:rsid w:val="004C7F9B"/>
    <w:rsid w:val="004D025E"/>
    <w:rsid w:val="004D03E2"/>
    <w:rsid w:val="004D07A4"/>
    <w:rsid w:val="004D0AD9"/>
    <w:rsid w:val="004D0FFF"/>
    <w:rsid w:val="004D1035"/>
    <w:rsid w:val="004D111F"/>
    <w:rsid w:val="004D13E8"/>
    <w:rsid w:val="004D14DC"/>
    <w:rsid w:val="004D16E4"/>
    <w:rsid w:val="004D188D"/>
    <w:rsid w:val="004D1A65"/>
    <w:rsid w:val="004D1BD2"/>
    <w:rsid w:val="004D1E5A"/>
    <w:rsid w:val="004D1EBD"/>
    <w:rsid w:val="004D1F09"/>
    <w:rsid w:val="004D2095"/>
    <w:rsid w:val="004D25B8"/>
    <w:rsid w:val="004D279D"/>
    <w:rsid w:val="004D2BF7"/>
    <w:rsid w:val="004D2D60"/>
    <w:rsid w:val="004D2F82"/>
    <w:rsid w:val="004D3179"/>
    <w:rsid w:val="004D3456"/>
    <w:rsid w:val="004D3505"/>
    <w:rsid w:val="004D38A5"/>
    <w:rsid w:val="004D3962"/>
    <w:rsid w:val="004D3AF1"/>
    <w:rsid w:val="004D4334"/>
    <w:rsid w:val="004D4710"/>
    <w:rsid w:val="004D4E26"/>
    <w:rsid w:val="004D52B7"/>
    <w:rsid w:val="004D5988"/>
    <w:rsid w:val="004D5B60"/>
    <w:rsid w:val="004D5F99"/>
    <w:rsid w:val="004D6B31"/>
    <w:rsid w:val="004D6E9B"/>
    <w:rsid w:val="004D7623"/>
    <w:rsid w:val="004D7853"/>
    <w:rsid w:val="004D786A"/>
    <w:rsid w:val="004D7A02"/>
    <w:rsid w:val="004D7D0D"/>
    <w:rsid w:val="004E03EE"/>
    <w:rsid w:val="004E0D63"/>
    <w:rsid w:val="004E1255"/>
    <w:rsid w:val="004E1427"/>
    <w:rsid w:val="004E1510"/>
    <w:rsid w:val="004E163A"/>
    <w:rsid w:val="004E1A4B"/>
    <w:rsid w:val="004E1C0F"/>
    <w:rsid w:val="004E1C6D"/>
    <w:rsid w:val="004E1FAC"/>
    <w:rsid w:val="004E202B"/>
    <w:rsid w:val="004E226B"/>
    <w:rsid w:val="004E22F8"/>
    <w:rsid w:val="004E23C9"/>
    <w:rsid w:val="004E23DD"/>
    <w:rsid w:val="004E25B8"/>
    <w:rsid w:val="004E280A"/>
    <w:rsid w:val="004E281D"/>
    <w:rsid w:val="004E2900"/>
    <w:rsid w:val="004E2A85"/>
    <w:rsid w:val="004E2E10"/>
    <w:rsid w:val="004E2F47"/>
    <w:rsid w:val="004E3282"/>
    <w:rsid w:val="004E32F3"/>
    <w:rsid w:val="004E3598"/>
    <w:rsid w:val="004E35AF"/>
    <w:rsid w:val="004E3D58"/>
    <w:rsid w:val="004E4509"/>
    <w:rsid w:val="004E45F8"/>
    <w:rsid w:val="004E474F"/>
    <w:rsid w:val="004E4921"/>
    <w:rsid w:val="004E49B3"/>
    <w:rsid w:val="004E49D7"/>
    <w:rsid w:val="004E4A21"/>
    <w:rsid w:val="004E4AE0"/>
    <w:rsid w:val="004E4B31"/>
    <w:rsid w:val="004E4D0A"/>
    <w:rsid w:val="004E4D58"/>
    <w:rsid w:val="004E4F0A"/>
    <w:rsid w:val="004E4FF9"/>
    <w:rsid w:val="004E5205"/>
    <w:rsid w:val="004E529B"/>
    <w:rsid w:val="004E5332"/>
    <w:rsid w:val="004E53D7"/>
    <w:rsid w:val="004E581E"/>
    <w:rsid w:val="004E5984"/>
    <w:rsid w:val="004E5ABD"/>
    <w:rsid w:val="004E5B57"/>
    <w:rsid w:val="004E5BA4"/>
    <w:rsid w:val="004E5D22"/>
    <w:rsid w:val="004E6139"/>
    <w:rsid w:val="004E637F"/>
    <w:rsid w:val="004E65EE"/>
    <w:rsid w:val="004E664E"/>
    <w:rsid w:val="004E66C9"/>
    <w:rsid w:val="004E682D"/>
    <w:rsid w:val="004E6978"/>
    <w:rsid w:val="004E69BA"/>
    <w:rsid w:val="004E7632"/>
    <w:rsid w:val="004E76AD"/>
    <w:rsid w:val="004E7826"/>
    <w:rsid w:val="004E78D6"/>
    <w:rsid w:val="004E7AC9"/>
    <w:rsid w:val="004E7C49"/>
    <w:rsid w:val="004F001B"/>
    <w:rsid w:val="004F02C7"/>
    <w:rsid w:val="004F05A5"/>
    <w:rsid w:val="004F0787"/>
    <w:rsid w:val="004F0B36"/>
    <w:rsid w:val="004F0EEC"/>
    <w:rsid w:val="004F130A"/>
    <w:rsid w:val="004F148D"/>
    <w:rsid w:val="004F182F"/>
    <w:rsid w:val="004F187F"/>
    <w:rsid w:val="004F1895"/>
    <w:rsid w:val="004F1D4E"/>
    <w:rsid w:val="004F1F3A"/>
    <w:rsid w:val="004F2706"/>
    <w:rsid w:val="004F2788"/>
    <w:rsid w:val="004F28ED"/>
    <w:rsid w:val="004F2A0D"/>
    <w:rsid w:val="004F2A27"/>
    <w:rsid w:val="004F2A99"/>
    <w:rsid w:val="004F2C39"/>
    <w:rsid w:val="004F2FBE"/>
    <w:rsid w:val="004F3109"/>
    <w:rsid w:val="004F3304"/>
    <w:rsid w:val="004F332B"/>
    <w:rsid w:val="004F3A2B"/>
    <w:rsid w:val="004F3A51"/>
    <w:rsid w:val="004F3AFC"/>
    <w:rsid w:val="004F3B77"/>
    <w:rsid w:val="004F3D0C"/>
    <w:rsid w:val="004F4269"/>
    <w:rsid w:val="004F4B00"/>
    <w:rsid w:val="004F4BE2"/>
    <w:rsid w:val="004F4DD9"/>
    <w:rsid w:val="004F4EBD"/>
    <w:rsid w:val="004F530D"/>
    <w:rsid w:val="004F5356"/>
    <w:rsid w:val="004F56F3"/>
    <w:rsid w:val="004F5A07"/>
    <w:rsid w:val="004F5E16"/>
    <w:rsid w:val="004F6407"/>
    <w:rsid w:val="004F6F3C"/>
    <w:rsid w:val="004F752C"/>
    <w:rsid w:val="004F7B82"/>
    <w:rsid w:val="004F7D49"/>
    <w:rsid w:val="004F7E19"/>
    <w:rsid w:val="004F7F0C"/>
    <w:rsid w:val="004F7F30"/>
    <w:rsid w:val="004F7F69"/>
    <w:rsid w:val="00500293"/>
    <w:rsid w:val="0050066A"/>
    <w:rsid w:val="00500A1A"/>
    <w:rsid w:val="00500B8F"/>
    <w:rsid w:val="00500DF2"/>
    <w:rsid w:val="0050131E"/>
    <w:rsid w:val="0050143A"/>
    <w:rsid w:val="0050189A"/>
    <w:rsid w:val="005018C5"/>
    <w:rsid w:val="00501A2F"/>
    <w:rsid w:val="00501ACB"/>
    <w:rsid w:val="00501B2E"/>
    <w:rsid w:val="0050227A"/>
    <w:rsid w:val="005022C0"/>
    <w:rsid w:val="0050245C"/>
    <w:rsid w:val="00502BB8"/>
    <w:rsid w:val="00503164"/>
    <w:rsid w:val="005033A4"/>
    <w:rsid w:val="00503886"/>
    <w:rsid w:val="005038BB"/>
    <w:rsid w:val="005039BD"/>
    <w:rsid w:val="00503DAF"/>
    <w:rsid w:val="00504260"/>
    <w:rsid w:val="005042D6"/>
    <w:rsid w:val="005045B2"/>
    <w:rsid w:val="005046D4"/>
    <w:rsid w:val="00504933"/>
    <w:rsid w:val="00504CCF"/>
    <w:rsid w:val="00504F56"/>
    <w:rsid w:val="0050502B"/>
    <w:rsid w:val="00505275"/>
    <w:rsid w:val="00505561"/>
    <w:rsid w:val="00505585"/>
    <w:rsid w:val="00505DCF"/>
    <w:rsid w:val="0050627D"/>
    <w:rsid w:val="005066D8"/>
    <w:rsid w:val="00506A39"/>
    <w:rsid w:val="00506C9C"/>
    <w:rsid w:val="00506EB4"/>
    <w:rsid w:val="005072DD"/>
    <w:rsid w:val="005076C7"/>
    <w:rsid w:val="005079B3"/>
    <w:rsid w:val="005079C5"/>
    <w:rsid w:val="00507A41"/>
    <w:rsid w:val="00507CB2"/>
    <w:rsid w:val="00507ED0"/>
    <w:rsid w:val="005103B1"/>
    <w:rsid w:val="00510412"/>
    <w:rsid w:val="005106F3"/>
    <w:rsid w:val="005108EA"/>
    <w:rsid w:val="00510C42"/>
    <w:rsid w:val="00511080"/>
    <w:rsid w:val="00511474"/>
    <w:rsid w:val="005114DF"/>
    <w:rsid w:val="00511546"/>
    <w:rsid w:val="00511D66"/>
    <w:rsid w:val="0051214C"/>
    <w:rsid w:val="0051227F"/>
    <w:rsid w:val="005122E6"/>
    <w:rsid w:val="0051244A"/>
    <w:rsid w:val="00512474"/>
    <w:rsid w:val="0051274E"/>
    <w:rsid w:val="00512833"/>
    <w:rsid w:val="00512A3A"/>
    <w:rsid w:val="00512A7C"/>
    <w:rsid w:val="00512B39"/>
    <w:rsid w:val="00513169"/>
    <w:rsid w:val="005132FF"/>
    <w:rsid w:val="00513420"/>
    <w:rsid w:val="00513A14"/>
    <w:rsid w:val="00513A60"/>
    <w:rsid w:val="00513D1A"/>
    <w:rsid w:val="00513D34"/>
    <w:rsid w:val="00513EE9"/>
    <w:rsid w:val="00514147"/>
    <w:rsid w:val="005142F8"/>
    <w:rsid w:val="005143FE"/>
    <w:rsid w:val="00514555"/>
    <w:rsid w:val="00514928"/>
    <w:rsid w:val="00514F9D"/>
    <w:rsid w:val="00515394"/>
    <w:rsid w:val="005155D2"/>
    <w:rsid w:val="005156ED"/>
    <w:rsid w:val="0051572A"/>
    <w:rsid w:val="00515CEE"/>
    <w:rsid w:val="00515E2C"/>
    <w:rsid w:val="005160A2"/>
    <w:rsid w:val="005162AF"/>
    <w:rsid w:val="005162E5"/>
    <w:rsid w:val="00516797"/>
    <w:rsid w:val="0051694E"/>
    <w:rsid w:val="005169FC"/>
    <w:rsid w:val="00516A4B"/>
    <w:rsid w:val="00516BD6"/>
    <w:rsid w:val="00516CEB"/>
    <w:rsid w:val="00517108"/>
    <w:rsid w:val="005177FD"/>
    <w:rsid w:val="0051787B"/>
    <w:rsid w:val="00517C88"/>
    <w:rsid w:val="00517D3E"/>
    <w:rsid w:val="0052020C"/>
    <w:rsid w:val="005203F2"/>
    <w:rsid w:val="00520701"/>
    <w:rsid w:val="00520858"/>
    <w:rsid w:val="00520A61"/>
    <w:rsid w:val="00520A87"/>
    <w:rsid w:val="0052111B"/>
    <w:rsid w:val="005213E0"/>
    <w:rsid w:val="005214EE"/>
    <w:rsid w:val="00521598"/>
    <w:rsid w:val="0052183C"/>
    <w:rsid w:val="00521AC6"/>
    <w:rsid w:val="00521FA0"/>
    <w:rsid w:val="00522450"/>
    <w:rsid w:val="00522497"/>
    <w:rsid w:val="0052260A"/>
    <w:rsid w:val="00522624"/>
    <w:rsid w:val="00522997"/>
    <w:rsid w:val="00522AD1"/>
    <w:rsid w:val="00522F3F"/>
    <w:rsid w:val="005235C8"/>
    <w:rsid w:val="00523728"/>
    <w:rsid w:val="00523AB9"/>
    <w:rsid w:val="0052428D"/>
    <w:rsid w:val="00524DF9"/>
    <w:rsid w:val="00524F87"/>
    <w:rsid w:val="005250C0"/>
    <w:rsid w:val="005255F4"/>
    <w:rsid w:val="00525831"/>
    <w:rsid w:val="005258FB"/>
    <w:rsid w:val="005259AF"/>
    <w:rsid w:val="00525ACB"/>
    <w:rsid w:val="00525E29"/>
    <w:rsid w:val="00525F93"/>
    <w:rsid w:val="00525FCE"/>
    <w:rsid w:val="00526438"/>
    <w:rsid w:val="005266A7"/>
    <w:rsid w:val="005266EA"/>
    <w:rsid w:val="0052677E"/>
    <w:rsid w:val="00526D33"/>
    <w:rsid w:val="005274AB"/>
    <w:rsid w:val="005279BA"/>
    <w:rsid w:val="00527AC4"/>
    <w:rsid w:val="00527E48"/>
    <w:rsid w:val="00527E4D"/>
    <w:rsid w:val="00527E74"/>
    <w:rsid w:val="005301E8"/>
    <w:rsid w:val="005308F7"/>
    <w:rsid w:val="00530A60"/>
    <w:rsid w:val="00530B9E"/>
    <w:rsid w:val="00531617"/>
    <w:rsid w:val="005317E6"/>
    <w:rsid w:val="0053197A"/>
    <w:rsid w:val="005319A3"/>
    <w:rsid w:val="00531A94"/>
    <w:rsid w:val="00531BDD"/>
    <w:rsid w:val="00531C25"/>
    <w:rsid w:val="0053213E"/>
    <w:rsid w:val="00532332"/>
    <w:rsid w:val="00532410"/>
    <w:rsid w:val="00532509"/>
    <w:rsid w:val="00532524"/>
    <w:rsid w:val="005325D0"/>
    <w:rsid w:val="005327E1"/>
    <w:rsid w:val="00532951"/>
    <w:rsid w:val="00532B06"/>
    <w:rsid w:val="0053316D"/>
    <w:rsid w:val="005339C9"/>
    <w:rsid w:val="00533DE5"/>
    <w:rsid w:val="00533EC7"/>
    <w:rsid w:val="00533ED1"/>
    <w:rsid w:val="0053408E"/>
    <w:rsid w:val="00534153"/>
    <w:rsid w:val="00534519"/>
    <w:rsid w:val="005345EA"/>
    <w:rsid w:val="005349A3"/>
    <w:rsid w:val="005351D6"/>
    <w:rsid w:val="00535497"/>
    <w:rsid w:val="00535750"/>
    <w:rsid w:val="00535C02"/>
    <w:rsid w:val="0053601C"/>
    <w:rsid w:val="00536189"/>
    <w:rsid w:val="005363F5"/>
    <w:rsid w:val="005365AF"/>
    <w:rsid w:val="00536640"/>
    <w:rsid w:val="00536679"/>
    <w:rsid w:val="00536703"/>
    <w:rsid w:val="00536796"/>
    <w:rsid w:val="005369C1"/>
    <w:rsid w:val="005369DE"/>
    <w:rsid w:val="005369DF"/>
    <w:rsid w:val="00536B10"/>
    <w:rsid w:val="00536C2B"/>
    <w:rsid w:val="00536E7F"/>
    <w:rsid w:val="00537145"/>
    <w:rsid w:val="00537390"/>
    <w:rsid w:val="0053772A"/>
    <w:rsid w:val="0053780B"/>
    <w:rsid w:val="0053785E"/>
    <w:rsid w:val="00537C91"/>
    <w:rsid w:val="00537D50"/>
    <w:rsid w:val="00537E2E"/>
    <w:rsid w:val="005401C8"/>
    <w:rsid w:val="00540C4F"/>
    <w:rsid w:val="00541314"/>
    <w:rsid w:val="00541412"/>
    <w:rsid w:val="005416AE"/>
    <w:rsid w:val="0054170B"/>
    <w:rsid w:val="00541AC5"/>
    <w:rsid w:val="00541AC6"/>
    <w:rsid w:val="00541B13"/>
    <w:rsid w:val="00541B9A"/>
    <w:rsid w:val="00541C73"/>
    <w:rsid w:val="00541E6F"/>
    <w:rsid w:val="00542026"/>
    <w:rsid w:val="00542178"/>
    <w:rsid w:val="005421E0"/>
    <w:rsid w:val="0054268D"/>
    <w:rsid w:val="005427F0"/>
    <w:rsid w:val="00542967"/>
    <w:rsid w:val="00542ADD"/>
    <w:rsid w:val="00542C07"/>
    <w:rsid w:val="00542CE6"/>
    <w:rsid w:val="00542D4A"/>
    <w:rsid w:val="00542ED9"/>
    <w:rsid w:val="005430EF"/>
    <w:rsid w:val="00543144"/>
    <w:rsid w:val="00543429"/>
    <w:rsid w:val="005435C5"/>
    <w:rsid w:val="0054375D"/>
    <w:rsid w:val="0054388A"/>
    <w:rsid w:val="005438CC"/>
    <w:rsid w:val="00543A83"/>
    <w:rsid w:val="00543B41"/>
    <w:rsid w:val="00543B9B"/>
    <w:rsid w:val="00543D07"/>
    <w:rsid w:val="00543ED9"/>
    <w:rsid w:val="00543F7B"/>
    <w:rsid w:val="00544099"/>
    <w:rsid w:val="00544125"/>
    <w:rsid w:val="00544182"/>
    <w:rsid w:val="00544ADD"/>
    <w:rsid w:val="00544DCC"/>
    <w:rsid w:val="00544E11"/>
    <w:rsid w:val="00544EF1"/>
    <w:rsid w:val="00544F78"/>
    <w:rsid w:val="00545077"/>
    <w:rsid w:val="00545728"/>
    <w:rsid w:val="0054589D"/>
    <w:rsid w:val="00545F8E"/>
    <w:rsid w:val="00546179"/>
    <w:rsid w:val="00546228"/>
    <w:rsid w:val="005464E9"/>
    <w:rsid w:val="005466C6"/>
    <w:rsid w:val="0054685E"/>
    <w:rsid w:val="005468B6"/>
    <w:rsid w:val="00546EA6"/>
    <w:rsid w:val="0054733C"/>
    <w:rsid w:val="00547770"/>
    <w:rsid w:val="0054791C"/>
    <w:rsid w:val="00547C0F"/>
    <w:rsid w:val="00547E3A"/>
    <w:rsid w:val="0055000C"/>
    <w:rsid w:val="005506A1"/>
    <w:rsid w:val="005507B6"/>
    <w:rsid w:val="00550B07"/>
    <w:rsid w:val="00550BAE"/>
    <w:rsid w:val="00550C86"/>
    <w:rsid w:val="00550D8E"/>
    <w:rsid w:val="0055115E"/>
    <w:rsid w:val="00551649"/>
    <w:rsid w:val="005517F0"/>
    <w:rsid w:val="00552012"/>
    <w:rsid w:val="005522AB"/>
    <w:rsid w:val="0055246C"/>
    <w:rsid w:val="0055273C"/>
    <w:rsid w:val="00552C78"/>
    <w:rsid w:val="00552F78"/>
    <w:rsid w:val="00553447"/>
    <w:rsid w:val="005536B5"/>
    <w:rsid w:val="00553840"/>
    <w:rsid w:val="00553AE9"/>
    <w:rsid w:val="00553C92"/>
    <w:rsid w:val="005547C6"/>
    <w:rsid w:val="00554ADB"/>
    <w:rsid w:val="00554D65"/>
    <w:rsid w:val="00554D82"/>
    <w:rsid w:val="00554FB3"/>
    <w:rsid w:val="00554FD6"/>
    <w:rsid w:val="005550B6"/>
    <w:rsid w:val="0055548C"/>
    <w:rsid w:val="00555766"/>
    <w:rsid w:val="005557EC"/>
    <w:rsid w:val="00555DAB"/>
    <w:rsid w:val="00555F18"/>
    <w:rsid w:val="00555F2A"/>
    <w:rsid w:val="00555F32"/>
    <w:rsid w:val="00555FEC"/>
    <w:rsid w:val="0055608A"/>
    <w:rsid w:val="0055612B"/>
    <w:rsid w:val="00556585"/>
    <w:rsid w:val="00556C0D"/>
    <w:rsid w:val="00556D02"/>
    <w:rsid w:val="00556E47"/>
    <w:rsid w:val="00556F17"/>
    <w:rsid w:val="00556F2B"/>
    <w:rsid w:val="00556F4F"/>
    <w:rsid w:val="0055726A"/>
    <w:rsid w:val="00557575"/>
    <w:rsid w:val="005576E4"/>
    <w:rsid w:val="00557BCD"/>
    <w:rsid w:val="00557C92"/>
    <w:rsid w:val="00557DF6"/>
    <w:rsid w:val="00560154"/>
    <w:rsid w:val="00560175"/>
    <w:rsid w:val="0056038A"/>
    <w:rsid w:val="005607F6"/>
    <w:rsid w:val="0056080B"/>
    <w:rsid w:val="00560A34"/>
    <w:rsid w:val="00560C4D"/>
    <w:rsid w:val="00560D3E"/>
    <w:rsid w:val="00560DD7"/>
    <w:rsid w:val="00561253"/>
    <w:rsid w:val="0056147F"/>
    <w:rsid w:val="005615E7"/>
    <w:rsid w:val="005617D9"/>
    <w:rsid w:val="005618BB"/>
    <w:rsid w:val="005621F7"/>
    <w:rsid w:val="005622B4"/>
    <w:rsid w:val="005627F8"/>
    <w:rsid w:val="005628A0"/>
    <w:rsid w:val="00562B53"/>
    <w:rsid w:val="005635F6"/>
    <w:rsid w:val="005636AF"/>
    <w:rsid w:val="0056378E"/>
    <w:rsid w:val="005637A8"/>
    <w:rsid w:val="00563916"/>
    <w:rsid w:val="00563CE2"/>
    <w:rsid w:val="00563ED4"/>
    <w:rsid w:val="00563F86"/>
    <w:rsid w:val="005640F8"/>
    <w:rsid w:val="0056414D"/>
    <w:rsid w:val="0056425D"/>
    <w:rsid w:val="00564787"/>
    <w:rsid w:val="0056494E"/>
    <w:rsid w:val="00564BF4"/>
    <w:rsid w:val="0056539A"/>
    <w:rsid w:val="00565694"/>
    <w:rsid w:val="005657ED"/>
    <w:rsid w:val="00565851"/>
    <w:rsid w:val="005658D0"/>
    <w:rsid w:val="00565B7D"/>
    <w:rsid w:val="00565BB3"/>
    <w:rsid w:val="00565BCE"/>
    <w:rsid w:val="00565CFD"/>
    <w:rsid w:val="00565D9F"/>
    <w:rsid w:val="005669A4"/>
    <w:rsid w:val="00566C14"/>
    <w:rsid w:val="00566DEE"/>
    <w:rsid w:val="0056703B"/>
    <w:rsid w:val="0056722A"/>
    <w:rsid w:val="005672B3"/>
    <w:rsid w:val="0056796C"/>
    <w:rsid w:val="00567A25"/>
    <w:rsid w:val="00567A64"/>
    <w:rsid w:val="00567AA0"/>
    <w:rsid w:val="00567BB2"/>
    <w:rsid w:val="00567DB7"/>
    <w:rsid w:val="00567F04"/>
    <w:rsid w:val="00570135"/>
    <w:rsid w:val="005702B3"/>
    <w:rsid w:val="005707F8"/>
    <w:rsid w:val="00570A25"/>
    <w:rsid w:val="00570B09"/>
    <w:rsid w:val="00570E55"/>
    <w:rsid w:val="0057131F"/>
    <w:rsid w:val="0057155D"/>
    <w:rsid w:val="005715A4"/>
    <w:rsid w:val="005719B4"/>
    <w:rsid w:val="00571B45"/>
    <w:rsid w:val="00571C29"/>
    <w:rsid w:val="00571EDC"/>
    <w:rsid w:val="005722AF"/>
    <w:rsid w:val="00572387"/>
    <w:rsid w:val="005724DA"/>
    <w:rsid w:val="00572674"/>
    <w:rsid w:val="005728DE"/>
    <w:rsid w:val="00572BE5"/>
    <w:rsid w:val="00572C6A"/>
    <w:rsid w:val="00572F3B"/>
    <w:rsid w:val="005730E0"/>
    <w:rsid w:val="00573894"/>
    <w:rsid w:val="00573AC4"/>
    <w:rsid w:val="00573EC0"/>
    <w:rsid w:val="00573FB1"/>
    <w:rsid w:val="00574A47"/>
    <w:rsid w:val="00574B3A"/>
    <w:rsid w:val="00574C19"/>
    <w:rsid w:val="005751FA"/>
    <w:rsid w:val="0057578A"/>
    <w:rsid w:val="00575820"/>
    <w:rsid w:val="00575972"/>
    <w:rsid w:val="00575BAB"/>
    <w:rsid w:val="00575BFE"/>
    <w:rsid w:val="00575CD7"/>
    <w:rsid w:val="00575D80"/>
    <w:rsid w:val="00576094"/>
    <w:rsid w:val="0057611C"/>
    <w:rsid w:val="00576359"/>
    <w:rsid w:val="005764EA"/>
    <w:rsid w:val="00576554"/>
    <w:rsid w:val="00576CAE"/>
    <w:rsid w:val="00576D6B"/>
    <w:rsid w:val="00576E59"/>
    <w:rsid w:val="00577229"/>
    <w:rsid w:val="0057778E"/>
    <w:rsid w:val="00577B75"/>
    <w:rsid w:val="00577C14"/>
    <w:rsid w:val="00577C17"/>
    <w:rsid w:val="00577C2F"/>
    <w:rsid w:val="00577C93"/>
    <w:rsid w:val="00577EE8"/>
    <w:rsid w:val="0058006A"/>
    <w:rsid w:val="00580096"/>
    <w:rsid w:val="00580408"/>
    <w:rsid w:val="00580530"/>
    <w:rsid w:val="00580730"/>
    <w:rsid w:val="00580770"/>
    <w:rsid w:val="005808AC"/>
    <w:rsid w:val="0058090A"/>
    <w:rsid w:val="00581007"/>
    <w:rsid w:val="005814A5"/>
    <w:rsid w:val="0058165C"/>
    <w:rsid w:val="00581DB5"/>
    <w:rsid w:val="005824CF"/>
    <w:rsid w:val="00582A6C"/>
    <w:rsid w:val="00582B1E"/>
    <w:rsid w:val="00582EA0"/>
    <w:rsid w:val="00583295"/>
    <w:rsid w:val="00583734"/>
    <w:rsid w:val="00583FE8"/>
    <w:rsid w:val="005842F1"/>
    <w:rsid w:val="00584522"/>
    <w:rsid w:val="005845D1"/>
    <w:rsid w:val="00584A02"/>
    <w:rsid w:val="00584D8D"/>
    <w:rsid w:val="00584EA2"/>
    <w:rsid w:val="00585277"/>
    <w:rsid w:val="0058527E"/>
    <w:rsid w:val="00585565"/>
    <w:rsid w:val="005859CD"/>
    <w:rsid w:val="00585C82"/>
    <w:rsid w:val="00585E9F"/>
    <w:rsid w:val="0058627A"/>
    <w:rsid w:val="005862BB"/>
    <w:rsid w:val="005862CE"/>
    <w:rsid w:val="00586421"/>
    <w:rsid w:val="00586716"/>
    <w:rsid w:val="0058671B"/>
    <w:rsid w:val="0058689F"/>
    <w:rsid w:val="00586A91"/>
    <w:rsid w:val="00586AC4"/>
    <w:rsid w:val="00586C6D"/>
    <w:rsid w:val="00587248"/>
    <w:rsid w:val="0058768C"/>
    <w:rsid w:val="005876A4"/>
    <w:rsid w:val="00587955"/>
    <w:rsid w:val="0059019E"/>
    <w:rsid w:val="0059048B"/>
    <w:rsid w:val="005907FC"/>
    <w:rsid w:val="00590800"/>
    <w:rsid w:val="00590CF0"/>
    <w:rsid w:val="00590EC3"/>
    <w:rsid w:val="0059122A"/>
    <w:rsid w:val="005912AB"/>
    <w:rsid w:val="005912C9"/>
    <w:rsid w:val="00591511"/>
    <w:rsid w:val="0059154C"/>
    <w:rsid w:val="00591868"/>
    <w:rsid w:val="00591D26"/>
    <w:rsid w:val="00591D7F"/>
    <w:rsid w:val="0059236D"/>
    <w:rsid w:val="00592B50"/>
    <w:rsid w:val="00592EA4"/>
    <w:rsid w:val="00593280"/>
    <w:rsid w:val="00593357"/>
    <w:rsid w:val="00593402"/>
    <w:rsid w:val="0059354C"/>
    <w:rsid w:val="005936CF"/>
    <w:rsid w:val="00594316"/>
    <w:rsid w:val="005943B6"/>
    <w:rsid w:val="00594499"/>
    <w:rsid w:val="00594518"/>
    <w:rsid w:val="00594530"/>
    <w:rsid w:val="0059479C"/>
    <w:rsid w:val="005947FE"/>
    <w:rsid w:val="00595337"/>
    <w:rsid w:val="005957B5"/>
    <w:rsid w:val="00595A23"/>
    <w:rsid w:val="00596105"/>
    <w:rsid w:val="00596259"/>
    <w:rsid w:val="00596316"/>
    <w:rsid w:val="005966D3"/>
    <w:rsid w:val="005969CB"/>
    <w:rsid w:val="00596C40"/>
    <w:rsid w:val="00596F55"/>
    <w:rsid w:val="00597334"/>
    <w:rsid w:val="00597373"/>
    <w:rsid w:val="0059774D"/>
    <w:rsid w:val="00597A09"/>
    <w:rsid w:val="00597C3A"/>
    <w:rsid w:val="00597CAE"/>
    <w:rsid w:val="00597DEC"/>
    <w:rsid w:val="005A0163"/>
    <w:rsid w:val="005A0367"/>
    <w:rsid w:val="005A061B"/>
    <w:rsid w:val="005A073A"/>
    <w:rsid w:val="005A0B3C"/>
    <w:rsid w:val="005A1010"/>
    <w:rsid w:val="005A1192"/>
    <w:rsid w:val="005A1227"/>
    <w:rsid w:val="005A137C"/>
    <w:rsid w:val="005A1C30"/>
    <w:rsid w:val="005A2516"/>
    <w:rsid w:val="005A2728"/>
    <w:rsid w:val="005A2AA6"/>
    <w:rsid w:val="005A2BE1"/>
    <w:rsid w:val="005A2E13"/>
    <w:rsid w:val="005A2FB6"/>
    <w:rsid w:val="005A2FE0"/>
    <w:rsid w:val="005A3205"/>
    <w:rsid w:val="005A3306"/>
    <w:rsid w:val="005A3461"/>
    <w:rsid w:val="005A36BA"/>
    <w:rsid w:val="005A3B86"/>
    <w:rsid w:val="005A42FC"/>
    <w:rsid w:val="005A430D"/>
    <w:rsid w:val="005A4709"/>
    <w:rsid w:val="005A4A0C"/>
    <w:rsid w:val="005A4B6F"/>
    <w:rsid w:val="005A4D79"/>
    <w:rsid w:val="005A5282"/>
    <w:rsid w:val="005A5463"/>
    <w:rsid w:val="005A558C"/>
    <w:rsid w:val="005A5666"/>
    <w:rsid w:val="005A5B61"/>
    <w:rsid w:val="005A5BAF"/>
    <w:rsid w:val="005A5BCA"/>
    <w:rsid w:val="005A5BD7"/>
    <w:rsid w:val="005A5CD9"/>
    <w:rsid w:val="005A6012"/>
    <w:rsid w:val="005A6258"/>
    <w:rsid w:val="005A6825"/>
    <w:rsid w:val="005A68BD"/>
    <w:rsid w:val="005A6BA7"/>
    <w:rsid w:val="005A6F8D"/>
    <w:rsid w:val="005A71D7"/>
    <w:rsid w:val="005A7391"/>
    <w:rsid w:val="005A74F7"/>
    <w:rsid w:val="005A759E"/>
    <w:rsid w:val="005A7695"/>
    <w:rsid w:val="005A7714"/>
    <w:rsid w:val="005A780E"/>
    <w:rsid w:val="005A7882"/>
    <w:rsid w:val="005A7B3E"/>
    <w:rsid w:val="005A7BC8"/>
    <w:rsid w:val="005A7CDC"/>
    <w:rsid w:val="005B016F"/>
    <w:rsid w:val="005B0195"/>
    <w:rsid w:val="005B0229"/>
    <w:rsid w:val="005B06E4"/>
    <w:rsid w:val="005B0CEB"/>
    <w:rsid w:val="005B0D15"/>
    <w:rsid w:val="005B0D4D"/>
    <w:rsid w:val="005B12E4"/>
    <w:rsid w:val="005B147E"/>
    <w:rsid w:val="005B168D"/>
    <w:rsid w:val="005B180C"/>
    <w:rsid w:val="005B18BE"/>
    <w:rsid w:val="005B1CE8"/>
    <w:rsid w:val="005B1D1F"/>
    <w:rsid w:val="005B1D62"/>
    <w:rsid w:val="005B1F35"/>
    <w:rsid w:val="005B211D"/>
    <w:rsid w:val="005B2354"/>
    <w:rsid w:val="005B2392"/>
    <w:rsid w:val="005B27BF"/>
    <w:rsid w:val="005B2852"/>
    <w:rsid w:val="005B3082"/>
    <w:rsid w:val="005B30AA"/>
    <w:rsid w:val="005B336F"/>
    <w:rsid w:val="005B35B0"/>
    <w:rsid w:val="005B3695"/>
    <w:rsid w:val="005B3734"/>
    <w:rsid w:val="005B39B9"/>
    <w:rsid w:val="005B3AC0"/>
    <w:rsid w:val="005B3BB4"/>
    <w:rsid w:val="005B3D60"/>
    <w:rsid w:val="005B3E4D"/>
    <w:rsid w:val="005B4064"/>
    <w:rsid w:val="005B4071"/>
    <w:rsid w:val="005B41DC"/>
    <w:rsid w:val="005B4699"/>
    <w:rsid w:val="005B46E3"/>
    <w:rsid w:val="005B47FC"/>
    <w:rsid w:val="005B4A1A"/>
    <w:rsid w:val="005B4A25"/>
    <w:rsid w:val="005B4C71"/>
    <w:rsid w:val="005B52CA"/>
    <w:rsid w:val="005B53D2"/>
    <w:rsid w:val="005B5454"/>
    <w:rsid w:val="005B59AD"/>
    <w:rsid w:val="005B5B2E"/>
    <w:rsid w:val="005B5C50"/>
    <w:rsid w:val="005B5C66"/>
    <w:rsid w:val="005B6224"/>
    <w:rsid w:val="005B632E"/>
    <w:rsid w:val="005B6414"/>
    <w:rsid w:val="005B6C0B"/>
    <w:rsid w:val="005B6E15"/>
    <w:rsid w:val="005B6EDE"/>
    <w:rsid w:val="005B7284"/>
    <w:rsid w:val="005B74B9"/>
    <w:rsid w:val="005B7564"/>
    <w:rsid w:val="005B78A4"/>
    <w:rsid w:val="005B7D8B"/>
    <w:rsid w:val="005B7F03"/>
    <w:rsid w:val="005B7F58"/>
    <w:rsid w:val="005C0116"/>
    <w:rsid w:val="005C014E"/>
    <w:rsid w:val="005C03B2"/>
    <w:rsid w:val="005C06DE"/>
    <w:rsid w:val="005C105E"/>
    <w:rsid w:val="005C1174"/>
    <w:rsid w:val="005C11E9"/>
    <w:rsid w:val="005C122F"/>
    <w:rsid w:val="005C17E9"/>
    <w:rsid w:val="005C192C"/>
    <w:rsid w:val="005C1B34"/>
    <w:rsid w:val="005C1E60"/>
    <w:rsid w:val="005C1F44"/>
    <w:rsid w:val="005C240B"/>
    <w:rsid w:val="005C2467"/>
    <w:rsid w:val="005C251F"/>
    <w:rsid w:val="005C30E8"/>
    <w:rsid w:val="005C3C66"/>
    <w:rsid w:val="005C426F"/>
    <w:rsid w:val="005C44F6"/>
    <w:rsid w:val="005C48B4"/>
    <w:rsid w:val="005C4FF1"/>
    <w:rsid w:val="005C526E"/>
    <w:rsid w:val="005C543B"/>
    <w:rsid w:val="005C572C"/>
    <w:rsid w:val="005C5890"/>
    <w:rsid w:val="005C58E3"/>
    <w:rsid w:val="005C6299"/>
    <w:rsid w:val="005C62C2"/>
    <w:rsid w:val="005C68DA"/>
    <w:rsid w:val="005C68F3"/>
    <w:rsid w:val="005C69EB"/>
    <w:rsid w:val="005C76F0"/>
    <w:rsid w:val="005C7701"/>
    <w:rsid w:val="005C7760"/>
    <w:rsid w:val="005C7C21"/>
    <w:rsid w:val="005C7D89"/>
    <w:rsid w:val="005C7F40"/>
    <w:rsid w:val="005D0B7F"/>
    <w:rsid w:val="005D0C12"/>
    <w:rsid w:val="005D0C5A"/>
    <w:rsid w:val="005D0F9E"/>
    <w:rsid w:val="005D1077"/>
    <w:rsid w:val="005D122F"/>
    <w:rsid w:val="005D1A4B"/>
    <w:rsid w:val="005D2858"/>
    <w:rsid w:val="005D2B10"/>
    <w:rsid w:val="005D2B18"/>
    <w:rsid w:val="005D2BBD"/>
    <w:rsid w:val="005D2E67"/>
    <w:rsid w:val="005D2FF6"/>
    <w:rsid w:val="005D321F"/>
    <w:rsid w:val="005D33F0"/>
    <w:rsid w:val="005D352D"/>
    <w:rsid w:val="005D3A6F"/>
    <w:rsid w:val="005D3BF5"/>
    <w:rsid w:val="005D4312"/>
    <w:rsid w:val="005D44C4"/>
    <w:rsid w:val="005D45B0"/>
    <w:rsid w:val="005D4830"/>
    <w:rsid w:val="005D4B80"/>
    <w:rsid w:val="005D4F12"/>
    <w:rsid w:val="005D4F97"/>
    <w:rsid w:val="005D51BE"/>
    <w:rsid w:val="005D52F3"/>
    <w:rsid w:val="005D52F4"/>
    <w:rsid w:val="005D5326"/>
    <w:rsid w:val="005D53F8"/>
    <w:rsid w:val="005D5755"/>
    <w:rsid w:val="005D5945"/>
    <w:rsid w:val="005D676C"/>
    <w:rsid w:val="005D6B4F"/>
    <w:rsid w:val="005D6DB3"/>
    <w:rsid w:val="005D6EEC"/>
    <w:rsid w:val="005D7001"/>
    <w:rsid w:val="005D77E2"/>
    <w:rsid w:val="005D7A5C"/>
    <w:rsid w:val="005D7E4D"/>
    <w:rsid w:val="005D7EDB"/>
    <w:rsid w:val="005D7FEF"/>
    <w:rsid w:val="005E0378"/>
    <w:rsid w:val="005E060C"/>
    <w:rsid w:val="005E082F"/>
    <w:rsid w:val="005E099F"/>
    <w:rsid w:val="005E0DFE"/>
    <w:rsid w:val="005E11D3"/>
    <w:rsid w:val="005E1246"/>
    <w:rsid w:val="005E1454"/>
    <w:rsid w:val="005E15D1"/>
    <w:rsid w:val="005E218B"/>
    <w:rsid w:val="005E2497"/>
    <w:rsid w:val="005E258D"/>
    <w:rsid w:val="005E2645"/>
    <w:rsid w:val="005E278A"/>
    <w:rsid w:val="005E28E2"/>
    <w:rsid w:val="005E29B9"/>
    <w:rsid w:val="005E2C84"/>
    <w:rsid w:val="005E2F94"/>
    <w:rsid w:val="005E2FF8"/>
    <w:rsid w:val="005E310B"/>
    <w:rsid w:val="005E36C4"/>
    <w:rsid w:val="005E3913"/>
    <w:rsid w:val="005E3C15"/>
    <w:rsid w:val="005E3F6E"/>
    <w:rsid w:val="005E43F5"/>
    <w:rsid w:val="005E4534"/>
    <w:rsid w:val="005E459B"/>
    <w:rsid w:val="005E4982"/>
    <w:rsid w:val="005E4A1B"/>
    <w:rsid w:val="005E4C83"/>
    <w:rsid w:val="005E5190"/>
    <w:rsid w:val="005E527F"/>
    <w:rsid w:val="005E536C"/>
    <w:rsid w:val="005E58B9"/>
    <w:rsid w:val="005E58ED"/>
    <w:rsid w:val="005E5A49"/>
    <w:rsid w:val="005E5BD3"/>
    <w:rsid w:val="005E5FBE"/>
    <w:rsid w:val="005E601B"/>
    <w:rsid w:val="005E6206"/>
    <w:rsid w:val="005E651C"/>
    <w:rsid w:val="005E6595"/>
    <w:rsid w:val="005E694F"/>
    <w:rsid w:val="005E6D31"/>
    <w:rsid w:val="005E72A5"/>
    <w:rsid w:val="005E77D3"/>
    <w:rsid w:val="005E79D0"/>
    <w:rsid w:val="005E7BED"/>
    <w:rsid w:val="005E7CC1"/>
    <w:rsid w:val="005E7E35"/>
    <w:rsid w:val="005E7FA6"/>
    <w:rsid w:val="005F0B16"/>
    <w:rsid w:val="005F0D8C"/>
    <w:rsid w:val="005F0E51"/>
    <w:rsid w:val="005F11F6"/>
    <w:rsid w:val="005F12DB"/>
    <w:rsid w:val="005F145D"/>
    <w:rsid w:val="005F1834"/>
    <w:rsid w:val="005F1DD5"/>
    <w:rsid w:val="005F1FF2"/>
    <w:rsid w:val="005F21BC"/>
    <w:rsid w:val="005F2201"/>
    <w:rsid w:val="005F28F9"/>
    <w:rsid w:val="005F2BFF"/>
    <w:rsid w:val="005F2E51"/>
    <w:rsid w:val="005F3015"/>
    <w:rsid w:val="005F3465"/>
    <w:rsid w:val="005F393D"/>
    <w:rsid w:val="005F3B4D"/>
    <w:rsid w:val="005F3C83"/>
    <w:rsid w:val="005F41A2"/>
    <w:rsid w:val="005F41B2"/>
    <w:rsid w:val="005F4278"/>
    <w:rsid w:val="005F42EA"/>
    <w:rsid w:val="005F471B"/>
    <w:rsid w:val="005F48B6"/>
    <w:rsid w:val="005F4943"/>
    <w:rsid w:val="005F517F"/>
    <w:rsid w:val="005F53DE"/>
    <w:rsid w:val="005F5460"/>
    <w:rsid w:val="005F5541"/>
    <w:rsid w:val="005F57B5"/>
    <w:rsid w:val="005F5B50"/>
    <w:rsid w:val="005F5BE5"/>
    <w:rsid w:val="005F6003"/>
    <w:rsid w:val="005F6572"/>
    <w:rsid w:val="005F6623"/>
    <w:rsid w:val="005F6726"/>
    <w:rsid w:val="005F6745"/>
    <w:rsid w:val="005F67B4"/>
    <w:rsid w:val="005F69DB"/>
    <w:rsid w:val="005F6AD4"/>
    <w:rsid w:val="005F6AD5"/>
    <w:rsid w:val="005F798F"/>
    <w:rsid w:val="005F7ADB"/>
    <w:rsid w:val="005F7BA1"/>
    <w:rsid w:val="005F7D75"/>
    <w:rsid w:val="005F7F03"/>
    <w:rsid w:val="005FD596"/>
    <w:rsid w:val="006002B2"/>
    <w:rsid w:val="006003B3"/>
    <w:rsid w:val="00600E38"/>
    <w:rsid w:val="0060107F"/>
    <w:rsid w:val="00601250"/>
    <w:rsid w:val="00601376"/>
    <w:rsid w:val="006013CB"/>
    <w:rsid w:val="00601A3D"/>
    <w:rsid w:val="00601E7C"/>
    <w:rsid w:val="0060204C"/>
    <w:rsid w:val="0060283D"/>
    <w:rsid w:val="006028BD"/>
    <w:rsid w:val="006028C0"/>
    <w:rsid w:val="00602EAA"/>
    <w:rsid w:val="00602F1A"/>
    <w:rsid w:val="006033A9"/>
    <w:rsid w:val="006036A7"/>
    <w:rsid w:val="00603A45"/>
    <w:rsid w:val="00603CF1"/>
    <w:rsid w:val="00604002"/>
    <w:rsid w:val="006042C4"/>
    <w:rsid w:val="006048AB"/>
    <w:rsid w:val="00604940"/>
    <w:rsid w:val="006049B6"/>
    <w:rsid w:val="00604B1F"/>
    <w:rsid w:val="00604CFF"/>
    <w:rsid w:val="00604F06"/>
    <w:rsid w:val="00604F56"/>
    <w:rsid w:val="00605567"/>
    <w:rsid w:val="006056EA"/>
    <w:rsid w:val="006058C4"/>
    <w:rsid w:val="006065D2"/>
    <w:rsid w:val="0060681E"/>
    <w:rsid w:val="0060684E"/>
    <w:rsid w:val="00606B07"/>
    <w:rsid w:val="00606BE6"/>
    <w:rsid w:val="00606EE1"/>
    <w:rsid w:val="006073EF"/>
    <w:rsid w:val="00610169"/>
    <w:rsid w:val="006103EB"/>
    <w:rsid w:val="00610567"/>
    <w:rsid w:val="0061064E"/>
    <w:rsid w:val="006106B1"/>
    <w:rsid w:val="006108C3"/>
    <w:rsid w:val="00611364"/>
    <w:rsid w:val="00611BAC"/>
    <w:rsid w:val="00611E30"/>
    <w:rsid w:val="00611F57"/>
    <w:rsid w:val="00611FE1"/>
    <w:rsid w:val="006120DC"/>
    <w:rsid w:val="006121FA"/>
    <w:rsid w:val="00612635"/>
    <w:rsid w:val="0061266E"/>
    <w:rsid w:val="006126B3"/>
    <w:rsid w:val="00612959"/>
    <w:rsid w:val="00612A34"/>
    <w:rsid w:val="00612C46"/>
    <w:rsid w:val="006130D4"/>
    <w:rsid w:val="0061335F"/>
    <w:rsid w:val="006134F6"/>
    <w:rsid w:val="006136F2"/>
    <w:rsid w:val="00613AAD"/>
    <w:rsid w:val="00613C2B"/>
    <w:rsid w:val="00613CBB"/>
    <w:rsid w:val="006140DB"/>
    <w:rsid w:val="00614188"/>
    <w:rsid w:val="00614931"/>
    <w:rsid w:val="006149DC"/>
    <w:rsid w:val="00614DD0"/>
    <w:rsid w:val="0061518D"/>
    <w:rsid w:val="006151AC"/>
    <w:rsid w:val="00615634"/>
    <w:rsid w:val="00615799"/>
    <w:rsid w:val="006159EF"/>
    <w:rsid w:val="00615AD2"/>
    <w:rsid w:val="00615C9C"/>
    <w:rsid w:val="00615FEA"/>
    <w:rsid w:val="0061631C"/>
    <w:rsid w:val="0061687B"/>
    <w:rsid w:val="00616962"/>
    <w:rsid w:val="006169C4"/>
    <w:rsid w:val="00616B6D"/>
    <w:rsid w:val="00616FCC"/>
    <w:rsid w:val="0061769B"/>
    <w:rsid w:val="006176EA"/>
    <w:rsid w:val="00617FF9"/>
    <w:rsid w:val="006206C5"/>
    <w:rsid w:val="006208E6"/>
    <w:rsid w:val="0062145D"/>
    <w:rsid w:val="006214BF"/>
    <w:rsid w:val="0062150A"/>
    <w:rsid w:val="00621613"/>
    <w:rsid w:val="00621653"/>
    <w:rsid w:val="00621F8E"/>
    <w:rsid w:val="006223A4"/>
    <w:rsid w:val="00622873"/>
    <w:rsid w:val="006228B1"/>
    <w:rsid w:val="00622AD0"/>
    <w:rsid w:val="006232A5"/>
    <w:rsid w:val="00623B1D"/>
    <w:rsid w:val="006244A3"/>
    <w:rsid w:val="00624591"/>
    <w:rsid w:val="006245C6"/>
    <w:rsid w:val="00624A78"/>
    <w:rsid w:val="006252B9"/>
    <w:rsid w:val="00625332"/>
    <w:rsid w:val="0062539C"/>
    <w:rsid w:val="006255AC"/>
    <w:rsid w:val="006255D5"/>
    <w:rsid w:val="0062598B"/>
    <w:rsid w:val="006259FD"/>
    <w:rsid w:val="00625A1A"/>
    <w:rsid w:val="00625AA2"/>
    <w:rsid w:val="00625C4B"/>
    <w:rsid w:val="00625D19"/>
    <w:rsid w:val="00625D5D"/>
    <w:rsid w:val="00625EAB"/>
    <w:rsid w:val="00625F53"/>
    <w:rsid w:val="00626358"/>
    <w:rsid w:val="0062651F"/>
    <w:rsid w:val="0062685C"/>
    <w:rsid w:val="00626ABF"/>
    <w:rsid w:val="00626B6E"/>
    <w:rsid w:val="00626BC1"/>
    <w:rsid w:val="00626C60"/>
    <w:rsid w:val="00626FD3"/>
    <w:rsid w:val="00627270"/>
    <w:rsid w:val="0062749F"/>
    <w:rsid w:val="006277EE"/>
    <w:rsid w:val="00627A38"/>
    <w:rsid w:val="00627A89"/>
    <w:rsid w:val="006303DA"/>
    <w:rsid w:val="00630475"/>
    <w:rsid w:val="00630486"/>
    <w:rsid w:val="0063048E"/>
    <w:rsid w:val="00630AF6"/>
    <w:rsid w:val="00630B28"/>
    <w:rsid w:val="006310B1"/>
    <w:rsid w:val="006312F3"/>
    <w:rsid w:val="00631301"/>
    <w:rsid w:val="006316F2"/>
    <w:rsid w:val="00631CDD"/>
    <w:rsid w:val="00632102"/>
    <w:rsid w:val="00632258"/>
    <w:rsid w:val="0063256A"/>
    <w:rsid w:val="0063265D"/>
    <w:rsid w:val="006326E1"/>
    <w:rsid w:val="00632BC5"/>
    <w:rsid w:val="00632C85"/>
    <w:rsid w:val="00633096"/>
    <w:rsid w:val="006330E8"/>
    <w:rsid w:val="0063343E"/>
    <w:rsid w:val="006334D3"/>
    <w:rsid w:val="00633BA5"/>
    <w:rsid w:val="00633BAF"/>
    <w:rsid w:val="0063409C"/>
    <w:rsid w:val="0063442A"/>
    <w:rsid w:val="0063448F"/>
    <w:rsid w:val="006344B2"/>
    <w:rsid w:val="0063452E"/>
    <w:rsid w:val="0063488F"/>
    <w:rsid w:val="00634908"/>
    <w:rsid w:val="00634920"/>
    <w:rsid w:val="00634C6E"/>
    <w:rsid w:val="00634FA3"/>
    <w:rsid w:val="006350D9"/>
    <w:rsid w:val="0063514C"/>
    <w:rsid w:val="006352BB"/>
    <w:rsid w:val="0063539A"/>
    <w:rsid w:val="006353F2"/>
    <w:rsid w:val="00635405"/>
    <w:rsid w:val="0063568A"/>
    <w:rsid w:val="006357C6"/>
    <w:rsid w:val="00635A28"/>
    <w:rsid w:val="00636010"/>
    <w:rsid w:val="006360ED"/>
    <w:rsid w:val="0063615E"/>
    <w:rsid w:val="00636252"/>
    <w:rsid w:val="00636288"/>
    <w:rsid w:val="00636318"/>
    <w:rsid w:val="006364A0"/>
    <w:rsid w:val="006367A0"/>
    <w:rsid w:val="00636BA1"/>
    <w:rsid w:val="00636C83"/>
    <w:rsid w:val="006378F3"/>
    <w:rsid w:val="0063796B"/>
    <w:rsid w:val="006402DD"/>
    <w:rsid w:val="006407FF"/>
    <w:rsid w:val="00640B3F"/>
    <w:rsid w:val="00640C5D"/>
    <w:rsid w:val="006411AD"/>
    <w:rsid w:val="006414DC"/>
    <w:rsid w:val="006415FC"/>
    <w:rsid w:val="006423C0"/>
    <w:rsid w:val="0064245C"/>
    <w:rsid w:val="00642788"/>
    <w:rsid w:val="006428D0"/>
    <w:rsid w:val="00642BD3"/>
    <w:rsid w:val="00643089"/>
    <w:rsid w:val="00643377"/>
    <w:rsid w:val="006438FE"/>
    <w:rsid w:val="00643EF7"/>
    <w:rsid w:val="00644724"/>
    <w:rsid w:val="006447B4"/>
    <w:rsid w:val="00644A6B"/>
    <w:rsid w:val="00645A0A"/>
    <w:rsid w:val="00645A9F"/>
    <w:rsid w:val="00645E00"/>
    <w:rsid w:val="00645F6C"/>
    <w:rsid w:val="00646008"/>
    <w:rsid w:val="00646055"/>
    <w:rsid w:val="0064644F"/>
    <w:rsid w:val="0064652D"/>
    <w:rsid w:val="006469AA"/>
    <w:rsid w:val="00646FB6"/>
    <w:rsid w:val="0064761C"/>
    <w:rsid w:val="00647AD9"/>
    <w:rsid w:val="00647CAA"/>
    <w:rsid w:val="00647E1F"/>
    <w:rsid w:val="00647FE3"/>
    <w:rsid w:val="00650143"/>
    <w:rsid w:val="006507F8"/>
    <w:rsid w:val="0065086F"/>
    <w:rsid w:val="006508A6"/>
    <w:rsid w:val="00650D2A"/>
    <w:rsid w:val="00650F25"/>
    <w:rsid w:val="006512C4"/>
    <w:rsid w:val="00651405"/>
    <w:rsid w:val="0065154C"/>
    <w:rsid w:val="006518AC"/>
    <w:rsid w:val="00651F6C"/>
    <w:rsid w:val="00652BAB"/>
    <w:rsid w:val="00652F29"/>
    <w:rsid w:val="0065321F"/>
    <w:rsid w:val="00653294"/>
    <w:rsid w:val="006535C8"/>
    <w:rsid w:val="006536FB"/>
    <w:rsid w:val="00653822"/>
    <w:rsid w:val="006539F2"/>
    <w:rsid w:val="00653AC4"/>
    <w:rsid w:val="006540DB"/>
    <w:rsid w:val="0065459C"/>
    <w:rsid w:val="00654AFC"/>
    <w:rsid w:val="00654D16"/>
    <w:rsid w:val="00654ECE"/>
    <w:rsid w:val="006550C1"/>
    <w:rsid w:val="0065558C"/>
    <w:rsid w:val="00655758"/>
    <w:rsid w:val="006557C1"/>
    <w:rsid w:val="00655907"/>
    <w:rsid w:val="00655918"/>
    <w:rsid w:val="006559DA"/>
    <w:rsid w:val="00655B9D"/>
    <w:rsid w:val="00655CC9"/>
    <w:rsid w:val="00656B40"/>
    <w:rsid w:val="00656CBB"/>
    <w:rsid w:val="00656DA1"/>
    <w:rsid w:val="00656E87"/>
    <w:rsid w:val="00656F05"/>
    <w:rsid w:val="006570AE"/>
    <w:rsid w:val="006573B4"/>
    <w:rsid w:val="0065754E"/>
    <w:rsid w:val="006576E3"/>
    <w:rsid w:val="00657793"/>
    <w:rsid w:val="006579A4"/>
    <w:rsid w:val="00657D07"/>
    <w:rsid w:val="00660166"/>
    <w:rsid w:val="00660465"/>
    <w:rsid w:val="006608BD"/>
    <w:rsid w:val="00660DAD"/>
    <w:rsid w:val="006613D1"/>
    <w:rsid w:val="006614DA"/>
    <w:rsid w:val="006615C8"/>
    <w:rsid w:val="00661989"/>
    <w:rsid w:val="0066207C"/>
    <w:rsid w:val="0066259A"/>
    <w:rsid w:val="0066278E"/>
    <w:rsid w:val="00662D3D"/>
    <w:rsid w:val="006630A4"/>
    <w:rsid w:val="0066344C"/>
    <w:rsid w:val="00663657"/>
    <w:rsid w:val="006636F5"/>
    <w:rsid w:val="0066371E"/>
    <w:rsid w:val="00663FE4"/>
    <w:rsid w:val="006640E0"/>
    <w:rsid w:val="0066422B"/>
    <w:rsid w:val="006642D1"/>
    <w:rsid w:val="006642E3"/>
    <w:rsid w:val="006643C9"/>
    <w:rsid w:val="006644F3"/>
    <w:rsid w:val="0066468D"/>
    <w:rsid w:val="00664BAE"/>
    <w:rsid w:val="00664F24"/>
    <w:rsid w:val="0066511F"/>
    <w:rsid w:val="00665129"/>
    <w:rsid w:val="00665461"/>
    <w:rsid w:val="00665516"/>
    <w:rsid w:val="0066587B"/>
    <w:rsid w:val="00665AC8"/>
    <w:rsid w:val="00665E01"/>
    <w:rsid w:val="00665E45"/>
    <w:rsid w:val="00665EA0"/>
    <w:rsid w:val="00665FAC"/>
    <w:rsid w:val="00666340"/>
    <w:rsid w:val="006665C4"/>
    <w:rsid w:val="00666992"/>
    <w:rsid w:val="00666A76"/>
    <w:rsid w:val="00666CB8"/>
    <w:rsid w:val="00666CBF"/>
    <w:rsid w:val="006674A2"/>
    <w:rsid w:val="00667562"/>
    <w:rsid w:val="00667627"/>
    <w:rsid w:val="006679DC"/>
    <w:rsid w:val="00667A86"/>
    <w:rsid w:val="00667B10"/>
    <w:rsid w:val="00667E02"/>
    <w:rsid w:val="00670138"/>
    <w:rsid w:val="006703D0"/>
    <w:rsid w:val="00670466"/>
    <w:rsid w:val="00670550"/>
    <w:rsid w:val="00670767"/>
    <w:rsid w:val="00670823"/>
    <w:rsid w:val="00670B57"/>
    <w:rsid w:val="00670C06"/>
    <w:rsid w:val="00670C2B"/>
    <w:rsid w:val="00671017"/>
    <w:rsid w:val="006713B1"/>
    <w:rsid w:val="0067144A"/>
    <w:rsid w:val="00671C7A"/>
    <w:rsid w:val="00671EF0"/>
    <w:rsid w:val="00672486"/>
    <w:rsid w:val="00672894"/>
    <w:rsid w:val="00672B32"/>
    <w:rsid w:val="00672C7F"/>
    <w:rsid w:val="00672EC3"/>
    <w:rsid w:val="00673B62"/>
    <w:rsid w:val="00673CE8"/>
    <w:rsid w:val="00673D81"/>
    <w:rsid w:val="00673DBE"/>
    <w:rsid w:val="00674586"/>
    <w:rsid w:val="00674832"/>
    <w:rsid w:val="00674BF5"/>
    <w:rsid w:val="00674C8F"/>
    <w:rsid w:val="0067536B"/>
    <w:rsid w:val="00675432"/>
    <w:rsid w:val="00675B3D"/>
    <w:rsid w:val="00675C78"/>
    <w:rsid w:val="00675D07"/>
    <w:rsid w:val="00675E8C"/>
    <w:rsid w:val="00676FE8"/>
    <w:rsid w:val="006772ED"/>
    <w:rsid w:val="00677513"/>
    <w:rsid w:val="0067783C"/>
    <w:rsid w:val="00677E08"/>
    <w:rsid w:val="00677EF4"/>
    <w:rsid w:val="00677FAA"/>
    <w:rsid w:val="00680080"/>
    <w:rsid w:val="00680685"/>
    <w:rsid w:val="006806D3"/>
    <w:rsid w:val="006809A4"/>
    <w:rsid w:val="00680C7C"/>
    <w:rsid w:val="006815AB"/>
    <w:rsid w:val="00681937"/>
    <w:rsid w:val="00681BB9"/>
    <w:rsid w:val="006820B2"/>
    <w:rsid w:val="006820C5"/>
    <w:rsid w:val="00682175"/>
    <w:rsid w:val="0068219D"/>
    <w:rsid w:val="006827A5"/>
    <w:rsid w:val="006827E0"/>
    <w:rsid w:val="0068291C"/>
    <w:rsid w:val="00682A53"/>
    <w:rsid w:val="00682B6A"/>
    <w:rsid w:val="00682D89"/>
    <w:rsid w:val="00682E0D"/>
    <w:rsid w:val="0068307F"/>
    <w:rsid w:val="006830D4"/>
    <w:rsid w:val="006830DD"/>
    <w:rsid w:val="00683248"/>
    <w:rsid w:val="0068369F"/>
    <w:rsid w:val="0068382C"/>
    <w:rsid w:val="00683874"/>
    <w:rsid w:val="00683BC5"/>
    <w:rsid w:val="00683C07"/>
    <w:rsid w:val="00683DBA"/>
    <w:rsid w:val="00684228"/>
    <w:rsid w:val="006843B8"/>
    <w:rsid w:val="00684712"/>
    <w:rsid w:val="00684999"/>
    <w:rsid w:val="00684B3A"/>
    <w:rsid w:val="00684E6C"/>
    <w:rsid w:val="00685432"/>
    <w:rsid w:val="006856A7"/>
    <w:rsid w:val="00685C85"/>
    <w:rsid w:val="00685F52"/>
    <w:rsid w:val="0068601C"/>
    <w:rsid w:val="0068641E"/>
    <w:rsid w:val="0068646D"/>
    <w:rsid w:val="006866E3"/>
    <w:rsid w:val="006868FC"/>
    <w:rsid w:val="00686A0D"/>
    <w:rsid w:val="00686D80"/>
    <w:rsid w:val="0068773D"/>
    <w:rsid w:val="00687FFB"/>
    <w:rsid w:val="0069012A"/>
    <w:rsid w:val="006903B1"/>
    <w:rsid w:val="00690501"/>
    <w:rsid w:val="00690B13"/>
    <w:rsid w:val="00691110"/>
    <w:rsid w:val="00691307"/>
    <w:rsid w:val="006914F8"/>
    <w:rsid w:val="0069158F"/>
    <w:rsid w:val="006915DE"/>
    <w:rsid w:val="00691D2F"/>
    <w:rsid w:val="00691DC9"/>
    <w:rsid w:val="00691FD9"/>
    <w:rsid w:val="006921E6"/>
    <w:rsid w:val="006923BA"/>
    <w:rsid w:val="00692602"/>
    <w:rsid w:val="00692B95"/>
    <w:rsid w:val="0069340E"/>
    <w:rsid w:val="0069368E"/>
    <w:rsid w:val="006939F9"/>
    <w:rsid w:val="00693EA6"/>
    <w:rsid w:val="006942C2"/>
    <w:rsid w:val="00694369"/>
    <w:rsid w:val="006943A4"/>
    <w:rsid w:val="00694786"/>
    <w:rsid w:val="0069489D"/>
    <w:rsid w:val="00694ECB"/>
    <w:rsid w:val="0069515F"/>
    <w:rsid w:val="0069565C"/>
    <w:rsid w:val="006957EB"/>
    <w:rsid w:val="00695D69"/>
    <w:rsid w:val="00695F31"/>
    <w:rsid w:val="00695FF6"/>
    <w:rsid w:val="006960B5"/>
    <w:rsid w:val="006963ED"/>
    <w:rsid w:val="00696695"/>
    <w:rsid w:val="00696B9B"/>
    <w:rsid w:val="00696D59"/>
    <w:rsid w:val="0069710B"/>
    <w:rsid w:val="00697594"/>
    <w:rsid w:val="0069761B"/>
    <w:rsid w:val="00697C0E"/>
    <w:rsid w:val="006A005E"/>
    <w:rsid w:val="006A01B0"/>
    <w:rsid w:val="006A046E"/>
    <w:rsid w:val="006A05E3"/>
    <w:rsid w:val="006A09E2"/>
    <w:rsid w:val="006A1148"/>
    <w:rsid w:val="006A1D69"/>
    <w:rsid w:val="006A249E"/>
    <w:rsid w:val="006A2559"/>
    <w:rsid w:val="006A2A8B"/>
    <w:rsid w:val="006A2AB9"/>
    <w:rsid w:val="006A2C91"/>
    <w:rsid w:val="006A2EDB"/>
    <w:rsid w:val="006A35D1"/>
    <w:rsid w:val="006A3810"/>
    <w:rsid w:val="006A381B"/>
    <w:rsid w:val="006A3B7B"/>
    <w:rsid w:val="006A3BB6"/>
    <w:rsid w:val="006A3BF9"/>
    <w:rsid w:val="006A4112"/>
    <w:rsid w:val="006A44A7"/>
    <w:rsid w:val="006A4642"/>
    <w:rsid w:val="006A46EC"/>
    <w:rsid w:val="006A47A0"/>
    <w:rsid w:val="006A4914"/>
    <w:rsid w:val="006A4A9D"/>
    <w:rsid w:val="006A4AFB"/>
    <w:rsid w:val="006A4CE7"/>
    <w:rsid w:val="006A50F7"/>
    <w:rsid w:val="006A54B4"/>
    <w:rsid w:val="006A5802"/>
    <w:rsid w:val="006A599D"/>
    <w:rsid w:val="006A59D4"/>
    <w:rsid w:val="006A5E95"/>
    <w:rsid w:val="006A610C"/>
    <w:rsid w:val="006A611E"/>
    <w:rsid w:val="006A62A7"/>
    <w:rsid w:val="006A6912"/>
    <w:rsid w:val="006A6A9E"/>
    <w:rsid w:val="006A6D78"/>
    <w:rsid w:val="006A6E84"/>
    <w:rsid w:val="006A715C"/>
    <w:rsid w:val="006A7519"/>
    <w:rsid w:val="006A7522"/>
    <w:rsid w:val="006A79F2"/>
    <w:rsid w:val="006A7C21"/>
    <w:rsid w:val="006A7CF4"/>
    <w:rsid w:val="006B008D"/>
    <w:rsid w:val="006B0293"/>
    <w:rsid w:val="006B0298"/>
    <w:rsid w:val="006B0548"/>
    <w:rsid w:val="006B0A04"/>
    <w:rsid w:val="006B0B59"/>
    <w:rsid w:val="006B0D3F"/>
    <w:rsid w:val="006B0F5B"/>
    <w:rsid w:val="006B12D5"/>
    <w:rsid w:val="006B181B"/>
    <w:rsid w:val="006B1B7F"/>
    <w:rsid w:val="006B1E13"/>
    <w:rsid w:val="006B2013"/>
    <w:rsid w:val="006B22E3"/>
    <w:rsid w:val="006B27B7"/>
    <w:rsid w:val="006B2827"/>
    <w:rsid w:val="006B30EC"/>
    <w:rsid w:val="006B365F"/>
    <w:rsid w:val="006B368D"/>
    <w:rsid w:val="006B3B84"/>
    <w:rsid w:val="006B3BCC"/>
    <w:rsid w:val="006B3C52"/>
    <w:rsid w:val="006B3CEC"/>
    <w:rsid w:val="006B3D95"/>
    <w:rsid w:val="006B3F2D"/>
    <w:rsid w:val="006B4343"/>
    <w:rsid w:val="006B49B8"/>
    <w:rsid w:val="006B4CF3"/>
    <w:rsid w:val="006B4E1D"/>
    <w:rsid w:val="006B4F6A"/>
    <w:rsid w:val="006B5177"/>
    <w:rsid w:val="006B52AF"/>
    <w:rsid w:val="006B5629"/>
    <w:rsid w:val="006B574A"/>
    <w:rsid w:val="006B5896"/>
    <w:rsid w:val="006B5925"/>
    <w:rsid w:val="006B5935"/>
    <w:rsid w:val="006B60DB"/>
    <w:rsid w:val="006B67FA"/>
    <w:rsid w:val="006B6CC2"/>
    <w:rsid w:val="006B7273"/>
    <w:rsid w:val="006B752A"/>
    <w:rsid w:val="006B78F5"/>
    <w:rsid w:val="006C02BA"/>
    <w:rsid w:val="006C1075"/>
    <w:rsid w:val="006C1086"/>
    <w:rsid w:val="006C1088"/>
    <w:rsid w:val="006C1811"/>
    <w:rsid w:val="006C181C"/>
    <w:rsid w:val="006C196B"/>
    <w:rsid w:val="006C1A36"/>
    <w:rsid w:val="006C1B17"/>
    <w:rsid w:val="006C1B1C"/>
    <w:rsid w:val="006C1B8E"/>
    <w:rsid w:val="006C1CB1"/>
    <w:rsid w:val="006C1F00"/>
    <w:rsid w:val="006C1F18"/>
    <w:rsid w:val="006C231C"/>
    <w:rsid w:val="006C238D"/>
    <w:rsid w:val="006C245D"/>
    <w:rsid w:val="006C2606"/>
    <w:rsid w:val="006C26F1"/>
    <w:rsid w:val="006C2923"/>
    <w:rsid w:val="006C294D"/>
    <w:rsid w:val="006C2D0C"/>
    <w:rsid w:val="006C2FE4"/>
    <w:rsid w:val="006C32E6"/>
    <w:rsid w:val="006C3698"/>
    <w:rsid w:val="006C3937"/>
    <w:rsid w:val="006C3A36"/>
    <w:rsid w:val="006C3A9F"/>
    <w:rsid w:val="006C3AA6"/>
    <w:rsid w:val="006C3AAF"/>
    <w:rsid w:val="006C3F3E"/>
    <w:rsid w:val="006C4102"/>
    <w:rsid w:val="006C42C2"/>
    <w:rsid w:val="006C4346"/>
    <w:rsid w:val="006C44BF"/>
    <w:rsid w:val="006C44EA"/>
    <w:rsid w:val="006C4582"/>
    <w:rsid w:val="006C45A0"/>
    <w:rsid w:val="006C47A3"/>
    <w:rsid w:val="006C489A"/>
    <w:rsid w:val="006C4934"/>
    <w:rsid w:val="006C4C7C"/>
    <w:rsid w:val="006C4DD7"/>
    <w:rsid w:val="006C4FAE"/>
    <w:rsid w:val="006C58ED"/>
    <w:rsid w:val="006C5A04"/>
    <w:rsid w:val="006C5ADF"/>
    <w:rsid w:val="006C5B17"/>
    <w:rsid w:val="006C6013"/>
    <w:rsid w:val="006C6072"/>
    <w:rsid w:val="006C617C"/>
    <w:rsid w:val="006C64EB"/>
    <w:rsid w:val="006C6690"/>
    <w:rsid w:val="006C6D0A"/>
    <w:rsid w:val="006C6D31"/>
    <w:rsid w:val="006C7027"/>
    <w:rsid w:val="006C7069"/>
    <w:rsid w:val="006C70B1"/>
    <w:rsid w:val="006C70CC"/>
    <w:rsid w:val="006C7509"/>
    <w:rsid w:val="006D0186"/>
    <w:rsid w:val="006D0291"/>
    <w:rsid w:val="006D0D24"/>
    <w:rsid w:val="006D0D9C"/>
    <w:rsid w:val="006D11FC"/>
    <w:rsid w:val="006D136F"/>
    <w:rsid w:val="006D13B5"/>
    <w:rsid w:val="006D1842"/>
    <w:rsid w:val="006D2049"/>
    <w:rsid w:val="006D2370"/>
    <w:rsid w:val="006D23A4"/>
    <w:rsid w:val="006D2942"/>
    <w:rsid w:val="006D29B1"/>
    <w:rsid w:val="006D2C73"/>
    <w:rsid w:val="006D2CC2"/>
    <w:rsid w:val="006D2D6F"/>
    <w:rsid w:val="006D2EE4"/>
    <w:rsid w:val="006D3A59"/>
    <w:rsid w:val="006D43CA"/>
    <w:rsid w:val="006D44EA"/>
    <w:rsid w:val="006D48AB"/>
    <w:rsid w:val="006D4C62"/>
    <w:rsid w:val="006D4EDE"/>
    <w:rsid w:val="006D5004"/>
    <w:rsid w:val="006D54CC"/>
    <w:rsid w:val="006D5911"/>
    <w:rsid w:val="006D5B56"/>
    <w:rsid w:val="006D5FFE"/>
    <w:rsid w:val="006D6014"/>
    <w:rsid w:val="006D6763"/>
    <w:rsid w:val="006D6807"/>
    <w:rsid w:val="006D6B6D"/>
    <w:rsid w:val="006D6EC5"/>
    <w:rsid w:val="006D7202"/>
    <w:rsid w:val="006D7823"/>
    <w:rsid w:val="006D796D"/>
    <w:rsid w:val="006D7B3E"/>
    <w:rsid w:val="006D7BED"/>
    <w:rsid w:val="006D7C7D"/>
    <w:rsid w:val="006D7E40"/>
    <w:rsid w:val="006D7FC9"/>
    <w:rsid w:val="006E037C"/>
    <w:rsid w:val="006E0441"/>
    <w:rsid w:val="006E08E1"/>
    <w:rsid w:val="006E0C9D"/>
    <w:rsid w:val="006E141A"/>
    <w:rsid w:val="006E1F90"/>
    <w:rsid w:val="006E269D"/>
    <w:rsid w:val="006E2757"/>
    <w:rsid w:val="006E27EC"/>
    <w:rsid w:val="006E2A3A"/>
    <w:rsid w:val="006E2A88"/>
    <w:rsid w:val="006E3197"/>
    <w:rsid w:val="006E3496"/>
    <w:rsid w:val="006E3851"/>
    <w:rsid w:val="006E3853"/>
    <w:rsid w:val="006E3ACD"/>
    <w:rsid w:val="006E3B0E"/>
    <w:rsid w:val="006E3B46"/>
    <w:rsid w:val="006E3C0B"/>
    <w:rsid w:val="006E3CBA"/>
    <w:rsid w:val="006E3DF5"/>
    <w:rsid w:val="006E3E42"/>
    <w:rsid w:val="006E4088"/>
    <w:rsid w:val="006E40C1"/>
    <w:rsid w:val="006E4128"/>
    <w:rsid w:val="006E426A"/>
    <w:rsid w:val="006E45DD"/>
    <w:rsid w:val="006E4871"/>
    <w:rsid w:val="006E4A87"/>
    <w:rsid w:val="006E4C0A"/>
    <w:rsid w:val="006E4D35"/>
    <w:rsid w:val="006E4E31"/>
    <w:rsid w:val="006E4E4F"/>
    <w:rsid w:val="006E4FE7"/>
    <w:rsid w:val="006E516B"/>
    <w:rsid w:val="006E582F"/>
    <w:rsid w:val="006E5B14"/>
    <w:rsid w:val="006E5D61"/>
    <w:rsid w:val="006E5DC1"/>
    <w:rsid w:val="006E69F5"/>
    <w:rsid w:val="006E6CD8"/>
    <w:rsid w:val="006E709F"/>
    <w:rsid w:val="006E7141"/>
    <w:rsid w:val="006E732F"/>
    <w:rsid w:val="006E74BF"/>
    <w:rsid w:val="006E7703"/>
    <w:rsid w:val="006E7929"/>
    <w:rsid w:val="006E7EA0"/>
    <w:rsid w:val="006F0051"/>
    <w:rsid w:val="006F07B3"/>
    <w:rsid w:val="006F0962"/>
    <w:rsid w:val="006F0B20"/>
    <w:rsid w:val="006F0E20"/>
    <w:rsid w:val="006F1125"/>
    <w:rsid w:val="006F13A5"/>
    <w:rsid w:val="006F176C"/>
    <w:rsid w:val="006F1811"/>
    <w:rsid w:val="006F1845"/>
    <w:rsid w:val="006F1943"/>
    <w:rsid w:val="006F1BAB"/>
    <w:rsid w:val="006F1D31"/>
    <w:rsid w:val="006F1E9A"/>
    <w:rsid w:val="006F2142"/>
    <w:rsid w:val="006F2256"/>
    <w:rsid w:val="006F2339"/>
    <w:rsid w:val="006F25B3"/>
    <w:rsid w:val="006F25EC"/>
    <w:rsid w:val="006F2781"/>
    <w:rsid w:val="006F28DE"/>
    <w:rsid w:val="006F305C"/>
    <w:rsid w:val="006F308D"/>
    <w:rsid w:val="006F3300"/>
    <w:rsid w:val="006F36E4"/>
    <w:rsid w:val="006F37AA"/>
    <w:rsid w:val="006F3972"/>
    <w:rsid w:val="006F3AFD"/>
    <w:rsid w:val="006F3B9E"/>
    <w:rsid w:val="006F3C04"/>
    <w:rsid w:val="006F3F54"/>
    <w:rsid w:val="006F461E"/>
    <w:rsid w:val="006F47AD"/>
    <w:rsid w:val="006F493B"/>
    <w:rsid w:val="006F4CD7"/>
    <w:rsid w:val="006F4E51"/>
    <w:rsid w:val="006F52C8"/>
    <w:rsid w:val="006F56AC"/>
    <w:rsid w:val="006F56DF"/>
    <w:rsid w:val="006F58BF"/>
    <w:rsid w:val="006F5941"/>
    <w:rsid w:val="006F59DC"/>
    <w:rsid w:val="006F5F1B"/>
    <w:rsid w:val="006F6033"/>
    <w:rsid w:val="006F624A"/>
    <w:rsid w:val="006F625B"/>
    <w:rsid w:val="006F6400"/>
    <w:rsid w:val="006F6460"/>
    <w:rsid w:val="006F67CB"/>
    <w:rsid w:val="006F69A5"/>
    <w:rsid w:val="006F7150"/>
    <w:rsid w:val="006F727B"/>
    <w:rsid w:val="006F728F"/>
    <w:rsid w:val="006F785E"/>
    <w:rsid w:val="006F7A48"/>
    <w:rsid w:val="006F7F79"/>
    <w:rsid w:val="00700206"/>
    <w:rsid w:val="007004A4"/>
    <w:rsid w:val="007008FA"/>
    <w:rsid w:val="00700A21"/>
    <w:rsid w:val="00700B85"/>
    <w:rsid w:val="00700C8A"/>
    <w:rsid w:val="00700D12"/>
    <w:rsid w:val="00700D7C"/>
    <w:rsid w:val="007013C0"/>
    <w:rsid w:val="007014C7"/>
    <w:rsid w:val="0070170E"/>
    <w:rsid w:val="007017EC"/>
    <w:rsid w:val="0070195A"/>
    <w:rsid w:val="00701E91"/>
    <w:rsid w:val="0070201B"/>
    <w:rsid w:val="0070216B"/>
    <w:rsid w:val="0070216C"/>
    <w:rsid w:val="00702309"/>
    <w:rsid w:val="007025A5"/>
    <w:rsid w:val="00703114"/>
    <w:rsid w:val="00703A93"/>
    <w:rsid w:val="00703E07"/>
    <w:rsid w:val="007040B4"/>
    <w:rsid w:val="00705096"/>
    <w:rsid w:val="007050EF"/>
    <w:rsid w:val="007051F8"/>
    <w:rsid w:val="00705557"/>
    <w:rsid w:val="007059DF"/>
    <w:rsid w:val="00705B75"/>
    <w:rsid w:val="00705B91"/>
    <w:rsid w:val="00705E93"/>
    <w:rsid w:val="0070606B"/>
    <w:rsid w:val="0070692F"/>
    <w:rsid w:val="00706B5E"/>
    <w:rsid w:val="00706E16"/>
    <w:rsid w:val="007079DE"/>
    <w:rsid w:val="00707A93"/>
    <w:rsid w:val="00707F76"/>
    <w:rsid w:val="00710283"/>
    <w:rsid w:val="0071098E"/>
    <w:rsid w:val="00710B82"/>
    <w:rsid w:val="00710FE1"/>
    <w:rsid w:val="007110DC"/>
    <w:rsid w:val="0071172A"/>
    <w:rsid w:val="00711A1A"/>
    <w:rsid w:val="00711B33"/>
    <w:rsid w:val="00711CD6"/>
    <w:rsid w:val="00711D15"/>
    <w:rsid w:val="00711FFD"/>
    <w:rsid w:val="007123E5"/>
    <w:rsid w:val="0071268B"/>
    <w:rsid w:val="00712A4B"/>
    <w:rsid w:val="007131AC"/>
    <w:rsid w:val="00713559"/>
    <w:rsid w:val="00713599"/>
    <w:rsid w:val="007135A8"/>
    <w:rsid w:val="00713660"/>
    <w:rsid w:val="0071368B"/>
    <w:rsid w:val="007136D4"/>
    <w:rsid w:val="007137D1"/>
    <w:rsid w:val="00713854"/>
    <w:rsid w:val="00713A87"/>
    <w:rsid w:val="00713D60"/>
    <w:rsid w:val="00713E5E"/>
    <w:rsid w:val="00714510"/>
    <w:rsid w:val="0071461A"/>
    <w:rsid w:val="0071495C"/>
    <w:rsid w:val="00714D96"/>
    <w:rsid w:val="00715221"/>
    <w:rsid w:val="00715310"/>
    <w:rsid w:val="007154E1"/>
    <w:rsid w:val="00715559"/>
    <w:rsid w:val="007156D0"/>
    <w:rsid w:val="00715866"/>
    <w:rsid w:val="00715E49"/>
    <w:rsid w:val="00715E6F"/>
    <w:rsid w:val="00715EDA"/>
    <w:rsid w:val="00715F88"/>
    <w:rsid w:val="0071611C"/>
    <w:rsid w:val="00716178"/>
    <w:rsid w:val="00716185"/>
    <w:rsid w:val="0071630F"/>
    <w:rsid w:val="00716624"/>
    <w:rsid w:val="0071668C"/>
    <w:rsid w:val="007168EF"/>
    <w:rsid w:val="007168FC"/>
    <w:rsid w:val="00716F75"/>
    <w:rsid w:val="0071748A"/>
    <w:rsid w:val="007175F4"/>
    <w:rsid w:val="00717940"/>
    <w:rsid w:val="00717AE9"/>
    <w:rsid w:val="00717C81"/>
    <w:rsid w:val="00717C85"/>
    <w:rsid w:val="00720066"/>
    <w:rsid w:val="00720163"/>
    <w:rsid w:val="0072016A"/>
    <w:rsid w:val="00720284"/>
    <w:rsid w:val="00720382"/>
    <w:rsid w:val="00720790"/>
    <w:rsid w:val="00720961"/>
    <w:rsid w:val="00720A79"/>
    <w:rsid w:val="00720BB0"/>
    <w:rsid w:val="00720F89"/>
    <w:rsid w:val="00720FA6"/>
    <w:rsid w:val="00721413"/>
    <w:rsid w:val="0072141E"/>
    <w:rsid w:val="007214E4"/>
    <w:rsid w:val="00721613"/>
    <w:rsid w:val="00721B2F"/>
    <w:rsid w:val="00721C3B"/>
    <w:rsid w:val="00721FA5"/>
    <w:rsid w:val="0072244D"/>
    <w:rsid w:val="00722F3B"/>
    <w:rsid w:val="00723071"/>
    <w:rsid w:val="007230A0"/>
    <w:rsid w:val="00723107"/>
    <w:rsid w:val="007233AF"/>
    <w:rsid w:val="0072349E"/>
    <w:rsid w:val="007236DC"/>
    <w:rsid w:val="00723C31"/>
    <w:rsid w:val="00723EA4"/>
    <w:rsid w:val="00724288"/>
    <w:rsid w:val="00724426"/>
    <w:rsid w:val="00724669"/>
    <w:rsid w:val="0072475F"/>
    <w:rsid w:val="00724A57"/>
    <w:rsid w:val="00724A92"/>
    <w:rsid w:val="00724AE0"/>
    <w:rsid w:val="00724B35"/>
    <w:rsid w:val="00724D5D"/>
    <w:rsid w:val="00724EBC"/>
    <w:rsid w:val="0072518E"/>
    <w:rsid w:val="0072545C"/>
    <w:rsid w:val="007259BD"/>
    <w:rsid w:val="00725AA2"/>
    <w:rsid w:val="00725D04"/>
    <w:rsid w:val="00726406"/>
    <w:rsid w:val="007268B6"/>
    <w:rsid w:val="007270D8"/>
    <w:rsid w:val="0072762D"/>
    <w:rsid w:val="00727760"/>
    <w:rsid w:val="007301FC"/>
    <w:rsid w:val="00730424"/>
    <w:rsid w:val="007309BD"/>
    <w:rsid w:val="00730ABC"/>
    <w:rsid w:val="00730B4A"/>
    <w:rsid w:val="007315E7"/>
    <w:rsid w:val="007316A3"/>
    <w:rsid w:val="00731B69"/>
    <w:rsid w:val="00731BD5"/>
    <w:rsid w:val="00731C11"/>
    <w:rsid w:val="00731C23"/>
    <w:rsid w:val="00731E88"/>
    <w:rsid w:val="00731FF9"/>
    <w:rsid w:val="00732144"/>
    <w:rsid w:val="00732217"/>
    <w:rsid w:val="00732600"/>
    <w:rsid w:val="00732712"/>
    <w:rsid w:val="00732D40"/>
    <w:rsid w:val="00732F43"/>
    <w:rsid w:val="007330FE"/>
    <w:rsid w:val="00733258"/>
    <w:rsid w:val="007332F1"/>
    <w:rsid w:val="0073393D"/>
    <w:rsid w:val="00733A97"/>
    <w:rsid w:val="007340E7"/>
    <w:rsid w:val="007343BB"/>
    <w:rsid w:val="0073479D"/>
    <w:rsid w:val="00734DFD"/>
    <w:rsid w:val="00734E23"/>
    <w:rsid w:val="0073518C"/>
    <w:rsid w:val="007352B2"/>
    <w:rsid w:val="00735640"/>
    <w:rsid w:val="00735738"/>
    <w:rsid w:val="007362D6"/>
    <w:rsid w:val="00736733"/>
    <w:rsid w:val="0073673A"/>
    <w:rsid w:val="00736B97"/>
    <w:rsid w:val="00736DBB"/>
    <w:rsid w:val="0073735C"/>
    <w:rsid w:val="00737896"/>
    <w:rsid w:val="00737DDC"/>
    <w:rsid w:val="00740309"/>
    <w:rsid w:val="007404B8"/>
    <w:rsid w:val="0074051C"/>
    <w:rsid w:val="00740665"/>
    <w:rsid w:val="00740BE9"/>
    <w:rsid w:val="00740E7F"/>
    <w:rsid w:val="00740F26"/>
    <w:rsid w:val="00741297"/>
    <w:rsid w:val="00741B37"/>
    <w:rsid w:val="00741CC4"/>
    <w:rsid w:val="00741F9B"/>
    <w:rsid w:val="007420ED"/>
    <w:rsid w:val="00742203"/>
    <w:rsid w:val="007423E9"/>
    <w:rsid w:val="00742AEE"/>
    <w:rsid w:val="00742B38"/>
    <w:rsid w:val="00742B41"/>
    <w:rsid w:val="00743214"/>
    <w:rsid w:val="00743544"/>
    <w:rsid w:val="00743B17"/>
    <w:rsid w:val="007440E7"/>
    <w:rsid w:val="007440E9"/>
    <w:rsid w:val="00744231"/>
    <w:rsid w:val="00745416"/>
    <w:rsid w:val="00745443"/>
    <w:rsid w:val="00745935"/>
    <w:rsid w:val="00745D0D"/>
    <w:rsid w:val="00745E4B"/>
    <w:rsid w:val="00745F93"/>
    <w:rsid w:val="007464D5"/>
    <w:rsid w:val="0074679F"/>
    <w:rsid w:val="00746821"/>
    <w:rsid w:val="007468FC"/>
    <w:rsid w:val="00746A93"/>
    <w:rsid w:val="00746B6A"/>
    <w:rsid w:val="00746FD3"/>
    <w:rsid w:val="0074701E"/>
    <w:rsid w:val="007471CE"/>
    <w:rsid w:val="0074731A"/>
    <w:rsid w:val="007473DD"/>
    <w:rsid w:val="007473E3"/>
    <w:rsid w:val="007473FA"/>
    <w:rsid w:val="007478EC"/>
    <w:rsid w:val="00747952"/>
    <w:rsid w:val="00747ABB"/>
    <w:rsid w:val="00747BED"/>
    <w:rsid w:val="00747C6E"/>
    <w:rsid w:val="00747DEE"/>
    <w:rsid w:val="00747FC1"/>
    <w:rsid w:val="0075064F"/>
    <w:rsid w:val="0075070A"/>
    <w:rsid w:val="00750BD1"/>
    <w:rsid w:val="007510AE"/>
    <w:rsid w:val="0075119B"/>
    <w:rsid w:val="007513A1"/>
    <w:rsid w:val="00751419"/>
    <w:rsid w:val="007515D0"/>
    <w:rsid w:val="007517C6"/>
    <w:rsid w:val="00751975"/>
    <w:rsid w:val="00751A03"/>
    <w:rsid w:val="00751D79"/>
    <w:rsid w:val="007521FF"/>
    <w:rsid w:val="007523E4"/>
    <w:rsid w:val="00752D03"/>
    <w:rsid w:val="00752DE4"/>
    <w:rsid w:val="00753293"/>
    <w:rsid w:val="00753914"/>
    <w:rsid w:val="00753A39"/>
    <w:rsid w:val="00753B2F"/>
    <w:rsid w:val="00753CC9"/>
    <w:rsid w:val="00753CD9"/>
    <w:rsid w:val="00753D9D"/>
    <w:rsid w:val="00753F72"/>
    <w:rsid w:val="00754034"/>
    <w:rsid w:val="0075427C"/>
    <w:rsid w:val="00754723"/>
    <w:rsid w:val="00754928"/>
    <w:rsid w:val="00754C5D"/>
    <w:rsid w:val="007550A7"/>
    <w:rsid w:val="007556C7"/>
    <w:rsid w:val="00755803"/>
    <w:rsid w:val="00755B6F"/>
    <w:rsid w:val="00755B76"/>
    <w:rsid w:val="00756171"/>
    <w:rsid w:val="00756956"/>
    <w:rsid w:val="00756F96"/>
    <w:rsid w:val="007570EC"/>
    <w:rsid w:val="00757337"/>
    <w:rsid w:val="00757417"/>
    <w:rsid w:val="007579EE"/>
    <w:rsid w:val="00757B4A"/>
    <w:rsid w:val="0076005F"/>
    <w:rsid w:val="007601BA"/>
    <w:rsid w:val="00760297"/>
    <w:rsid w:val="007603C5"/>
    <w:rsid w:val="00760419"/>
    <w:rsid w:val="00760446"/>
    <w:rsid w:val="00760587"/>
    <w:rsid w:val="007606A4"/>
    <w:rsid w:val="0076092A"/>
    <w:rsid w:val="00760979"/>
    <w:rsid w:val="0076097B"/>
    <w:rsid w:val="00760A49"/>
    <w:rsid w:val="00760A9E"/>
    <w:rsid w:val="00760CD4"/>
    <w:rsid w:val="00760D3A"/>
    <w:rsid w:val="00761042"/>
    <w:rsid w:val="00761774"/>
    <w:rsid w:val="00761B56"/>
    <w:rsid w:val="00761BD3"/>
    <w:rsid w:val="00761CDB"/>
    <w:rsid w:val="00761D5A"/>
    <w:rsid w:val="00762199"/>
    <w:rsid w:val="007622B3"/>
    <w:rsid w:val="007625C2"/>
    <w:rsid w:val="00762BE3"/>
    <w:rsid w:val="0076309E"/>
    <w:rsid w:val="007633A8"/>
    <w:rsid w:val="00763414"/>
    <w:rsid w:val="00763526"/>
    <w:rsid w:val="00763642"/>
    <w:rsid w:val="00763930"/>
    <w:rsid w:val="0076446E"/>
    <w:rsid w:val="0076454B"/>
    <w:rsid w:val="007646BF"/>
    <w:rsid w:val="007646EE"/>
    <w:rsid w:val="00764918"/>
    <w:rsid w:val="007649D2"/>
    <w:rsid w:val="00764E64"/>
    <w:rsid w:val="00765163"/>
    <w:rsid w:val="007654AE"/>
    <w:rsid w:val="00765713"/>
    <w:rsid w:val="0076581D"/>
    <w:rsid w:val="007659E7"/>
    <w:rsid w:val="0076625D"/>
    <w:rsid w:val="00766830"/>
    <w:rsid w:val="00766AD0"/>
    <w:rsid w:val="007673AA"/>
    <w:rsid w:val="007675DE"/>
    <w:rsid w:val="00767A11"/>
    <w:rsid w:val="0077065D"/>
    <w:rsid w:val="0077088A"/>
    <w:rsid w:val="00770B83"/>
    <w:rsid w:val="00770DC8"/>
    <w:rsid w:val="00770FD0"/>
    <w:rsid w:val="007711D3"/>
    <w:rsid w:val="00771DF3"/>
    <w:rsid w:val="00772100"/>
    <w:rsid w:val="00772129"/>
    <w:rsid w:val="007721B5"/>
    <w:rsid w:val="0077224F"/>
    <w:rsid w:val="007723EC"/>
    <w:rsid w:val="00772A68"/>
    <w:rsid w:val="00772CE0"/>
    <w:rsid w:val="00772FD9"/>
    <w:rsid w:val="0077331E"/>
    <w:rsid w:val="007739AC"/>
    <w:rsid w:val="00773D8B"/>
    <w:rsid w:val="007740AB"/>
    <w:rsid w:val="007744DE"/>
    <w:rsid w:val="00774618"/>
    <w:rsid w:val="00774B54"/>
    <w:rsid w:val="00774B5E"/>
    <w:rsid w:val="00774B94"/>
    <w:rsid w:val="00774D0E"/>
    <w:rsid w:val="00774DE4"/>
    <w:rsid w:val="0077509F"/>
    <w:rsid w:val="00775366"/>
    <w:rsid w:val="0077552E"/>
    <w:rsid w:val="00775692"/>
    <w:rsid w:val="00775EE3"/>
    <w:rsid w:val="007761C2"/>
    <w:rsid w:val="00776262"/>
    <w:rsid w:val="00776887"/>
    <w:rsid w:val="00776F72"/>
    <w:rsid w:val="00777063"/>
    <w:rsid w:val="00777508"/>
    <w:rsid w:val="00777F9E"/>
    <w:rsid w:val="00780054"/>
    <w:rsid w:val="00780398"/>
    <w:rsid w:val="00780619"/>
    <w:rsid w:val="00780720"/>
    <w:rsid w:val="00780982"/>
    <w:rsid w:val="00780DCC"/>
    <w:rsid w:val="0078116B"/>
    <w:rsid w:val="007811EF"/>
    <w:rsid w:val="00781308"/>
    <w:rsid w:val="00781358"/>
    <w:rsid w:val="007817B5"/>
    <w:rsid w:val="0078186B"/>
    <w:rsid w:val="00781B50"/>
    <w:rsid w:val="00781DEC"/>
    <w:rsid w:val="00781FB8"/>
    <w:rsid w:val="00782108"/>
    <w:rsid w:val="00782692"/>
    <w:rsid w:val="007828B8"/>
    <w:rsid w:val="00782B38"/>
    <w:rsid w:val="00782B8A"/>
    <w:rsid w:val="00782E7F"/>
    <w:rsid w:val="0078328D"/>
    <w:rsid w:val="00783397"/>
    <w:rsid w:val="0078352C"/>
    <w:rsid w:val="0078365D"/>
    <w:rsid w:val="007836F0"/>
    <w:rsid w:val="007838CE"/>
    <w:rsid w:val="00783D91"/>
    <w:rsid w:val="00783F5F"/>
    <w:rsid w:val="00784304"/>
    <w:rsid w:val="007846E7"/>
    <w:rsid w:val="007847D0"/>
    <w:rsid w:val="00784852"/>
    <w:rsid w:val="0078487A"/>
    <w:rsid w:val="007848E4"/>
    <w:rsid w:val="00784973"/>
    <w:rsid w:val="00784D5B"/>
    <w:rsid w:val="00784F06"/>
    <w:rsid w:val="0078504B"/>
    <w:rsid w:val="00785331"/>
    <w:rsid w:val="00785427"/>
    <w:rsid w:val="007856ED"/>
    <w:rsid w:val="00785BF8"/>
    <w:rsid w:val="00785BFC"/>
    <w:rsid w:val="007866A6"/>
    <w:rsid w:val="00786926"/>
    <w:rsid w:val="0078693B"/>
    <w:rsid w:val="00786946"/>
    <w:rsid w:val="00786A2E"/>
    <w:rsid w:val="00786B61"/>
    <w:rsid w:val="00786EA6"/>
    <w:rsid w:val="00786EAB"/>
    <w:rsid w:val="00787406"/>
    <w:rsid w:val="007877D6"/>
    <w:rsid w:val="007878A9"/>
    <w:rsid w:val="0078792C"/>
    <w:rsid w:val="00787AFC"/>
    <w:rsid w:val="00787CD1"/>
    <w:rsid w:val="00787D88"/>
    <w:rsid w:val="007902F4"/>
    <w:rsid w:val="00790848"/>
    <w:rsid w:val="0079099A"/>
    <w:rsid w:val="00790AE5"/>
    <w:rsid w:val="00790CF8"/>
    <w:rsid w:val="00790E66"/>
    <w:rsid w:val="00791151"/>
    <w:rsid w:val="007911A4"/>
    <w:rsid w:val="00791B33"/>
    <w:rsid w:val="00791C9A"/>
    <w:rsid w:val="00791FC0"/>
    <w:rsid w:val="00792746"/>
    <w:rsid w:val="0079289F"/>
    <w:rsid w:val="00792938"/>
    <w:rsid w:val="00792BF6"/>
    <w:rsid w:val="00792DAD"/>
    <w:rsid w:val="00792E9A"/>
    <w:rsid w:val="00793099"/>
    <w:rsid w:val="007931FE"/>
    <w:rsid w:val="0079343E"/>
    <w:rsid w:val="007934EC"/>
    <w:rsid w:val="007936F1"/>
    <w:rsid w:val="00793791"/>
    <w:rsid w:val="007938D0"/>
    <w:rsid w:val="0079393F"/>
    <w:rsid w:val="00793A57"/>
    <w:rsid w:val="00793D7C"/>
    <w:rsid w:val="007941F1"/>
    <w:rsid w:val="0079438C"/>
    <w:rsid w:val="00794E5C"/>
    <w:rsid w:val="00794EF4"/>
    <w:rsid w:val="00794FA3"/>
    <w:rsid w:val="00795145"/>
    <w:rsid w:val="007952E3"/>
    <w:rsid w:val="007953C4"/>
    <w:rsid w:val="007956DE"/>
    <w:rsid w:val="00795D97"/>
    <w:rsid w:val="00795F0E"/>
    <w:rsid w:val="00795F11"/>
    <w:rsid w:val="00796317"/>
    <w:rsid w:val="00796397"/>
    <w:rsid w:val="0079639A"/>
    <w:rsid w:val="00796454"/>
    <w:rsid w:val="007964B1"/>
    <w:rsid w:val="00796666"/>
    <w:rsid w:val="00796807"/>
    <w:rsid w:val="00796CD0"/>
    <w:rsid w:val="0079709B"/>
    <w:rsid w:val="007972FD"/>
    <w:rsid w:val="0079742C"/>
    <w:rsid w:val="007977D2"/>
    <w:rsid w:val="00797B5A"/>
    <w:rsid w:val="00797CB0"/>
    <w:rsid w:val="007A0547"/>
    <w:rsid w:val="007A06FD"/>
    <w:rsid w:val="007A073A"/>
    <w:rsid w:val="007A0B1C"/>
    <w:rsid w:val="007A0CCB"/>
    <w:rsid w:val="007A0DEE"/>
    <w:rsid w:val="007A0EA5"/>
    <w:rsid w:val="007A13F6"/>
    <w:rsid w:val="007A1511"/>
    <w:rsid w:val="007A178D"/>
    <w:rsid w:val="007A2130"/>
    <w:rsid w:val="007A2ABF"/>
    <w:rsid w:val="007A305F"/>
    <w:rsid w:val="007A311A"/>
    <w:rsid w:val="007A3144"/>
    <w:rsid w:val="007A338D"/>
    <w:rsid w:val="007A3424"/>
    <w:rsid w:val="007A437E"/>
    <w:rsid w:val="007A4A25"/>
    <w:rsid w:val="007A4F61"/>
    <w:rsid w:val="007A5180"/>
    <w:rsid w:val="007A5377"/>
    <w:rsid w:val="007A53A9"/>
    <w:rsid w:val="007A551E"/>
    <w:rsid w:val="007A591A"/>
    <w:rsid w:val="007A5C67"/>
    <w:rsid w:val="007A5E82"/>
    <w:rsid w:val="007A62E1"/>
    <w:rsid w:val="007A6521"/>
    <w:rsid w:val="007A6EE5"/>
    <w:rsid w:val="007A746B"/>
    <w:rsid w:val="007A79A1"/>
    <w:rsid w:val="007A7C01"/>
    <w:rsid w:val="007A7C7C"/>
    <w:rsid w:val="007A7CC7"/>
    <w:rsid w:val="007A7CEA"/>
    <w:rsid w:val="007A7D1C"/>
    <w:rsid w:val="007A7F2F"/>
    <w:rsid w:val="007B03A2"/>
    <w:rsid w:val="007B048F"/>
    <w:rsid w:val="007B0BE7"/>
    <w:rsid w:val="007B0FEE"/>
    <w:rsid w:val="007B1503"/>
    <w:rsid w:val="007B1511"/>
    <w:rsid w:val="007B174D"/>
    <w:rsid w:val="007B1761"/>
    <w:rsid w:val="007B19B2"/>
    <w:rsid w:val="007B1CEE"/>
    <w:rsid w:val="007B1D5A"/>
    <w:rsid w:val="007B1ED4"/>
    <w:rsid w:val="007B1FB4"/>
    <w:rsid w:val="007B21A3"/>
    <w:rsid w:val="007B2413"/>
    <w:rsid w:val="007B2EA6"/>
    <w:rsid w:val="007B2F81"/>
    <w:rsid w:val="007B30E9"/>
    <w:rsid w:val="007B384C"/>
    <w:rsid w:val="007B3D2E"/>
    <w:rsid w:val="007B3EDF"/>
    <w:rsid w:val="007B4042"/>
    <w:rsid w:val="007B4257"/>
    <w:rsid w:val="007B496D"/>
    <w:rsid w:val="007B49C6"/>
    <w:rsid w:val="007B4BA8"/>
    <w:rsid w:val="007B4D69"/>
    <w:rsid w:val="007B5469"/>
    <w:rsid w:val="007B555D"/>
    <w:rsid w:val="007B557E"/>
    <w:rsid w:val="007B568B"/>
    <w:rsid w:val="007B5B38"/>
    <w:rsid w:val="007B5C8C"/>
    <w:rsid w:val="007B60D5"/>
    <w:rsid w:val="007B6147"/>
    <w:rsid w:val="007B62DF"/>
    <w:rsid w:val="007B6422"/>
    <w:rsid w:val="007B6541"/>
    <w:rsid w:val="007B6946"/>
    <w:rsid w:val="007B6B4F"/>
    <w:rsid w:val="007B6B53"/>
    <w:rsid w:val="007B6C07"/>
    <w:rsid w:val="007B72D6"/>
    <w:rsid w:val="007B7928"/>
    <w:rsid w:val="007B7A8F"/>
    <w:rsid w:val="007B7C01"/>
    <w:rsid w:val="007B7CA2"/>
    <w:rsid w:val="007B7D60"/>
    <w:rsid w:val="007B7D91"/>
    <w:rsid w:val="007B7E24"/>
    <w:rsid w:val="007B7FF2"/>
    <w:rsid w:val="007C0246"/>
    <w:rsid w:val="007C05B6"/>
    <w:rsid w:val="007C07A1"/>
    <w:rsid w:val="007C08F6"/>
    <w:rsid w:val="007C0977"/>
    <w:rsid w:val="007C0B7B"/>
    <w:rsid w:val="007C0BFD"/>
    <w:rsid w:val="007C0F50"/>
    <w:rsid w:val="007C1019"/>
    <w:rsid w:val="007C132F"/>
    <w:rsid w:val="007C1548"/>
    <w:rsid w:val="007C17C7"/>
    <w:rsid w:val="007C1997"/>
    <w:rsid w:val="007C1E74"/>
    <w:rsid w:val="007C2184"/>
    <w:rsid w:val="007C231E"/>
    <w:rsid w:val="007C2876"/>
    <w:rsid w:val="007C2A2F"/>
    <w:rsid w:val="007C2C04"/>
    <w:rsid w:val="007C3023"/>
    <w:rsid w:val="007C34DF"/>
    <w:rsid w:val="007C42E3"/>
    <w:rsid w:val="007C43CA"/>
    <w:rsid w:val="007C5113"/>
    <w:rsid w:val="007C51CE"/>
    <w:rsid w:val="007C52FD"/>
    <w:rsid w:val="007C57D8"/>
    <w:rsid w:val="007C5CB6"/>
    <w:rsid w:val="007C5E3F"/>
    <w:rsid w:val="007C6114"/>
    <w:rsid w:val="007C626B"/>
    <w:rsid w:val="007C635E"/>
    <w:rsid w:val="007C6533"/>
    <w:rsid w:val="007C67A4"/>
    <w:rsid w:val="007C69A4"/>
    <w:rsid w:val="007C6E13"/>
    <w:rsid w:val="007C6E71"/>
    <w:rsid w:val="007C6ED6"/>
    <w:rsid w:val="007C7857"/>
    <w:rsid w:val="007C79EA"/>
    <w:rsid w:val="007C79F8"/>
    <w:rsid w:val="007D06C5"/>
    <w:rsid w:val="007D0AB3"/>
    <w:rsid w:val="007D1183"/>
    <w:rsid w:val="007D13F1"/>
    <w:rsid w:val="007D175D"/>
    <w:rsid w:val="007D204F"/>
    <w:rsid w:val="007D20E1"/>
    <w:rsid w:val="007D24A9"/>
    <w:rsid w:val="007D27E1"/>
    <w:rsid w:val="007D2890"/>
    <w:rsid w:val="007D2AAB"/>
    <w:rsid w:val="007D2DC7"/>
    <w:rsid w:val="007D2E41"/>
    <w:rsid w:val="007D3075"/>
    <w:rsid w:val="007D32A8"/>
    <w:rsid w:val="007D33F8"/>
    <w:rsid w:val="007D3618"/>
    <w:rsid w:val="007D37C0"/>
    <w:rsid w:val="007D3A5D"/>
    <w:rsid w:val="007D3C70"/>
    <w:rsid w:val="007D3DFC"/>
    <w:rsid w:val="007D4320"/>
    <w:rsid w:val="007D4C66"/>
    <w:rsid w:val="007D4FC6"/>
    <w:rsid w:val="007D5037"/>
    <w:rsid w:val="007D55F2"/>
    <w:rsid w:val="007D56ED"/>
    <w:rsid w:val="007D571C"/>
    <w:rsid w:val="007D58E6"/>
    <w:rsid w:val="007D58EB"/>
    <w:rsid w:val="007D5911"/>
    <w:rsid w:val="007D59D0"/>
    <w:rsid w:val="007D5AE3"/>
    <w:rsid w:val="007D6367"/>
    <w:rsid w:val="007D69F1"/>
    <w:rsid w:val="007D6BFA"/>
    <w:rsid w:val="007D6DB9"/>
    <w:rsid w:val="007D6E9B"/>
    <w:rsid w:val="007D6F7C"/>
    <w:rsid w:val="007D728B"/>
    <w:rsid w:val="007D72F8"/>
    <w:rsid w:val="007D7590"/>
    <w:rsid w:val="007D7877"/>
    <w:rsid w:val="007D792E"/>
    <w:rsid w:val="007D7CFF"/>
    <w:rsid w:val="007D7DF9"/>
    <w:rsid w:val="007D7EF1"/>
    <w:rsid w:val="007E0122"/>
    <w:rsid w:val="007E03E7"/>
    <w:rsid w:val="007E0E91"/>
    <w:rsid w:val="007E1025"/>
    <w:rsid w:val="007E1251"/>
    <w:rsid w:val="007E140F"/>
    <w:rsid w:val="007E1A8E"/>
    <w:rsid w:val="007E2052"/>
    <w:rsid w:val="007E2098"/>
    <w:rsid w:val="007E2743"/>
    <w:rsid w:val="007E28FA"/>
    <w:rsid w:val="007E2A88"/>
    <w:rsid w:val="007E2C4C"/>
    <w:rsid w:val="007E3375"/>
    <w:rsid w:val="007E36D1"/>
    <w:rsid w:val="007E3A98"/>
    <w:rsid w:val="007E3DD7"/>
    <w:rsid w:val="007E3FCF"/>
    <w:rsid w:val="007E40A9"/>
    <w:rsid w:val="007E40F7"/>
    <w:rsid w:val="007E4136"/>
    <w:rsid w:val="007E4173"/>
    <w:rsid w:val="007E48EF"/>
    <w:rsid w:val="007E49DB"/>
    <w:rsid w:val="007E4B79"/>
    <w:rsid w:val="007E56BC"/>
    <w:rsid w:val="007E56FC"/>
    <w:rsid w:val="007E59A4"/>
    <w:rsid w:val="007E5AA0"/>
    <w:rsid w:val="007E5FDA"/>
    <w:rsid w:val="007E60FB"/>
    <w:rsid w:val="007E6657"/>
    <w:rsid w:val="007E6767"/>
    <w:rsid w:val="007E6ACE"/>
    <w:rsid w:val="007E6E6D"/>
    <w:rsid w:val="007E6E85"/>
    <w:rsid w:val="007E7295"/>
    <w:rsid w:val="007E737D"/>
    <w:rsid w:val="007E7636"/>
    <w:rsid w:val="007E7AC9"/>
    <w:rsid w:val="007E7AF5"/>
    <w:rsid w:val="007E7F96"/>
    <w:rsid w:val="007F00FE"/>
    <w:rsid w:val="007F02CD"/>
    <w:rsid w:val="007F058B"/>
    <w:rsid w:val="007F05D0"/>
    <w:rsid w:val="007F0A15"/>
    <w:rsid w:val="007F0AD0"/>
    <w:rsid w:val="007F1973"/>
    <w:rsid w:val="007F1D81"/>
    <w:rsid w:val="007F1DBB"/>
    <w:rsid w:val="007F1F1D"/>
    <w:rsid w:val="007F2062"/>
    <w:rsid w:val="007F21F0"/>
    <w:rsid w:val="007F2223"/>
    <w:rsid w:val="007F2462"/>
    <w:rsid w:val="007F27D0"/>
    <w:rsid w:val="007F2ADD"/>
    <w:rsid w:val="007F2B57"/>
    <w:rsid w:val="007F2D77"/>
    <w:rsid w:val="007F30A7"/>
    <w:rsid w:val="007F320E"/>
    <w:rsid w:val="007F35C8"/>
    <w:rsid w:val="007F379F"/>
    <w:rsid w:val="007F3C35"/>
    <w:rsid w:val="007F3C36"/>
    <w:rsid w:val="007F3E21"/>
    <w:rsid w:val="007F3ED3"/>
    <w:rsid w:val="007F42DB"/>
    <w:rsid w:val="007F43F7"/>
    <w:rsid w:val="007F44F7"/>
    <w:rsid w:val="007F46F3"/>
    <w:rsid w:val="007F4AAC"/>
    <w:rsid w:val="007F4FB7"/>
    <w:rsid w:val="007F5125"/>
    <w:rsid w:val="007F513A"/>
    <w:rsid w:val="007F52D1"/>
    <w:rsid w:val="007F5357"/>
    <w:rsid w:val="007F5483"/>
    <w:rsid w:val="007F54D6"/>
    <w:rsid w:val="007F5638"/>
    <w:rsid w:val="007F57A5"/>
    <w:rsid w:val="007F5884"/>
    <w:rsid w:val="007F58BD"/>
    <w:rsid w:val="007F60AA"/>
    <w:rsid w:val="007F60D4"/>
    <w:rsid w:val="007F61EA"/>
    <w:rsid w:val="007F6407"/>
    <w:rsid w:val="007F653B"/>
    <w:rsid w:val="007F6689"/>
    <w:rsid w:val="007F696D"/>
    <w:rsid w:val="007F6DD2"/>
    <w:rsid w:val="007F705A"/>
    <w:rsid w:val="007F7746"/>
    <w:rsid w:val="007F78DB"/>
    <w:rsid w:val="007F7A8D"/>
    <w:rsid w:val="007F7AF6"/>
    <w:rsid w:val="0080030E"/>
    <w:rsid w:val="008007E0"/>
    <w:rsid w:val="008009C9"/>
    <w:rsid w:val="00800A8F"/>
    <w:rsid w:val="00800C1E"/>
    <w:rsid w:val="00800DB8"/>
    <w:rsid w:val="00800EDA"/>
    <w:rsid w:val="00801536"/>
    <w:rsid w:val="0080185F"/>
    <w:rsid w:val="0080199D"/>
    <w:rsid w:val="008019E4"/>
    <w:rsid w:val="00801DE1"/>
    <w:rsid w:val="0080217B"/>
    <w:rsid w:val="00802191"/>
    <w:rsid w:val="008028DF"/>
    <w:rsid w:val="00802DD9"/>
    <w:rsid w:val="00803374"/>
    <w:rsid w:val="0080357C"/>
    <w:rsid w:val="0080379E"/>
    <w:rsid w:val="008037F4"/>
    <w:rsid w:val="0080381B"/>
    <w:rsid w:val="00803A0E"/>
    <w:rsid w:val="00803C6E"/>
    <w:rsid w:val="00803DB3"/>
    <w:rsid w:val="008042E0"/>
    <w:rsid w:val="008043EF"/>
    <w:rsid w:val="00804A61"/>
    <w:rsid w:val="00804CD6"/>
    <w:rsid w:val="00804EBB"/>
    <w:rsid w:val="0080519E"/>
    <w:rsid w:val="00805429"/>
    <w:rsid w:val="00805AB5"/>
    <w:rsid w:val="008061CA"/>
    <w:rsid w:val="0080660F"/>
    <w:rsid w:val="008067E6"/>
    <w:rsid w:val="008067FE"/>
    <w:rsid w:val="00806859"/>
    <w:rsid w:val="008069F9"/>
    <w:rsid w:val="00806AED"/>
    <w:rsid w:val="00806F0F"/>
    <w:rsid w:val="008071BF"/>
    <w:rsid w:val="00807273"/>
    <w:rsid w:val="00807491"/>
    <w:rsid w:val="00807961"/>
    <w:rsid w:val="00807AE4"/>
    <w:rsid w:val="00807DD3"/>
    <w:rsid w:val="00807FAA"/>
    <w:rsid w:val="008101F6"/>
    <w:rsid w:val="008103EA"/>
    <w:rsid w:val="0081044D"/>
    <w:rsid w:val="00810591"/>
    <w:rsid w:val="0081060B"/>
    <w:rsid w:val="00810A26"/>
    <w:rsid w:val="00810A80"/>
    <w:rsid w:val="00810FD9"/>
    <w:rsid w:val="008110FE"/>
    <w:rsid w:val="00811350"/>
    <w:rsid w:val="008115C6"/>
    <w:rsid w:val="00811F60"/>
    <w:rsid w:val="00812001"/>
    <w:rsid w:val="0081321A"/>
    <w:rsid w:val="008132F7"/>
    <w:rsid w:val="008136DE"/>
    <w:rsid w:val="008139B2"/>
    <w:rsid w:val="00813E98"/>
    <w:rsid w:val="0081402F"/>
    <w:rsid w:val="008141ED"/>
    <w:rsid w:val="00814657"/>
    <w:rsid w:val="008149E2"/>
    <w:rsid w:val="00814B96"/>
    <w:rsid w:val="00814FB9"/>
    <w:rsid w:val="008151B7"/>
    <w:rsid w:val="00815277"/>
    <w:rsid w:val="00815393"/>
    <w:rsid w:val="008154B0"/>
    <w:rsid w:val="008154D8"/>
    <w:rsid w:val="008155AC"/>
    <w:rsid w:val="008158DB"/>
    <w:rsid w:val="00815985"/>
    <w:rsid w:val="008159A9"/>
    <w:rsid w:val="00815AAF"/>
    <w:rsid w:val="00815C1C"/>
    <w:rsid w:val="008161E0"/>
    <w:rsid w:val="00816389"/>
    <w:rsid w:val="008163F5"/>
    <w:rsid w:val="008165F1"/>
    <w:rsid w:val="00816BDB"/>
    <w:rsid w:val="00816E15"/>
    <w:rsid w:val="00817247"/>
    <w:rsid w:val="008173F0"/>
    <w:rsid w:val="00817743"/>
    <w:rsid w:val="00817762"/>
    <w:rsid w:val="00817C99"/>
    <w:rsid w:val="0082052C"/>
    <w:rsid w:val="00820B1A"/>
    <w:rsid w:val="00820C4B"/>
    <w:rsid w:val="0082133D"/>
    <w:rsid w:val="008213F4"/>
    <w:rsid w:val="00821456"/>
    <w:rsid w:val="0082192E"/>
    <w:rsid w:val="00821B9F"/>
    <w:rsid w:val="00821E53"/>
    <w:rsid w:val="00822405"/>
    <w:rsid w:val="008224ED"/>
    <w:rsid w:val="0082267F"/>
    <w:rsid w:val="00822680"/>
    <w:rsid w:val="00822C4C"/>
    <w:rsid w:val="008238B5"/>
    <w:rsid w:val="008239C0"/>
    <w:rsid w:val="00823CFC"/>
    <w:rsid w:val="00823E32"/>
    <w:rsid w:val="0082414B"/>
    <w:rsid w:val="0082442D"/>
    <w:rsid w:val="00824685"/>
    <w:rsid w:val="00824895"/>
    <w:rsid w:val="00824BFF"/>
    <w:rsid w:val="00824C1E"/>
    <w:rsid w:val="00824DB6"/>
    <w:rsid w:val="00824F59"/>
    <w:rsid w:val="008253E8"/>
    <w:rsid w:val="00825878"/>
    <w:rsid w:val="008265A0"/>
    <w:rsid w:val="00826C9B"/>
    <w:rsid w:val="00826EA0"/>
    <w:rsid w:val="00826EFD"/>
    <w:rsid w:val="0082707E"/>
    <w:rsid w:val="0082712B"/>
    <w:rsid w:val="00827594"/>
    <w:rsid w:val="008277AC"/>
    <w:rsid w:val="00827DE5"/>
    <w:rsid w:val="00827E60"/>
    <w:rsid w:val="00827FD9"/>
    <w:rsid w:val="00830084"/>
    <w:rsid w:val="00830261"/>
    <w:rsid w:val="0083040D"/>
    <w:rsid w:val="0083057C"/>
    <w:rsid w:val="008308EC"/>
    <w:rsid w:val="008309D4"/>
    <w:rsid w:val="00830B3B"/>
    <w:rsid w:val="00830D2D"/>
    <w:rsid w:val="00831298"/>
    <w:rsid w:val="0083141B"/>
    <w:rsid w:val="008314F2"/>
    <w:rsid w:val="00831BAB"/>
    <w:rsid w:val="00831C68"/>
    <w:rsid w:val="00831C91"/>
    <w:rsid w:val="00831D6F"/>
    <w:rsid w:val="008321B1"/>
    <w:rsid w:val="00832210"/>
    <w:rsid w:val="00832258"/>
    <w:rsid w:val="008322BD"/>
    <w:rsid w:val="0083232A"/>
    <w:rsid w:val="00832643"/>
    <w:rsid w:val="00832735"/>
    <w:rsid w:val="0083279E"/>
    <w:rsid w:val="00832D93"/>
    <w:rsid w:val="00832EE1"/>
    <w:rsid w:val="008335C1"/>
    <w:rsid w:val="00833BC2"/>
    <w:rsid w:val="00833C6A"/>
    <w:rsid w:val="00833C8F"/>
    <w:rsid w:val="00833D46"/>
    <w:rsid w:val="00833DD5"/>
    <w:rsid w:val="00833E43"/>
    <w:rsid w:val="00833F0C"/>
    <w:rsid w:val="008341C7"/>
    <w:rsid w:val="008341E5"/>
    <w:rsid w:val="00834208"/>
    <w:rsid w:val="008343BF"/>
    <w:rsid w:val="00834790"/>
    <w:rsid w:val="00834AAA"/>
    <w:rsid w:val="00834B68"/>
    <w:rsid w:val="0083586F"/>
    <w:rsid w:val="00835BA1"/>
    <w:rsid w:val="008363D5"/>
    <w:rsid w:val="0083642A"/>
    <w:rsid w:val="00836512"/>
    <w:rsid w:val="00836534"/>
    <w:rsid w:val="008365AA"/>
    <w:rsid w:val="00836A41"/>
    <w:rsid w:val="00837417"/>
    <w:rsid w:val="00837745"/>
    <w:rsid w:val="00837BDA"/>
    <w:rsid w:val="00837DFF"/>
    <w:rsid w:val="008404F2"/>
    <w:rsid w:val="00840500"/>
    <w:rsid w:val="0084053D"/>
    <w:rsid w:val="008405EC"/>
    <w:rsid w:val="008406D3"/>
    <w:rsid w:val="00840AC5"/>
    <w:rsid w:val="00840B96"/>
    <w:rsid w:val="00840DAC"/>
    <w:rsid w:val="00840DDF"/>
    <w:rsid w:val="00841551"/>
    <w:rsid w:val="00841AEC"/>
    <w:rsid w:val="00841BE2"/>
    <w:rsid w:val="00841D0A"/>
    <w:rsid w:val="00841FC9"/>
    <w:rsid w:val="0084204E"/>
    <w:rsid w:val="008423A0"/>
    <w:rsid w:val="008427A7"/>
    <w:rsid w:val="008428EC"/>
    <w:rsid w:val="00843159"/>
    <w:rsid w:val="008432CB"/>
    <w:rsid w:val="00843451"/>
    <w:rsid w:val="00843895"/>
    <w:rsid w:val="00843DD8"/>
    <w:rsid w:val="0084404F"/>
    <w:rsid w:val="00844063"/>
    <w:rsid w:val="00844158"/>
    <w:rsid w:val="0084424C"/>
    <w:rsid w:val="008443F5"/>
    <w:rsid w:val="0084446A"/>
    <w:rsid w:val="008447FC"/>
    <w:rsid w:val="00844C43"/>
    <w:rsid w:val="00844CAC"/>
    <w:rsid w:val="00844D8C"/>
    <w:rsid w:val="00844F5B"/>
    <w:rsid w:val="00845077"/>
    <w:rsid w:val="008455C8"/>
    <w:rsid w:val="008455CC"/>
    <w:rsid w:val="008456B2"/>
    <w:rsid w:val="00845732"/>
    <w:rsid w:val="00845DD4"/>
    <w:rsid w:val="008466F0"/>
    <w:rsid w:val="008467FD"/>
    <w:rsid w:val="00846908"/>
    <w:rsid w:val="008469B9"/>
    <w:rsid w:val="00846FE0"/>
    <w:rsid w:val="008474E6"/>
    <w:rsid w:val="0084762D"/>
    <w:rsid w:val="00847901"/>
    <w:rsid w:val="00847AB0"/>
    <w:rsid w:val="00847B20"/>
    <w:rsid w:val="008502ED"/>
    <w:rsid w:val="00850347"/>
    <w:rsid w:val="0085045F"/>
    <w:rsid w:val="0085075C"/>
    <w:rsid w:val="008507F3"/>
    <w:rsid w:val="00850BEF"/>
    <w:rsid w:val="00850D50"/>
    <w:rsid w:val="0085142B"/>
    <w:rsid w:val="00851529"/>
    <w:rsid w:val="00851E07"/>
    <w:rsid w:val="00851F7C"/>
    <w:rsid w:val="00852459"/>
    <w:rsid w:val="00852B1F"/>
    <w:rsid w:val="00852BE3"/>
    <w:rsid w:val="00852C5A"/>
    <w:rsid w:val="00852F5B"/>
    <w:rsid w:val="00852FCB"/>
    <w:rsid w:val="0085364F"/>
    <w:rsid w:val="0085423A"/>
    <w:rsid w:val="0085428F"/>
    <w:rsid w:val="0085452F"/>
    <w:rsid w:val="00854621"/>
    <w:rsid w:val="00854731"/>
    <w:rsid w:val="00854ADD"/>
    <w:rsid w:val="00855272"/>
    <w:rsid w:val="00855695"/>
    <w:rsid w:val="00855974"/>
    <w:rsid w:val="00855CA1"/>
    <w:rsid w:val="00856264"/>
    <w:rsid w:val="0085629B"/>
    <w:rsid w:val="00856A2C"/>
    <w:rsid w:val="00856B03"/>
    <w:rsid w:val="00856D92"/>
    <w:rsid w:val="008571BA"/>
    <w:rsid w:val="008571D4"/>
    <w:rsid w:val="0085752E"/>
    <w:rsid w:val="008600C9"/>
    <w:rsid w:val="008603D3"/>
    <w:rsid w:val="0086069F"/>
    <w:rsid w:val="008606FD"/>
    <w:rsid w:val="008612C6"/>
    <w:rsid w:val="008613EF"/>
    <w:rsid w:val="00861404"/>
    <w:rsid w:val="00861607"/>
    <w:rsid w:val="00861A02"/>
    <w:rsid w:val="00861A71"/>
    <w:rsid w:val="00861AEF"/>
    <w:rsid w:val="00861B9A"/>
    <w:rsid w:val="00862196"/>
    <w:rsid w:val="0086219E"/>
    <w:rsid w:val="00862E50"/>
    <w:rsid w:val="008630DB"/>
    <w:rsid w:val="008634FD"/>
    <w:rsid w:val="0086371F"/>
    <w:rsid w:val="0086387D"/>
    <w:rsid w:val="008638A7"/>
    <w:rsid w:val="00863955"/>
    <w:rsid w:val="0086398D"/>
    <w:rsid w:val="00863A5C"/>
    <w:rsid w:val="00863B22"/>
    <w:rsid w:val="00863BC8"/>
    <w:rsid w:val="00863DD5"/>
    <w:rsid w:val="00863FB9"/>
    <w:rsid w:val="0086407F"/>
    <w:rsid w:val="008641F8"/>
    <w:rsid w:val="008642C8"/>
    <w:rsid w:val="00864468"/>
    <w:rsid w:val="008644B7"/>
    <w:rsid w:val="008645AF"/>
    <w:rsid w:val="00864671"/>
    <w:rsid w:val="008647F9"/>
    <w:rsid w:val="00864831"/>
    <w:rsid w:val="00864ACE"/>
    <w:rsid w:val="008650F8"/>
    <w:rsid w:val="00865184"/>
    <w:rsid w:val="008652CC"/>
    <w:rsid w:val="008652D4"/>
    <w:rsid w:val="0086559F"/>
    <w:rsid w:val="00865C94"/>
    <w:rsid w:val="00866083"/>
    <w:rsid w:val="00866416"/>
    <w:rsid w:val="00866508"/>
    <w:rsid w:val="00866552"/>
    <w:rsid w:val="00866876"/>
    <w:rsid w:val="00866DDD"/>
    <w:rsid w:val="00866E5C"/>
    <w:rsid w:val="008676D5"/>
    <w:rsid w:val="008678CC"/>
    <w:rsid w:val="00867C8E"/>
    <w:rsid w:val="00867E75"/>
    <w:rsid w:val="00870206"/>
    <w:rsid w:val="00870227"/>
    <w:rsid w:val="008702EE"/>
    <w:rsid w:val="00870394"/>
    <w:rsid w:val="0087039F"/>
    <w:rsid w:val="008703C2"/>
    <w:rsid w:val="008705E6"/>
    <w:rsid w:val="008707D7"/>
    <w:rsid w:val="008708D3"/>
    <w:rsid w:val="00870D61"/>
    <w:rsid w:val="00871632"/>
    <w:rsid w:val="00871861"/>
    <w:rsid w:val="00871931"/>
    <w:rsid w:val="00871AD6"/>
    <w:rsid w:val="00871B2C"/>
    <w:rsid w:val="00871D31"/>
    <w:rsid w:val="00871E22"/>
    <w:rsid w:val="00871F02"/>
    <w:rsid w:val="00872082"/>
    <w:rsid w:val="00872665"/>
    <w:rsid w:val="00872742"/>
    <w:rsid w:val="00872A1A"/>
    <w:rsid w:val="00872D48"/>
    <w:rsid w:val="00872DA4"/>
    <w:rsid w:val="00872F38"/>
    <w:rsid w:val="008734FE"/>
    <w:rsid w:val="008736C5"/>
    <w:rsid w:val="00873843"/>
    <w:rsid w:val="00873B91"/>
    <w:rsid w:val="00873E02"/>
    <w:rsid w:val="00873E22"/>
    <w:rsid w:val="00873FE6"/>
    <w:rsid w:val="00874139"/>
    <w:rsid w:val="0087437D"/>
    <w:rsid w:val="008745AD"/>
    <w:rsid w:val="008747AE"/>
    <w:rsid w:val="0087490D"/>
    <w:rsid w:val="0087497D"/>
    <w:rsid w:val="00874EC6"/>
    <w:rsid w:val="00874FEE"/>
    <w:rsid w:val="00875203"/>
    <w:rsid w:val="008754FD"/>
    <w:rsid w:val="00875859"/>
    <w:rsid w:val="00875C7A"/>
    <w:rsid w:val="00875F6E"/>
    <w:rsid w:val="00875FB2"/>
    <w:rsid w:val="00876100"/>
    <w:rsid w:val="00876132"/>
    <w:rsid w:val="008766EB"/>
    <w:rsid w:val="00876C64"/>
    <w:rsid w:val="00876C99"/>
    <w:rsid w:val="00877275"/>
    <w:rsid w:val="008773FE"/>
    <w:rsid w:val="008774EB"/>
    <w:rsid w:val="008776C0"/>
    <w:rsid w:val="0087782A"/>
    <w:rsid w:val="00877DB8"/>
    <w:rsid w:val="00877F62"/>
    <w:rsid w:val="008800E4"/>
    <w:rsid w:val="008805A1"/>
    <w:rsid w:val="00880751"/>
    <w:rsid w:val="008809D3"/>
    <w:rsid w:val="00880B7D"/>
    <w:rsid w:val="00880F8D"/>
    <w:rsid w:val="008813F1"/>
    <w:rsid w:val="00881859"/>
    <w:rsid w:val="00881A26"/>
    <w:rsid w:val="00881B56"/>
    <w:rsid w:val="00881CA0"/>
    <w:rsid w:val="00881F0F"/>
    <w:rsid w:val="00881F31"/>
    <w:rsid w:val="008824A8"/>
    <w:rsid w:val="00882765"/>
    <w:rsid w:val="008828AC"/>
    <w:rsid w:val="00883083"/>
    <w:rsid w:val="0088337B"/>
    <w:rsid w:val="0088356A"/>
    <w:rsid w:val="008836FB"/>
    <w:rsid w:val="0088380E"/>
    <w:rsid w:val="0088384B"/>
    <w:rsid w:val="00883DE9"/>
    <w:rsid w:val="008842AC"/>
    <w:rsid w:val="0088450D"/>
    <w:rsid w:val="0088496A"/>
    <w:rsid w:val="00884F69"/>
    <w:rsid w:val="0088514D"/>
    <w:rsid w:val="0088524E"/>
    <w:rsid w:val="008857FA"/>
    <w:rsid w:val="008858CE"/>
    <w:rsid w:val="008859F7"/>
    <w:rsid w:val="00885DC2"/>
    <w:rsid w:val="00885EB2"/>
    <w:rsid w:val="0088633A"/>
    <w:rsid w:val="008864A4"/>
    <w:rsid w:val="008868B3"/>
    <w:rsid w:val="00886939"/>
    <w:rsid w:val="00886AB5"/>
    <w:rsid w:val="00886C14"/>
    <w:rsid w:val="00886DE4"/>
    <w:rsid w:val="008870DF"/>
    <w:rsid w:val="008872D3"/>
    <w:rsid w:val="00887335"/>
    <w:rsid w:val="008879E9"/>
    <w:rsid w:val="00887AA1"/>
    <w:rsid w:val="00887C90"/>
    <w:rsid w:val="00890195"/>
    <w:rsid w:val="00890845"/>
    <w:rsid w:val="00890883"/>
    <w:rsid w:val="00890C9A"/>
    <w:rsid w:val="00890CC6"/>
    <w:rsid w:val="00890E3C"/>
    <w:rsid w:val="0089142D"/>
    <w:rsid w:val="0089182C"/>
    <w:rsid w:val="008919DB"/>
    <w:rsid w:val="00891A9E"/>
    <w:rsid w:val="00891B71"/>
    <w:rsid w:val="00891F77"/>
    <w:rsid w:val="00892017"/>
    <w:rsid w:val="0089202D"/>
    <w:rsid w:val="008920C1"/>
    <w:rsid w:val="008927A0"/>
    <w:rsid w:val="00892B01"/>
    <w:rsid w:val="00892C64"/>
    <w:rsid w:val="00892D88"/>
    <w:rsid w:val="00892FAF"/>
    <w:rsid w:val="00893382"/>
    <w:rsid w:val="008934A9"/>
    <w:rsid w:val="0089379D"/>
    <w:rsid w:val="00893B30"/>
    <w:rsid w:val="00893B83"/>
    <w:rsid w:val="00893B90"/>
    <w:rsid w:val="0089430E"/>
    <w:rsid w:val="0089431D"/>
    <w:rsid w:val="008948C7"/>
    <w:rsid w:val="00894D47"/>
    <w:rsid w:val="00894DA7"/>
    <w:rsid w:val="00895A42"/>
    <w:rsid w:val="00895C3E"/>
    <w:rsid w:val="00896458"/>
    <w:rsid w:val="008965DF"/>
    <w:rsid w:val="00896626"/>
    <w:rsid w:val="008966D4"/>
    <w:rsid w:val="00896798"/>
    <w:rsid w:val="00896851"/>
    <w:rsid w:val="008968AE"/>
    <w:rsid w:val="00896FD7"/>
    <w:rsid w:val="0089737D"/>
    <w:rsid w:val="008976A4"/>
    <w:rsid w:val="00897773"/>
    <w:rsid w:val="00897841"/>
    <w:rsid w:val="008979CE"/>
    <w:rsid w:val="00897C9D"/>
    <w:rsid w:val="00897F6C"/>
    <w:rsid w:val="008A043C"/>
    <w:rsid w:val="008A048B"/>
    <w:rsid w:val="008A04C5"/>
    <w:rsid w:val="008A0733"/>
    <w:rsid w:val="008A0C8F"/>
    <w:rsid w:val="008A0D33"/>
    <w:rsid w:val="008A0E37"/>
    <w:rsid w:val="008A1015"/>
    <w:rsid w:val="008A11E1"/>
    <w:rsid w:val="008A1463"/>
    <w:rsid w:val="008A1518"/>
    <w:rsid w:val="008A1B63"/>
    <w:rsid w:val="008A1FF1"/>
    <w:rsid w:val="008A2447"/>
    <w:rsid w:val="008A25DC"/>
    <w:rsid w:val="008A2EE4"/>
    <w:rsid w:val="008A347C"/>
    <w:rsid w:val="008A3645"/>
    <w:rsid w:val="008A36CD"/>
    <w:rsid w:val="008A383E"/>
    <w:rsid w:val="008A3C21"/>
    <w:rsid w:val="008A3D44"/>
    <w:rsid w:val="008A40B2"/>
    <w:rsid w:val="008A4316"/>
    <w:rsid w:val="008A49F4"/>
    <w:rsid w:val="008A52BB"/>
    <w:rsid w:val="008A53BB"/>
    <w:rsid w:val="008A5774"/>
    <w:rsid w:val="008A5942"/>
    <w:rsid w:val="008A5C8C"/>
    <w:rsid w:val="008A5E27"/>
    <w:rsid w:val="008A5EBB"/>
    <w:rsid w:val="008A6548"/>
    <w:rsid w:val="008A6833"/>
    <w:rsid w:val="008A690C"/>
    <w:rsid w:val="008A69C3"/>
    <w:rsid w:val="008A6C87"/>
    <w:rsid w:val="008A6C89"/>
    <w:rsid w:val="008A7111"/>
    <w:rsid w:val="008A7367"/>
    <w:rsid w:val="008A739D"/>
    <w:rsid w:val="008A751D"/>
    <w:rsid w:val="008B0047"/>
    <w:rsid w:val="008B0539"/>
    <w:rsid w:val="008B0920"/>
    <w:rsid w:val="008B0B61"/>
    <w:rsid w:val="008B0DA8"/>
    <w:rsid w:val="008B0E4B"/>
    <w:rsid w:val="008B0F0C"/>
    <w:rsid w:val="008B0F86"/>
    <w:rsid w:val="008B10A6"/>
    <w:rsid w:val="008B14EC"/>
    <w:rsid w:val="008B160D"/>
    <w:rsid w:val="008B1B07"/>
    <w:rsid w:val="008B2137"/>
    <w:rsid w:val="008B2575"/>
    <w:rsid w:val="008B288C"/>
    <w:rsid w:val="008B2C36"/>
    <w:rsid w:val="008B2DBB"/>
    <w:rsid w:val="008B3177"/>
    <w:rsid w:val="008B31A5"/>
    <w:rsid w:val="008B320C"/>
    <w:rsid w:val="008B3690"/>
    <w:rsid w:val="008B3827"/>
    <w:rsid w:val="008B39FC"/>
    <w:rsid w:val="008B3C2C"/>
    <w:rsid w:val="008B3CF0"/>
    <w:rsid w:val="008B4039"/>
    <w:rsid w:val="008B40C0"/>
    <w:rsid w:val="008B44A3"/>
    <w:rsid w:val="008B44D3"/>
    <w:rsid w:val="008B509D"/>
    <w:rsid w:val="008B5186"/>
    <w:rsid w:val="008B51DB"/>
    <w:rsid w:val="008B52C3"/>
    <w:rsid w:val="008B54E1"/>
    <w:rsid w:val="008B55F8"/>
    <w:rsid w:val="008B56CE"/>
    <w:rsid w:val="008B591D"/>
    <w:rsid w:val="008B5C3E"/>
    <w:rsid w:val="008B618F"/>
    <w:rsid w:val="008B6670"/>
    <w:rsid w:val="008B681D"/>
    <w:rsid w:val="008B693A"/>
    <w:rsid w:val="008B6C50"/>
    <w:rsid w:val="008B76AE"/>
    <w:rsid w:val="008B7EDD"/>
    <w:rsid w:val="008B7F69"/>
    <w:rsid w:val="008B7F96"/>
    <w:rsid w:val="008C00DB"/>
    <w:rsid w:val="008C011F"/>
    <w:rsid w:val="008C01D1"/>
    <w:rsid w:val="008C0467"/>
    <w:rsid w:val="008C0DC2"/>
    <w:rsid w:val="008C183A"/>
    <w:rsid w:val="008C19AB"/>
    <w:rsid w:val="008C1C0C"/>
    <w:rsid w:val="008C1CF8"/>
    <w:rsid w:val="008C1E13"/>
    <w:rsid w:val="008C1F99"/>
    <w:rsid w:val="008C22F6"/>
    <w:rsid w:val="008C2511"/>
    <w:rsid w:val="008C27C6"/>
    <w:rsid w:val="008C2B4F"/>
    <w:rsid w:val="008C2EDC"/>
    <w:rsid w:val="008C335A"/>
    <w:rsid w:val="008C33EC"/>
    <w:rsid w:val="008C3512"/>
    <w:rsid w:val="008C39CB"/>
    <w:rsid w:val="008C3F68"/>
    <w:rsid w:val="008C427F"/>
    <w:rsid w:val="008C48A1"/>
    <w:rsid w:val="008C4BD6"/>
    <w:rsid w:val="008C4DCB"/>
    <w:rsid w:val="008C527C"/>
    <w:rsid w:val="008C54E6"/>
    <w:rsid w:val="008C5565"/>
    <w:rsid w:val="008C5646"/>
    <w:rsid w:val="008C5737"/>
    <w:rsid w:val="008C5DA0"/>
    <w:rsid w:val="008C5E2C"/>
    <w:rsid w:val="008C5F10"/>
    <w:rsid w:val="008C5F54"/>
    <w:rsid w:val="008C6121"/>
    <w:rsid w:val="008C6272"/>
    <w:rsid w:val="008C62D6"/>
    <w:rsid w:val="008C6350"/>
    <w:rsid w:val="008C65EB"/>
    <w:rsid w:val="008C677D"/>
    <w:rsid w:val="008C6C80"/>
    <w:rsid w:val="008C6CC8"/>
    <w:rsid w:val="008C6D64"/>
    <w:rsid w:val="008C6F0C"/>
    <w:rsid w:val="008C70F7"/>
    <w:rsid w:val="008C72AA"/>
    <w:rsid w:val="008C74F5"/>
    <w:rsid w:val="008C7547"/>
    <w:rsid w:val="008C7D6D"/>
    <w:rsid w:val="008C7DEF"/>
    <w:rsid w:val="008D0E81"/>
    <w:rsid w:val="008D1113"/>
    <w:rsid w:val="008D112D"/>
    <w:rsid w:val="008D1705"/>
    <w:rsid w:val="008D1CF3"/>
    <w:rsid w:val="008D1EBA"/>
    <w:rsid w:val="008D2033"/>
    <w:rsid w:val="008D23A6"/>
    <w:rsid w:val="008D255F"/>
    <w:rsid w:val="008D257C"/>
    <w:rsid w:val="008D2FB7"/>
    <w:rsid w:val="008D338C"/>
    <w:rsid w:val="008D361E"/>
    <w:rsid w:val="008D390F"/>
    <w:rsid w:val="008D45A1"/>
    <w:rsid w:val="008D486A"/>
    <w:rsid w:val="008D488F"/>
    <w:rsid w:val="008D52DE"/>
    <w:rsid w:val="008D552A"/>
    <w:rsid w:val="008D582F"/>
    <w:rsid w:val="008D5B70"/>
    <w:rsid w:val="008D5E04"/>
    <w:rsid w:val="008D641D"/>
    <w:rsid w:val="008D6A0E"/>
    <w:rsid w:val="008D6A1D"/>
    <w:rsid w:val="008D6E8C"/>
    <w:rsid w:val="008D7547"/>
    <w:rsid w:val="008D766F"/>
    <w:rsid w:val="008D78A2"/>
    <w:rsid w:val="008D7D8D"/>
    <w:rsid w:val="008D7DB4"/>
    <w:rsid w:val="008D7E3A"/>
    <w:rsid w:val="008E019F"/>
    <w:rsid w:val="008E0232"/>
    <w:rsid w:val="008E041D"/>
    <w:rsid w:val="008E0994"/>
    <w:rsid w:val="008E0A04"/>
    <w:rsid w:val="008E0C50"/>
    <w:rsid w:val="008E0D6F"/>
    <w:rsid w:val="008E1051"/>
    <w:rsid w:val="008E1068"/>
    <w:rsid w:val="008E12EE"/>
    <w:rsid w:val="008E1554"/>
    <w:rsid w:val="008E1628"/>
    <w:rsid w:val="008E1654"/>
    <w:rsid w:val="008E1835"/>
    <w:rsid w:val="008E189C"/>
    <w:rsid w:val="008E1B6D"/>
    <w:rsid w:val="008E1C8B"/>
    <w:rsid w:val="008E1F52"/>
    <w:rsid w:val="008E251A"/>
    <w:rsid w:val="008E27C2"/>
    <w:rsid w:val="008E3106"/>
    <w:rsid w:val="008E31DD"/>
    <w:rsid w:val="008E3476"/>
    <w:rsid w:val="008E3490"/>
    <w:rsid w:val="008E355F"/>
    <w:rsid w:val="008E3B9C"/>
    <w:rsid w:val="008E431A"/>
    <w:rsid w:val="008E4727"/>
    <w:rsid w:val="008E49E7"/>
    <w:rsid w:val="008E4A73"/>
    <w:rsid w:val="008E50A4"/>
    <w:rsid w:val="008E5310"/>
    <w:rsid w:val="008E5C1F"/>
    <w:rsid w:val="008E5F06"/>
    <w:rsid w:val="008E5F53"/>
    <w:rsid w:val="008E62BD"/>
    <w:rsid w:val="008E680B"/>
    <w:rsid w:val="008E6969"/>
    <w:rsid w:val="008E6B69"/>
    <w:rsid w:val="008E6B98"/>
    <w:rsid w:val="008E6D2F"/>
    <w:rsid w:val="008E7428"/>
    <w:rsid w:val="008E7842"/>
    <w:rsid w:val="008F0894"/>
    <w:rsid w:val="008F08EA"/>
    <w:rsid w:val="008F0C64"/>
    <w:rsid w:val="008F0EBC"/>
    <w:rsid w:val="008F1069"/>
    <w:rsid w:val="008F165E"/>
    <w:rsid w:val="008F1692"/>
    <w:rsid w:val="008F17B9"/>
    <w:rsid w:val="008F194D"/>
    <w:rsid w:val="008F19A0"/>
    <w:rsid w:val="008F19B4"/>
    <w:rsid w:val="008F1BB8"/>
    <w:rsid w:val="008F2096"/>
    <w:rsid w:val="008F2362"/>
    <w:rsid w:val="008F2451"/>
    <w:rsid w:val="008F258B"/>
    <w:rsid w:val="008F25A6"/>
    <w:rsid w:val="008F2BE9"/>
    <w:rsid w:val="008F2F73"/>
    <w:rsid w:val="008F2FA8"/>
    <w:rsid w:val="008F303D"/>
    <w:rsid w:val="008F3357"/>
    <w:rsid w:val="008F381A"/>
    <w:rsid w:val="008F389B"/>
    <w:rsid w:val="008F3A66"/>
    <w:rsid w:val="008F3BF6"/>
    <w:rsid w:val="008F3EC4"/>
    <w:rsid w:val="008F3FF3"/>
    <w:rsid w:val="008F4315"/>
    <w:rsid w:val="008F4431"/>
    <w:rsid w:val="008F45C4"/>
    <w:rsid w:val="008F4712"/>
    <w:rsid w:val="008F47E5"/>
    <w:rsid w:val="008F486A"/>
    <w:rsid w:val="008F49B3"/>
    <w:rsid w:val="008F4AFA"/>
    <w:rsid w:val="008F4FFC"/>
    <w:rsid w:val="008F5098"/>
    <w:rsid w:val="008F522C"/>
    <w:rsid w:val="008F5291"/>
    <w:rsid w:val="008F5588"/>
    <w:rsid w:val="008F5693"/>
    <w:rsid w:val="008F5733"/>
    <w:rsid w:val="008F5E11"/>
    <w:rsid w:val="008F5E6C"/>
    <w:rsid w:val="008F5F49"/>
    <w:rsid w:val="008F60AB"/>
    <w:rsid w:val="008F61C2"/>
    <w:rsid w:val="008F6495"/>
    <w:rsid w:val="008F665F"/>
    <w:rsid w:val="008F682D"/>
    <w:rsid w:val="008F68B9"/>
    <w:rsid w:val="008F6B67"/>
    <w:rsid w:val="008F6BDD"/>
    <w:rsid w:val="008F6FAB"/>
    <w:rsid w:val="008F6FFA"/>
    <w:rsid w:val="008F7176"/>
    <w:rsid w:val="008F71AC"/>
    <w:rsid w:val="008F74F9"/>
    <w:rsid w:val="008F7B3D"/>
    <w:rsid w:val="008F7B8A"/>
    <w:rsid w:val="008F7F77"/>
    <w:rsid w:val="00900031"/>
    <w:rsid w:val="00900750"/>
    <w:rsid w:val="00900B4A"/>
    <w:rsid w:val="009011B2"/>
    <w:rsid w:val="00901804"/>
    <w:rsid w:val="0090183C"/>
    <w:rsid w:val="00901A75"/>
    <w:rsid w:val="00901C95"/>
    <w:rsid w:val="00901CCD"/>
    <w:rsid w:val="00901D0A"/>
    <w:rsid w:val="00902441"/>
    <w:rsid w:val="00902512"/>
    <w:rsid w:val="00902C1B"/>
    <w:rsid w:val="00902C57"/>
    <w:rsid w:val="00902CA5"/>
    <w:rsid w:val="00902DE3"/>
    <w:rsid w:val="00902E76"/>
    <w:rsid w:val="00902E7B"/>
    <w:rsid w:val="00902F81"/>
    <w:rsid w:val="009034F4"/>
    <w:rsid w:val="0090383A"/>
    <w:rsid w:val="00903924"/>
    <w:rsid w:val="00903993"/>
    <w:rsid w:val="0090403D"/>
    <w:rsid w:val="00904182"/>
    <w:rsid w:val="009042E2"/>
    <w:rsid w:val="0090443A"/>
    <w:rsid w:val="009045E5"/>
    <w:rsid w:val="009046B2"/>
    <w:rsid w:val="009046BA"/>
    <w:rsid w:val="009048DE"/>
    <w:rsid w:val="00904D59"/>
    <w:rsid w:val="00904E44"/>
    <w:rsid w:val="009051E5"/>
    <w:rsid w:val="00905A72"/>
    <w:rsid w:val="00905FEF"/>
    <w:rsid w:val="00906AF7"/>
    <w:rsid w:val="00906F14"/>
    <w:rsid w:val="00907201"/>
    <w:rsid w:val="00907356"/>
    <w:rsid w:val="009076FA"/>
    <w:rsid w:val="009078F9"/>
    <w:rsid w:val="00907A66"/>
    <w:rsid w:val="00907AE9"/>
    <w:rsid w:val="00907B1B"/>
    <w:rsid w:val="00907C61"/>
    <w:rsid w:val="00907D58"/>
    <w:rsid w:val="00910289"/>
    <w:rsid w:val="00910320"/>
    <w:rsid w:val="0091033D"/>
    <w:rsid w:val="0091089B"/>
    <w:rsid w:val="00910BED"/>
    <w:rsid w:val="00910E9A"/>
    <w:rsid w:val="00910F27"/>
    <w:rsid w:val="0091104D"/>
    <w:rsid w:val="009111BF"/>
    <w:rsid w:val="0091140F"/>
    <w:rsid w:val="0091191E"/>
    <w:rsid w:val="00911BD8"/>
    <w:rsid w:val="00911D16"/>
    <w:rsid w:val="00911DEF"/>
    <w:rsid w:val="00912142"/>
    <w:rsid w:val="009123A6"/>
    <w:rsid w:val="00912486"/>
    <w:rsid w:val="00912997"/>
    <w:rsid w:val="00912D5B"/>
    <w:rsid w:val="00912DA1"/>
    <w:rsid w:val="009132ED"/>
    <w:rsid w:val="009134BA"/>
    <w:rsid w:val="00913747"/>
    <w:rsid w:val="00913A83"/>
    <w:rsid w:val="00913AE7"/>
    <w:rsid w:val="00913B12"/>
    <w:rsid w:val="00913CF3"/>
    <w:rsid w:val="00913D4A"/>
    <w:rsid w:val="00913E1F"/>
    <w:rsid w:val="009141F1"/>
    <w:rsid w:val="0091434E"/>
    <w:rsid w:val="00914E41"/>
    <w:rsid w:val="00914F84"/>
    <w:rsid w:val="0091527C"/>
    <w:rsid w:val="009154B4"/>
    <w:rsid w:val="0091550C"/>
    <w:rsid w:val="009158CA"/>
    <w:rsid w:val="009159A7"/>
    <w:rsid w:val="00915AE4"/>
    <w:rsid w:val="00915C10"/>
    <w:rsid w:val="00916406"/>
    <w:rsid w:val="009169DA"/>
    <w:rsid w:val="00916C33"/>
    <w:rsid w:val="00916D52"/>
    <w:rsid w:val="00916F53"/>
    <w:rsid w:val="00917124"/>
    <w:rsid w:val="00917315"/>
    <w:rsid w:val="0091735E"/>
    <w:rsid w:val="0091746B"/>
    <w:rsid w:val="0091773E"/>
    <w:rsid w:val="00917989"/>
    <w:rsid w:val="00917CBE"/>
    <w:rsid w:val="00917E2F"/>
    <w:rsid w:val="00917F63"/>
    <w:rsid w:val="00920013"/>
    <w:rsid w:val="0092002D"/>
    <w:rsid w:val="00920360"/>
    <w:rsid w:val="009203AD"/>
    <w:rsid w:val="0092058D"/>
    <w:rsid w:val="009205D3"/>
    <w:rsid w:val="009206D3"/>
    <w:rsid w:val="009211C1"/>
    <w:rsid w:val="00921410"/>
    <w:rsid w:val="00921B4A"/>
    <w:rsid w:val="00921D1D"/>
    <w:rsid w:val="00921EF4"/>
    <w:rsid w:val="0092237A"/>
    <w:rsid w:val="0092262A"/>
    <w:rsid w:val="009226ED"/>
    <w:rsid w:val="00922A16"/>
    <w:rsid w:val="00923C81"/>
    <w:rsid w:val="00923D93"/>
    <w:rsid w:val="009240ED"/>
    <w:rsid w:val="00924623"/>
    <w:rsid w:val="00924B09"/>
    <w:rsid w:val="00924B91"/>
    <w:rsid w:val="00924E54"/>
    <w:rsid w:val="009251D3"/>
    <w:rsid w:val="0092522A"/>
    <w:rsid w:val="0092591E"/>
    <w:rsid w:val="00925EC6"/>
    <w:rsid w:val="00925FB8"/>
    <w:rsid w:val="00926656"/>
    <w:rsid w:val="009272EF"/>
    <w:rsid w:val="009277C3"/>
    <w:rsid w:val="00927CDF"/>
    <w:rsid w:val="00927E82"/>
    <w:rsid w:val="00930051"/>
    <w:rsid w:val="00930191"/>
    <w:rsid w:val="00930339"/>
    <w:rsid w:val="00930383"/>
    <w:rsid w:val="00930493"/>
    <w:rsid w:val="00930C6A"/>
    <w:rsid w:val="0093110D"/>
    <w:rsid w:val="009311D1"/>
    <w:rsid w:val="0093143C"/>
    <w:rsid w:val="0093185E"/>
    <w:rsid w:val="00931A48"/>
    <w:rsid w:val="00931B33"/>
    <w:rsid w:val="00931B87"/>
    <w:rsid w:val="00931BBC"/>
    <w:rsid w:val="00932F71"/>
    <w:rsid w:val="00933126"/>
    <w:rsid w:val="009337E4"/>
    <w:rsid w:val="0093383C"/>
    <w:rsid w:val="00933B20"/>
    <w:rsid w:val="00933E3C"/>
    <w:rsid w:val="00935288"/>
    <w:rsid w:val="0093540B"/>
    <w:rsid w:val="0093570E"/>
    <w:rsid w:val="009357ED"/>
    <w:rsid w:val="00935C9B"/>
    <w:rsid w:val="00935DEC"/>
    <w:rsid w:val="00935EC6"/>
    <w:rsid w:val="0093601B"/>
    <w:rsid w:val="00936676"/>
    <w:rsid w:val="009367DF"/>
    <w:rsid w:val="00936FC9"/>
    <w:rsid w:val="0093722B"/>
    <w:rsid w:val="009372C1"/>
    <w:rsid w:val="00937468"/>
    <w:rsid w:val="009374FC"/>
    <w:rsid w:val="00937AA9"/>
    <w:rsid w:val="00937AB1"/>
    <w:rsid w:val="00937DB0"/>
    <w:rsid w:val="00937F64"/>
    <w:rsid w:val="00940112"/>
    <w:rsid w:val="00940309"/>
    <w:rsid w:val="0094042F"/>
    <w:rsid w:val="00940679"/>
    <w:rsid w:val="0094068D"/>
    <w:rsid w:val="00940888"/>
    <w:rsid w:val="00940D03"/>
    <w:rsid w:val="00940E6F"/>
    <w:rsid w:val="00941466"/>
    <w:rsid w:val="0094164E"/>
    <w:rsid w:val="009418F7"/>
    <w:rsid w:val="009419B9"/>
    <w:rsid w:val="00941CAD"/>
    <w:rsid w:val="00941E13"/>
    <w:rsid w:val="00942139"/>
    <w:rsid w:val="0094286C"/>
    <w:rsid w:val="00942955"/>
    <w:rsid w:val="00942969"/>
    <w:rsid w:val="00942EDB"/>
    <w:rsid w:val="00942F89"/>
    <w:rsid w:val="00943072"/>
    <w:rsid w:val="00943589"/>
    <w:rsid w:val="0094367E"/>
    <w:rsid w:val="009436D9"/>
    <w:rsid w:val="0094380A"/>
    <w:rsid w:val="00943D61"/>
    <w:rsid w:val="00943D64"/>
    <w:rsid w:val="00943D96"/>
    <w:rsid w:val="00943E14"/>
    <w:rsid w:val="00943E86"/>
    <w:rsid w:val="00943EB8"/>
    <w:rsid w:val="00944143"/>
    <w:rsid w:val="009443D8"/>
    <w:rsid w:val="0094440F"/>
    <w:rsid w:val="0094449B"/>
    <w:rsid w:val="0094487C"/>
    <w:rsid w:val="0094496B"/>
    <w:rsid w:val="00944E01"/>
    <w:rsid w:val="00944E76"/>
    <w:rsid w:val="009454E7"/>
    <w:rsid w:val="009454ED"/>
    <w:rsid w:val="009455CD"/>
    <w:rsid w:val="00945825"/>
    <w:rsid w:val="00945AB7"/>
    <w:rsid w:val="00945D8D"/>
    <w:rsid w:val="00945F1F"/>
    <w:rsid w:val="009460AD"/>
    <w:rsid w:val="009463CC"/>
    <w:rsid w:val="009465FF"/>
    <w:rsid w:val="009469AA"/>
    <w:rsid w:val="00946FCE"/>
    <w:rsid w:val="0094720D"/>
    <w:rsid w:val="0094781E"/>
    <w:rsid w:val="00947920"/>
    <w:rsid w:val="00947C34"/>
    <w:rsid w:val="009506C6"/>
    <w:rsid w:val="00950888"/>
    <w:rsid w:val="00950A01"/>
    <w:rsid w:val="00950D20"/>
    <w:rsid w:val="0095126C"/>
    <w:rsid w:val="0095145F"/>
    <w:rsid w:val="00951732"/>
    <w:rsid w:val="00951804"/>
    <w:rsid w:val="009518B2"/>
    <w:rsid w:val="0095193F"/>
    <w:rsid w:val="009519CD"/>
    <w:rsid w:val="0095203B"/>
    <w:rsid w:val="0095235F"/>
    <w:rsid w:val="0095291D"/>
    <w:rsid w:val="009532F2"/>
    <w:rsid w:val="009533C2"/>
    <w:rsid w:val="00953446"/>
    <w:rsid w:val="009536A0"/>
    <w:rsid w:val="00953802"/>
    <w:rsid w:val="00953A0D"/>
    <w:rsid w:val="00953A52"/>
    <w:rsid w:val="00953CB0"/>
    <w:rsid w:val="00953FB6"/>
    <w:rsid w:val="00954053"/>
    <w:rsid w:val="009547FB"/>
    <w:rsid w:val="0095498F"/>
    <w:rsid w:val="00954A3F"/>
    <w:rsid w:val="00954B10"/>
    <w:rsid w:val="00954E3F"/>
    <w:rsid w:val="00955102"/>
    <w:rsid w:val="00956037"/>
    <w:rsid w:val="00956168"/>
    <w:rsid w:val="0095626D"/>
    <w:rsid w:val="009568F4"/>
    <w:rsid w:val="00956A94"/>
    <w:rsid w:val="00956F0F"/>
    <w:rsid w:val="00957325"/>
    <w:rsid w:val="00957674"/>
    <w:rsid w:val="009579C9"/>
    <w:rsid w:val="00957D37"/>
    <w:rsid w:val="009602D9"/>
    <w:rsid w:val="00960344"/>
    <w:rsid w:val="00960772"/>
    <w:rsid w:val="00960847"/>
    <w:rsid w:val="0096089C"/>
    <w:rsid w:val="00960FB0"/>
    <w:rsid w:val="00961201"/>
    <w:rsid w:val="009617C0"/>
    <w:rsid w:val="00961A80"/>
    <w:rsid w:val="00961B52"/>
    <w:rsid w:val="00961C44"/>
    <w:rsid w:val="00961D9F"/>
    <w:rsid w:val="009620A8"/>
    <w:rsid w:val="00962597"/>
    <w:rsid w:val="009626D4"/>
    <w:rsid w:val="009626F1"/>
    <w:rsid w:val="00962835"/>
    <w:rsid w:val="0096284E"/>
    <w:rsid w:val="00962A79"/>
    <w:rsid w:val="00962B9E"/>
    <w:rsid w:val="00962C26"/>
    <w:rsid w:val="00962D8F"/>
    <w:rsid w:val="00963037"/>
    <w:rsid w:val="00963219"/>
    <w:rsid w:val="00963374"/>
    <w:rsid w:val="0096349C"/>
    <w:rsid w:val="0096398E"/>
    <w:rsid w:val="00963A43"/>
    <w:rsid w:val="00963E20"/>
    <w:rsid w:val="00963F76"/>
    <w:rsid w:val="009640CB"/>
    <w:rsid w:val="00964373"/>
    <w:rsid w:val="009647A5"/>
    <w:rsid w:val="00964803"/>
    <w:rsid w:val="009648BD"/>
    <w:rsid w:val="009650F9"/>
    <w:rsid w:val="0096516B"/>
    <w:rsid w:val="00965789"/>
    <w:rsid w:val="00965861"/>
    <w:rsid w:val="00965875"/>
    <w:rsid w:val="009658FF"/>
    <w:rsid w:val="00965A12"/>
    <w:rsid w:val="00965BED"/>
    <w:rsid w:val="009665FF"/>
    <w:rsid w:val="0096665D"/>
    <w:rsid w:val="00966B0C"/>
    <w:rsid w:val="00966B19"/>
    <w:rsid w:val="00966EC9"/>
    <w:rsid w:val="009673B1"/>
    <w:rsid w:val="00967407"/>
    <w:rsid w:val="00967464"/>
    <w:rsid w:val="0096759F"/>
    <w:rsid w:val="009675FD"/>
    <w:rsid w:val="00967A16"/>
    <w:rsid w:val="009700F8"/>
    <w:rsid w:val="009701BE"/>
    <w:rsid w:val="009704A3"/>
    <w:rsid w:val="00970DE8"/>
    <w:rsid w:val="0097102B"/>
    <w:rsid w:val="009710F4"/>
    <w:rsid w:val="009710FA"/>
    <w:rsid w:val="00971454"/>
    <w:rsid w:val="00971B9B"/>
    <w:rsid w:val="009722CC"/>
    <w:rsid w:val="00972888"/>
    <w:rsid w:val="00972CBE"/>
    <w:rsid w:val="00972CD1"/>
    <w:rsid w:val="00972EC9"/>
    <w:rsid w:val="00973513"/>
    <w:rsid w:val="00973806"/>
    <w:rsid w:val="00973AAE"/>
    <w:rsid w:val="0097412E"/>
    <w:rsid w:val="00974754"/>
    <w:rsid w:val="009747C3"/>
    <w:rsid w:val="009748EE"/>
    <w:rsid w:val="00974908"/>
    <w:rsid w:val="009749F9"/>
    <w:rsid w:val="009750B4"/>
    <w:rsid w:val="0097520F"/>
    <w:rsid w:val="00975281"/>
    <w:rsid w:val="0097539B"/>
    <w:rsid w:val="0097580C"/>
    <w:rsid w:val="00975B50"/>
    <w:rsid w:val="00975C74"/>
    <w:rsid w:val="00975E73"/>
    <w:rsid w:val="00976020"/>
    <w:rsid w:val="0097619D"/>
    <w:rsid w:val="0097635E"/>
    <w:rsid w:val="00976471"/>
    <w:rsid w:val="009765C7"/>
    <w:rsid w:val="009769EA"/>
    <w:rsid w:val="009769EE"/>
    <w:rsid w:val="00976A1D"/>
    <w:rsid w:val="00976AC0"/>
    <w:rsid w:val="00976D19"/>
    <w:rsid w:val="00976D95"/>
    <w:rsid w:val="00976E25"/>
    <w:rsid w:val="009770CE"/>
    <w:rsid w:val="00977331"/>
    <w:rsid w:val="00977421"/>
    <w:rsid w:val="00977511"/>
    <w:rsid w:val="009775E4"/>
    <w:rsid w:val="0097768C"/>
    <w:rsid w:val="00977B95"/>
    <w:rsid w:val="00977E7F"/>
    <w:rsid w:val="00980102"/>
    <w:rsid w:val="009801CB"/>
    <w:rsid w:val="00980402"/>
    <w:rsid w:val="009806DB"/>
    <w:rsid w:val="00980974"/>
    <w:rsid w:val="009809AD"/>
    <w:rsid w:val="00980DD5"/>
    <w:rsid w:val="009812A6"/>
    <w:rsid w:val="00981FCD"/>
    <w:rsid w:val="009822C0"/>
    <w:rsid w:val="009825A7"/>
    <w:rsid w:val="00982AA9"/>
    <w:rsid w:val="00982EEF"/>
    <w:rsid w:val="00983058"/>
    <w:rsid w:val="00983136"/>
    <w:rsid w:val="00983702"/>
    <w:rsid w:val="009837FD"/>
    <w:rsid w:val="00983A65"/>
    <w:rsid w:val="00983F20"/>
    <w:rsid w:val="00983FD7"/>
    <w:rsid w:val="00984906"/>
    <w:rsid w:val="00984C7E"/>
    <w:rsid w:val="00985350"/>
    <w:rsid w:val="00985369"/>
    <w:rsid w:val="00985599"/>
    <w:rsid w:val="00985735"/>
    <w:rsid w:val="00985866"/>
    <w:rsid w:val="00985C05"/>
    <w:rsid w:val="00985DCB"/>
    <w:rsid w:val="0098604D"/>
    <w:rsid w:val="009862A4"/>
    <w:rsid w:val="00986447"/>
    <w:rsid w:val="009865DB"/>
    <w:rsid w:val="00986A20"/>
    <w:rsid w:val="00986A3C"/>
    <w:rsid w:val="00986B2E"/>
    <w:rsid w:val="00987385"/>
    <w:rsid w:val="00987AB4"/>
    <w:rsid w:val="00987AC8"/>
    <w:rsid w:val="00987BB8"/>
    <w:rsid w:val="00990162"/>
    <w:rsid w:val="009901CB"/>
    <w:rsid w:val="00990366"/>
    <w:rsid w:val="009908BA"/>
    <w:rsid w:val="00990A0A"/>
    <w:rsid w:val="00991237"/>
    <w:rsid w:val="009912CC"/>
    <w:rsid w:val="009914A5"/>
    <w:rsid w:val="009914EE"/>
    <w:rsid w:val="009916A9"/>
    <w:rsid w:val="009917EC"/>
    <w:rsid w:val="00991AF0"/>
    <w:rsid w:val="00991DE9"/>
    <w:rsid w:val="00991FAC"/>
    <w:rsid w:val="00991FF7"/>
    <w:rsid w:val="009926A0"/>
    <w:rsid w:val="0099306A"/>
    <w:rsid w:val="009930A5"/>
    <w:rsid w:val="00993136"/>
    <w:rsid w:val="009932BF"/>
    <w:rsid w:val="00993334"/>
    <w:rsid w:val="00993697"/>
    <w:rsid w:val="00993896"/>
    <w:rsid w:val="00993A63"/>
    <w:rsid w:val="00993D41"/>
    <w:rsid w:val="00994037"/>
    <w:rsid w:val="009940F2"/>
    <w:rsid w:val="0099420C"/>
    <w:rsid w:val="00994232"/>
    <w:rsid w:val="0099435C"/>
    <w:rsid w:val="00995596"/>
    <w:rsid w:val="009957A0"/>
    <w:rsid w:val="00995842"/>
    <w:rsid w:val="00995B4F"/>
    <w:rsid w:val="00995C44"/>
    <w:rsid w:val="009960E1"/>
    <w:rsid w:val="00996732"/>
    <w:rsid w:val="0099685F"/>
    <w:rsid w:val="009968C0"/>
    <w:rsid w:val="009969DF"/>
    <w:rsid w:val="00996BD8"/>
    <w:rsid w:val="00996E56"/>
    <w:rsid w:val="009970AF"/>
    <w:rsid w:val="009971C5"/>
    <w:rsid w:val="009976A0"/>
    <w:rsid w:val="00997759"/>
    <w:rsid w:val="009978B0"/>
    <w:rsid w:val="00997B80"/>
    <w:rsid w:val="00997F87"/>
    <w:rsid w:val="009A0097"/>
    <w:rsid w:val="009A00C9"/>
    <w:rsid w:val="009A0440"/>
    <w:rsid w:val="009A0774"/>
    <w:rsid w:val="009A0A20"/>
    <w:rsid w:val="009A0D83"/>
    <w:rsid w:val="009A0ECE"/>
    <w:rsid w:val="009A10C8"/>
    <w:rsid w:val="009A1496"/>
    <w:rsid w:val="009A17B1"/>
    <w:rsid w:val="009A180E"/>
    <w:rsid w:val="009A1B61"/>
    <w:rsid w:val="009A1CC6"/>
    <w:rsid w:val="009A2090"/>
    <w:rsid w:val="009A20BA"/>
    <w:rsid w:val="009A21D0"/>
    <w:rsid w:val="009A2296"/>
    <w:rsid w:val="009A22E7"/>
    <w:rsid w:val="009A278E"/>
    <w:rsid w:val="009A2943"/>
    <w:rsid w:val="009A356C"/>
    <w:rsid w:val="009A3792"/>
    <w:rsid w:val="009A38BA"/>
    <w:rsid w:val="009A39C3"/>
    <w:rsid w:val="009A44D6"/>
    <w:rsid w:val="009A46F1"/>
    <w:rsid w:val="009A496C"/>
    <w:rsid w:val="009A4E9B"/>
    <w:rsid w:val="009A5010"/>
    <w:rsid w:val="009A5247"/>
    <w:rsid w:val="009A52AF"/>
    <w:rsid w:val="009A5386"/>
    <w:rsid w:val="009A5410"/>
    <w:rsid w:val="009A54B5"/>
    <w:rsid w:val="009A55BE"/>
    <w:rsid w:val="009A5C4C"/>
    <w:rsid w:val="009A5D22"/>
    <w:rsid w:val="009A62B1"/>
    <w:rsid w:val="009A6486"/>
    <w:rsid w:val="009A650B"/>
    <w:rsid w:val="009A65DC"/>
    <w:rsid w:val="009A69B0"/>
    <w:rsid w:val="009A6A4F"/>
    <w:rsid w:val="009A6ABB"/>
    <w:rsid w:val="009A6DE0"/>
    <w:rsid w:val="009A6FD8"/>
    <w:rsid w:val="009A7C1D"/>
    <w:rsid w:val="009B0091"/>
    <w:rsid w:val="009B0103"/>
    <w:rsid w:val="009B0176"/>
    <w:rsid w:val="009B027B"/>
    <w:rsid w:val="009B06B6"/>
    <w:rsid w:val="009B0AD4"/>
    <w:rsid w:val="009B0DC6"/>
    <w:rsid w:val="009B132A"/>
    <w:rsid w:val="009B1352"/>
    <w:rsid w:val="009B1BD0"/>
    <w:rsid w:val="009B1C64"/>
    <w:rsid w:val="009B1F71"/>
    <w:rsid w:val="009B1F9F"/>
    <w:rsid w:val="009B204D"/>
    <w:rsid w:val="009B21F8"/>
    <w:rsid w:val="009B2458"/>
    <w:rsid w:val="009B2545"/>
    <w:rsid w:val="009B2E78"/>
    <w:rsid w:val="009B317B"/>
    <w:rsid w:val="009B3D63"/>
    <w:rsid w:val="009B3DD8"/>
    <w:rsid w:val="009B3E6C"/>
    <w:rsid w:val="009B3EB9"/>
    <w:rsid w:val="009B3F9E"/>
    <w:rsid w:val="009B4328"/>
    <w:rsid w:val="009B4720"/>
    <w:rsid w:val="009B497E"/>
    <w:rsid w:val="009B4B4F"/>
    <w:rsid w:val="009B4B95"/>
    <w:rsid w:val="009B4C54"/>
    <w:rsid w:val="009B528C"/>
    <w:rsid w:val="009B5631"/>
    <w:rsid w:val="009B58F5"/>
    <w:rsid w:val="009B5A66"/>
    <w:rsid w:val="009B5B8D"/>
    <w:rsid w:val="009B6118"/>
    <w:rsid w:val="009B6275"/>
    <w:rsid w:val="009B69F7"/>
    <w:rsid w:val="009B6B14"/>
    <w:rsid w:val="009B6C2A"/>
    <w:rsid w:val="009B6E52"/>
    <w:rsid w:val="009B7002"/>
    <w:rsid w:val="009B74E6"/>
    <w:rsid w:val="009B7666"/>
    <w:rsid w:val="009B76BF"/>
    <w:rsid w:val="009B7773"/>
    <w:rsid w:val="009B7937"/>
    <w:rsid w:val="009B7A00"/>
    <w:rsid w:val="009B7F18"/>
    <w:rsid w:val="009C018F"/>
    <w:rsid w:val="009C02CB"/>
    <w:rsid w:val="009C03E9"/>
    <w:rsid w:val="009C04F0"/>
    <w:rsid w:val="009C0B5C"/>
    <w:rsid w:val="009C0BCA"/>
    <w:rsid w:val="009C0E59"/>
    <w:rsid w:val="009C103A"/>
    <w:rsid w:val="009C1059"/>
    <w:rsid w:val="009C1105"/>
    <w:rsid w:val="009C12F9"/>
    <w:rsid w:val="009C1512"/>
    <w:rsid w:val="009C1597"/>
    <w:rsid w:val="009C1603"/>
    <w:rsid w:val="009C16D0"/>
    <w:rsid w:val="009C16E2"/>
    <w:rsid w:val="009C202E"/>
    <w:rsid w:val="009C218C"/>
    <w:rsid w:val="009C25A5"/>
    <w:rsid w:val="009C2603"/>
    <w:rsid w:val="009C292B"/>
    <w:rsid w:val="009C2F05"/>
    <w:rsid w:val="009C2FD7"/>
    <w:rsid w:val="009C309E"/>
    <w:rsid w:val="009C3109"/>
    <w:rsid w:val="009C3186"/>
    <w:rsid w:val="009C32C4"/>
    <w:rsid w:val="009C33F2"/>
    <w:rsid w:val="009C3746"/>
    <w:rsid w:val="009C38D4"/>
    <w:rsid w:val="009C3986"/>
    <w:rsid w:val="009C4496"/>
    <w:rsid w:val="009C49AB"/>
    <w:rsid w:val="009C49B5"/>
    <w:rsid w:val="009C4D65"/>
    <w:rsid w:val="009C4DAC"/>
    <w:rsid w:val="009C536E"/>
    <w:rsid w:val="009C560E"/>
    <w:rsid w:val="009C5691"/>
    <w:rsid w:val="009C6371"/>
    <w:rsid w:val="009C6A13"/>
    <w:rsid w:val="009C6BC5"/>
    <w:rsid w:val="009C6FE4"/>
    <w:rsid w:val="009C7092"/>
    <w:rsid w:val="009C7124"/>
    <w:rsid w:val="009C73C1"/>
    <w:rsid w:val="009C77CF"/>
    <w:rsid w:val="009C77FD"/>
    <w:rsid w:val="009C7DCE"/>
    <w:rsid w:val="009D002D"/>
    <w:rsid w:val="009D003F"/>
    <w:rsid w:val="009D01C7"/>
    <w:rsid w:val="009D0270"/>
    <w:rsid w:val="009D045F"/>
    <w:rsid w:val="009D0518"/>
    <w:rsid w:val="009D0521"/>
    <w:rsid w:val="009D08C5"/>
    <w:rsid w:val="009D0D8B"/>
    <w:rsid w:val="009D11DE"/>
    <w:rsid w:val="009D141E"/>
    <w:rsid w:val="009D1438"/>
    <w:rsid w:val="009D1644"/>
    <w:rsid w:val="009D1866"/>
    <w:rsid w:val="009D18CB"/>
    <w:rsid w:val="009D1AAB"/>
    <w:rsid w:val="009D1B02"/>
    <w:rsid w:val="009D1CC0"/>
    <w:rsid w:val="009D1DE2"/>
    <w:rsid w:val="009D2406"/>
    <w:rsid w:val="009D2A13"/>
    <w:rsid w:val="009D2F7D"/>
    <w:rsid w:val="009D3090"/>
    <w:rsid w:val="009D362C"/>
    <w:rsid w:val="009D3BED"/>
    <w:rsid w:val="009D40A9"/>
    <w:rsid w:val="009D40D0"/>
    <w:rsid w:val="009D43DE"/>
    <w:rsid w:val="009D49E7"/>
    <w:rsid w:val="009D4A0A"/>
    <w:rsid w:val="009D4BAA"/>
    <w:rsid w:val="009D4C0D"/>
    <w:rsid w:val="009D4DD4"/>
    <w:rsid w:val="009D5293"/>
    <w:rsid w:val="009D5518"/>
    <w:rsid w:val="009D55BA"/>
    <w:rsid w:val="009D56B0"/>
    <w:rsid w:val="009D583B"/>
    <w:rsid w:val="009D587C"/>
    <w:rsid w:val="009D5E6A"/>
    <w:rsid w:val="009D602A"/>
    <w:rsid w:val="009D6354"/>
    <w:rsid w:val="009D650E"/>
    <w:rsid w:val="009D66EA"/>
    <w:rsid w:val="009D6D08"/>
    <w:rsid w:val="009D6D7F"/>
    <w:rsid w:val="009D6E72"/>
    <w:rsid w:val="009D75BD"/>
    <w:rsid w:val="009D7682"/>
    <w:rsid w:val="009D77B5"/>
    <w:rsid w:val="009D78F3"/>
    <w:rsid w:val="009D7B88"/>
    <w:rsid w:val="009D7C21"/>
    <w:rsid w:val="009E0188"/>
    <w:rsid w:val="009E05FC"/>
    <w:rsid w:val="009E0683"/>
    <w:rsid w:val="009E06D8"/>
    <w:rsid w:val="009E09C6"/>
    <w:rsid w:val="009E0A1F"/>
    <w:rsid w:val="009E0B4C"/>
    <w:rsid w:val="009E0C35"/>
    <w:rsid w:val="009E13A3"/>
    <w:rsid w:val="009E1D78"/>
    <w:rsid w:val="009E2049"/>
    <w:rsid w:val="009E2085"/>
    <w:rsid w:val="009E23EA"/>
    <w:rsid w:val="009E2636"/>
    <w:rsid w:val="009E286F"/>
    <w:rsid w:val="009E2A9A"/>
    <w:rsid w:val="009E2B3B"/>
    <w:rsid w:val="009E3075"/>
    <w:rsid w:val="009E3201"/>
    <w:rsid w:val="009E370B"/>
    <w:rsid w:val="009E3727"/>
    <w:rsid w:val="009E3A60"/>
    <w:rsid w:val="009E4046"/>
    <w:rsid w:val="009E40F6"/>
    <w:rsid w:val="009E42E5"/>
    <w:rsid w:val="009E43E1"/>
    <w:rsid w:val="009E4432"/>
    <w:rsid w:val="009E44C7"/>
    <w:rsid w:val="009E4556"/>
    <w:rsid w:val="009E4EBE"/>
    <w:rsid w:val="009E505E"/>
    <w:rsid w:val="009E50D1"/>
    <w:rsid w:val="009E52CD"/>
    <w:rsid w:val="009E5331"/>
    <w:rsid w:val="009E5498"/>
    <w:rsid w:val="009E5690"/>
    <w:rsid w:val="009E57B1"/>
    <w:rsid w:val="009E58FC"/>
    <w:rsid w:val="009E5AA2"/>
    <w:rsid w:val="009E5BD4"/>
    <w:rsid w:val="009E5D05"/>
    <w:rsid w:val="009E6012"/>
    <w:rsid w:val="009E60A8"/>
    <w:rsid w:val="009E646D"/>
    <w:rsid w:val="009E65AC"/>
    <w:rsid w:val="009E665F"/>
    <w:rsid w:val="009E69A5"/>
    <w:rsid w:val="009E6BB4"/>
    <w:rsid w:val="009E6E73"/>
    <w:rsid w:val="009E72A5"/>
    <w:rsid w:val="009E7C06"/>
    <w:rsid w:val="009E7EBB"/>
    <w:rsid w:val="009E7F0E"/>
    <w:rsid w:val="009F0330"/>
    <w:rsid w:val="009F0517"/>
    <w:rsid w:val="009F0556"/>
    <w:rsid w:val="009F0DA8"/>
    <w:rsid w:val="009F0EF1"/>
    <w:rsid w:val="009F0F4C"/>
    <w:rsid w:val="009F10DE"/>
    <w:rsid w:val="009F117B"/>
    <w:rsid w:val="009F11E5"/>
    <w:rsid w:val="009F1418"/>
    <w:rsid w:val="009F1558"/>
    <w:rsid w:val="009F15F2"/>
    <w:rsid w:val="009F1624"/>
    <w:rsid w:val="009F165D"/>
    <w:rsid w:val="009F1663"/>
    <w:rsid w:val="009F19D4"/>
    <w:rsid w:val="009F1A81"/>
    <w:rsid w:val="009F1E96"/>
    <w:rsid w:val="009F20C6"/>
    <w:rsid w:val="009F22F5"/>
    <w:rsid w:val="009F255F"/>
    <w:rsid w:val="009F2839"/>
    <w:rsid w:val="009F2EBB"/>
    <w:rsid w:val="009F30A5"/>
    <w:rsid w:val="009F32B6"/>
    <w:rsid w:val="009F337E"/>
    <w:rsid w:val="009F346B"/>
    <w:rsid w:val="009F3622"/>
    <w:rsid w:val="009F396E"/>
    <w:rsid w:val="009F39B0"/>
    <w:rsid w:val="009F44CA"/>
    <w:rsid w:val="009F46D4"/>
    <w:rsid w:val="009F49A0"/>
    <w:rsid w:val="009F4DB4"/>
    <w:rsid w:val="009F50F7"/>
    <w:rsid w:val="009F5172"/>
    <w:rsid w:val="009F52B5"/>
    <w:rsid w:val="009F5817"/>
    <w:rsid w:val="009F591D"/>
    <w:rsid w:val="009F5B82"/>
    <w:rsid w:val="009F5DF3"/>
    <w:rsid w:val="009F6B0E"/>
    <w:rsid w:val="009F735D"/>
    <w:rsid w:val="009F7552"/>
    <w:rsid w:val="009F7633"/>
    <w:rsid w:val="009F76F1"/>
    <w:rsid w:val="009F7913"/>
    <w:rsid w:val="009F7EF0"/>
    <w:rsid w:val="009F7F59"/>
    <w:rsid w:val="009F7FC2"/>
    <w:rsid w:val="00A001A3"/>
    <w:rsid w:val="00A001B9"/>
    <w:rsid w:val="00A00579"/>
    <w:rsid w:val="00A005C6"/>
    <w:rsid w:val="00A00685"/>
    <w:rsid w:val="00A00C1E"/>
    <w:rsid w:val="00A01929"/>
    <w:rsid w:val="00A0194A"/>
    <w:rsid w:val="00A0202E"/>
    <w:rsid w:val="00A02037"/>
    <w:rsid w:val="00A02284"/>
    <w:rsid w:val="00A02745"/>
    <w:rsid w:val="00A02D7E"/>
    <w:rsid w:val="00A03239"/>
    <w:rsid w:val="00A0353A"/>
    <w:rsid w:val="00A04129"/>
    <w:rsid w:val="00A04706"/>
    <w:rsid w:val="00A04A16"/>
    <w:rsid w:val="00A04CCC"/>
    <w:rsid w:val="00A04CF5"/>
    <w:rsid w:val="00A04D54"/>
    <w:rsid w:val="00A04E6F"/>
    <w:rsid w:val="00A04EB0"/>
    <w:rsid w:val="00A05068"/>
    <w:rsid w:val="00A051A0"/>
    <w:rsid w:val="00A05311"/>
    <w:rsid w:val="00A05933"/>
    <w:rsid w:val="00A05B2F"/>
    <w:rsid w:val="00A06099"/>
    <w:rsid w:val="00A063A3"/>
    <w:rsid w:val="00A06414"/>
    <w:rsid w:val="00A0647B"/>
    <w:rsid w:val="00A06809"/>
    <w:rsid w:val="00A06C12"/>
    <w:rsid w:val="00A0715C"/>
    <w:rsid w:val="00A075E2"/>
    <w:rsid w:val="00A07BB7"/>
    <w:rsid w:val="00A07BCA"/>
    <w:rsid w:val="00A10073"/>
    <w:rsid w:val="00A1014F"/>
    <w:rsid w:val="00A1029F"/>
    <w:rsid w:val="00A10620"/>
    <w:rsid w:val="00A10917"/>
    <w:rsid w:val="00A117CD"/>
    <w:rsid w:val="00A11989"/>
    <w:rsid w:val="00A119D0"/>
    <w:rsid w:val="00A11AC3"/>
    <w:rsid w:val="00A11DFC"/>
    <w:rsid w:val="00A12138"/>
    <w:rsid w:val="00A1216C"/>
    <w:rsid w:val="00A126E0"/>
    <w:rsid w:val="00A1278E"/>
    <w:rsid w:val="00A127ED"/>
    <w:rsid w:val="00A13052"/>
    <w:rsid w:val="00A13074"/>
    <w:rsid w:val="00A130D0"/>
    <w:rsid w:val="00A13180"/>
    <w:rsid w:val="00A13345"/>
    <w:rsid w:val="00A1363C"/>
    <w:rsid w:val="00A136D2"/>
    <w:rsid w:val="00A13877"/>
    <w:rsid w:val="00A13CA9"/>
    <w:rsid w:val="00A13E97"/>
    <w:rsid w:val="00A140C5"/>
    <w:rsid w:val="00A14107"/>
    <w:rsid w:val="00A1411D"/>
    <w:rsid w:val="00A1442F"/>
    <w:rsid w:val="00A1449E"/>
    <w:rsid w:val="00A144AA"/>
    <w:rsid w:val="00A14544"/>
    <w:rsid w:val="00A14A21"/>
    <w:rsid w:val="00A14CA4"/>
    <w:rsid w:val="00A14ECB"/>
    <w:rsid w:val="00A14F50"/>
    <w:rsid w:val="00A150A5"/>
    <w:rsid w:val="00A155F9"/>
    <w:rsid w:val="00A1598C"/>
    <w:rsid w:val="00A15BF2"/>
    <w:rsid w:val="00A15D3C"/>
    <w:rsid w:val="00A15D97"/>
    <w:rsid w:val="00A15F1E"/>
    <w:rsid w:val="00A15F84"/>
    <w:rsid w:val="00A160A1"/>
    <w:rsid w:val="00A1625F"/>
    <w:rsid w:val="00A16708"/>
    <w:rsid w:val="00A16E1C"/>
    <w:rsid w:val="00A17592"/>
    <w:rsid w:val="00A17EE4"/>
    <w:rsid w:val="00A17FCB"/>
    <w:rsid w:val="00A202B7"/>
    <w:rsid w:val="00A203A9"/>
    <w:rsid w:val="00A20573"/>
    <w:rsid w:val="00A205F2"/>
    <w:rsid w:val="00A20977"/>
    <w:rsid w:val="00A20ED8"/>
    <w:rsid w:val="00A21473"/>
    <w:rsid w:val="00A2152A"/>
    <w:rsid w:val="00A216D2"/>
    <w:rsid w:val="00A21856"/>
    <w:rsid w:val="00A21F3D"/>
    <w:rsid w:val="00A2228B"/>
    <w:rsid w:val="00A224CB"/>
    <w:rsid w:val="00A22A60"/>
    <w:rsid w:val="00A2301E"/>
    <w:rsid w:val="00A2310D"/>
    <w:rsid w:val="00A23528"/>
    <w:rsid w:val="00A2361C"/>
    <w:rsid w:val="00A2366C"/>
    <w:rsid w:val="00A236C5"/>
    <w:rsid w:val="00A237A4"/>
    <w:rsid w:val="00A24593"/>
    <w:rsid w:val="00A2461D"/>
    <w:rsid w:val="00A2462A"/>
    <w:rsid w:val="00A246E7"/>
    <w:rsid w:val="00A24E89"/>
    <w:rsid w:val="00A25129"/>
    <w:rsid w:val="00A253B8"/>
    <w:rsid w:val="00A2541F"/>
    <w:rsid w:val="00A25532"/>
    <w:rsid w:val="00A2567D"/>
    <w:rsid w:val="00A25780"/>
    <w:rsid w:val="00A25B51"/>
    <w:rsid w:val="00A25B7F"/>
    <w:rsid w:val="00A25C3F"/>
    <w:rsid w:val="00A25CCB"/>
    <w:rsid w:val="00A25D29"/>
    <w:rsid w:val="00A25E58"/>
    <w:rsid w:val="00A25F04"/>
    <w:rsid w:val="00A265AB"/>
    <w:rsid w:val="00A266C6"/>
    <w:rsid w:val="00A269B0"/>
    <w:rsid w:val="00A26C38"/>
    <w:rsid w:val="00A270D1"/>
    <w:rsid w:val="00A2774F"/>
    <w:rsid w:val="00A27858"/>
    <w:rsid w:val="00A27A77"/>
    <w:rsid w:val="00A27AA4"/>
    <w:rsid w:val="00A27BF5"/>
    <w:rsid w:val="00A30495"/>
    <w:rsid w:val="00A30C2F"/>
    <w:rsid w:val="00A30D77"/>
    <w:rsid w:val="00A30E47"/>
    <w:rsid w:val="00A30EFA"/>
    <w:rsid w:val="00A3179D"/>
    <w:rsid w:val="00A31A68"/>
    <w:rsid w:val="00A31DF6"/>
    <w:rsid w:val="00A323D2"/>
    <w:rsid w:val="00A32676"/>
    <w:rsid w:val="00A32845"/>
    <w:rsid w:val="00A32B2E"/>
    <w:rsid w:val="00A32B55"/>
    <w:rsid w:val="00A32C1B"/>
    <w:rsid w:val="00A32D39"/>
    <w:rsid w:val="00A32F80"/>
    <w:rsid w:val="00A3309E"/>
    <w:rsid w:val="00A3382D"/>
    <w:rsid w:val="00A3419C"/>
    <w:rsid w:val="00A342F0"/>
    <w:rsid w:val="00A34574"/>
    <w:rsid w:val="00A345C1"/>
    <w:rsid w:val="00A348A4"/>
    <w:rsid w:val="00A34C1D"/>
    <w:rsid w:val="00A34CB6"/>
    <w:rsid w:val="00A34E22"/>
    <w:rsid w:val="00A35094"/>
    <w:rsid w:val="00A3513B"/>
    <w:rsid w:val="00A3538F"/>
    <w:rsid w:val="00A353E4"/>
    <w:rsid w:val="00A35521"/>
    <w:rsid w:val="00A358A2"/>
    <w:rsid w:val="00A35B1F"/>
    <w:rsid w:val="00A35E1B"/>
    <w:rsid w:val="00A36155"/>
    <w:rsid w:val="00A371A9"/>
    <w:rsid w:val="00A374B8"/>
    <w:rsid w:val="00A375BC"/>
    <w:rsid w:val="00A378C4"/>
    <w:rsid w:val="00A37954"/>
    <w:rsid w:val="00A37C56"/>
    <w:rsid w:val="00A37D18"/>
    <w:rsid w:val="00A37FFC"/>
    <w:rsid w:val="00A40D42"/>
    <w:rsid w:val="00A40DE0"/>
    <w:rsid w:val="00A41037"/>
    <w:rsid w:val="00A41241"/>
    <w:rsid w:val="00A414E5"/>
    <w:rsid w:val="00A41BF5"/>
    <w:rsid w:val="00A42184"/>
    <w:rsid w:val="00A425B0"/>
    <w:rsid w:val="00A42604"/>
    <w:rsid w:val="00A42A25"/>
    <w:rsid w:val="00A42CB1"/>
    <w:rsid w:val="00A43206"/>
    <w:rsid w:val="00A43277"/>
    <w:rsid w:val="00A432D7"/>
    <w:rsid w:val="00A432E2"/>
    <w:rsid w:val="00A433DF"/>
    <w:rsid w:val="00A433F8"/>
    <w:rsid w:val="00A43925"/>
    <w:rsid w:val="00A439A0"/>
    <w:rsid w:val="00A43A09"/>
    <w:rsid w:val="00A43C8D"/>
    <w:rsid w:val="00A43D73"/>
    <w:rsid w:val="00A43E47"/>
    <w:rsid w:val="00A44542"/>
    <w:rsid w:val="00A446B8"/>
    <w:rsid w:val="00A449B2"/>
    <w:rsid w:val="00A44EC7"/>
    <w:rsid w:val="00A44ED0"/>
    <w:rsid w:val="00A44FE2"/>
    <w:rsid w:val="00A45364"/>
    <w:rsid w:val="00A45439"/>
    <w:rsid w:val="00A45C1A"/>
    <w:rsid w:val="00A45E92"/>
    <w:rsid w:val="00A46139"/>
    <w:rsid w:val="00A46278"/>
    <w:rsid w:val="00A466B8"/>
    <w:rsid w:val="00A46B08"/>
    <w:rsid w:val="00A46CAD"/>
    <w:rsid w:val="00A46CC4"/>
    <w:rsid w:val="00A46E10"/>
    <w:rsid w:val="00A46E61"/>
    <w:rsid w:val="00A46EE2"/>
    <w:rsid w:val="00A47698"/>
    <w:rsid w:val="00A478F2"/>
    <w:rsid w:val="00A501E6"/>
    <w:rsid w:val="00A5040F"/>
    <w:rsid w:val="00A50654"/>
    <w:rsid w:val="00A5093F"/>
    <w:rsid w:val="00A509B5"/>
    <w:rsid w:val="00A50B36"/>
    <w:rsid w:val="00A50C69"/>
    <w:rsid w:val="00A51012"/>
    <w:rsid w:val="00A51056"/>
    <w:rsid w:val="00A5121E"/>
    <w:rsid w:val="00A5153E"/>
    <w:rsid w:val="00A515EE"/>
    <w:rsid w:val="00A52139"/>
    <w:rsid w:val="00A5218F"/>
    <w:rsid w:val="00A52289"/>
    <w:rsid w:val="00A522C5"/>
    <w:rsid w:val="00A52387"/>
    <w:rsid w:val="00A527FA"/>
    <w:rsid w:val="00A52B89"/>
    <w:rsid w:val="00A52D08"/>
    <w:rsid w:val="00A5367A"/>
    <w:rsid w:val="00A53E74"/>
    <w:rsid w:val="00A53FF4"/>
    <w:rsid w:val="00A54002"/>
    <w:rsid w:val="00A549D3"/>
    <w:rsid w:val="00A54E58"/>
    <w:rsid w:val="00A54E96"/>
    <w:rsid w:val="00A55314"/>
    <w:rsid w:val="00A5545D"/>
    <w:rsid w:val="00A554CD"/>
    <w:rsid w:val="00A5588B"/>
    <w:rsid w:val="00A55D2B"/>
    <w:rsid w:val="00A55DDF"/>
    <w:rsid w:val="00A55EB3"/>
    <w:rsid w:val="00A56435"/>
    <w:rsid w:val="00A5686A"/>
    <w:rsid w:val="00A5698E"/>
    <w:rsid w:val="00A5699C"/>
    <w:rsid w:val="00A56A70"/>
    <w:rsid w:val="00A56C64"/>
    <w:rsid w:val="00A56D2E"/>
    <w:rsid w:val="00A56F40"/>
    <w:rsid w:val="00A57151"/>
    <w:rsid w:val="00A571D8"/>
    <w:rsid w:val="00A572FB"/>
    <w:rsid w:val="00A578B6"/>
    <w:rsid w:val="00A5790A"/>
    <w:rsid w:val="00A57A4F"/>
    <w:rsid w:val="00A57EF4"/>
    <w:rsid w:val="00A60007"/>
    <w:rsid w:val="00A60112"/>
    <w:rsid w:val="00A601FE"/>
    <w:rsid w:val="00A603C1"/>
    <w:rsid w:val="00A60553"/>
    <w:rsid w:val="00A60667"/>
    <w:rsid w:val="00A60714"/>
    <w:rsid w:val="00A60B69"/>
    <w:rsid w:val="00A60DD5"/>
    <w:rsid w:val="00A60F17"/>
    <w:rsid w:val="00A611EE"/>
    <w:rsid w:val="00A6167C"/>
    <w:rsid w:val="00A61C0B"/>
    <w:rsid w:val="00A61DC1"/>
    <w:rsid w:val="00A61F82"/>
    <w:rsid w:val="00A62727"/>
    <w:rsid w:val="00A628F3"/>
    <w:rsid w:val="00A6291E"/>
    <w:rsid w:val="00A62CAC"/>
    <w:rsid w:val="00A62EF6"/>
    <w:rsid w:val="00A62FAB"/>
    <w:rsid w:val="00A630EC"/>
    <w:rsid w:val="00A63227"/>
    <w:rsid w:val="00A63580"/>
    <w:rsid w:val="00A635E9"/>
    <w:rsid w:val="00A63936"/>
    <w:rsid w:val="00A63B02"/>
    <w:rsid w:val="00A63D67"/>
    <w:rsid w:val="00A63EC1"/>
    <w:rsid w:val="00A63F8F"/>
    <w:rsid w:val="00A6402B"/>
    <w:rsid w:val="00A647D1"/>
    <w:rsid w:val="00A64A57"/>
    <w:rsid w:val="00A64CA1"/>
    <w:rsid w:val="00A64D3C"/>
    <w:rsid w:val="00A64F0F"/>
    <w:rsid w:val="00A65192"/>
    <w:rsid w:val="00A65503"/>
    <w:rsid w:val="00A656D5"/>
    <w:rsid w:val="00A658BD"/>
    <w:rsid w:val="00A658FA"/>
    <w:rsid w:val="00A65EE6"/>
    <w:rsid w:val="00A66240"/>
    <w:rsid w:val="00A66265"/>
    <w:rsid w:val="00A6655B"/>
    <w:rsid w:val="00A668D4"/>
    <w:rsid w:val="00A66917"/>
    <w:rsid w:val="00A66A8C"/>
    <w:rsid w:val="00A66E44"/>
    <w:rsid w:val="00A672BF"/>
    <w:rsid w:val="00A673C4"/>
    <w:rsid w:val="00A673EF"/>
    <w:rsid w:val="00A67522"/>
    <w:rsid w:val="00A675CC"/>
    <w:rsid w:val="00A676E7"/>
    <w:rsid w:val="00A676F9"/>
    <w:rsid w:val="00A67939"/>
    <w:rsid w:val="00A67E4A"/>
    <w:rsid w:val="00A67E7A"/>
    <w:rsid w:val="00A71156"/>
    <w:rsid w:val="00A7123D"/>
    <w:rsid w:val="00A7131E"/>
    <w:rsid w:val="00A713C8"/>
    <w:rsid w:val="00A71889"/>
    <w:rsid w:val="00A7192A"/>
    <w:rsid w:val="00A71A7D"/>
    <w:rsid w:val="00A71AB5"/>
    <w:rsid w:val="00A71D5F"/>
    <w:rsid w:val="00A720EC"/>
    <w:rsid w:val="00A7232F"/>
    <w:rsid w:val="00A7251E"/>
    <w:rsid w:val="00A72904"/>
    <w:rsid w:val="00A72ED1"/>
    <w:rsid w:val="00A72F9E"/>
    <w:rsid w:val="00A731F0"/>
    <w:rsid w:val="00A73636"/>
    <w:rsid w:val="00A736A9"/>
    <w:rsid w:val="00A736CC"/>
    <w:rsid w:val="00A738AF"/>
    <w:rsid w:val="00A73F4B"/>
    <w:rsid w:val="00A73FAE"/>
    <w:rsid w:val="00A73FFB"/>
    <w:rsid w:val="00A74227"/>
    <w:rsid w:val="00A74327"/>
    <w:rsid w:val="00A7443B"/>
    <w:rsid w:val="00A74453"/>
    <w:rsid w:val="00A7462F"/>
    <w:rsid w:val="00A746C4"/>
    <w:rsid w:val="00A74BFE"/>
    <w:rsid w:val="00A74C75"/>
    <w:rsid w:val="00A74CE7"/>
    <w:rsid w:val="00A74E6C"/>
    <w:rsid w:val="00A757FD"/>
    <w:rsid w:val="00A7580C"/>
    <w:rsid w:val="00A7581C"/>
    <w:rsid w:val="00A75947"/>
    <w:rsid w:val="00A75A35"/>
    <w:rsid w:val="00A75A7E"/>
    <w:rsid w:val="00A75B9A"/>
    <w:rsid w:val="00A75BC2"/>
    <w:rsid w:val="00A75C5A"/>
    <w:rsid w:val="00A75EBE"/>
    <w:rsid w:val="00A7600F"/>
    <w:rsid w:val="00A76687"/>
    <w:rsid w:val="00A7671B"/>
    <w:rsid w:val="00A768C3"/>
    <w:rsid w:val="00A76B1F"/>
    <w:rsid w:val="00A76B9C"/>
    <w:rsid w:val="00A76BC2"/>
    <w:rsid w:val="00A76BDC"/>
    <w:rsid w:val="00A76D2A"/>
    <w:rsid w:val="00A76DD9"/>
    <w:rsid w:val="00A76F86"/>
    <w:rsid w:val="00A77019"/>
    <w:rsid w:val="00A7774D"/>
    <w:rsid w:val="00A77964"/>
    <w:rsid w:val="00A77D8E"/>
    <w:rsid w:val="00A77F84"/>
    <w:rsid w:val="00A80149"/>
    <w:rsid w:val="00A80208"/>
    <w:rsid w:val="00A80389"/>
    <w:rsid w:val="00A80541"/>
    <w:rsid w:val="00A8073F"/>
    <w:rsid w:val="00A8080C"/>
    <w:rsid w:val="00A80970"/>
    <w:rsid w:val="00A80A1A"/>
    <w:rsid w:val="00A80A52"/>
    <w:rsid w:val="00A80D62"/>
    <w:rsid w:val="00A80D90"/>
    <w:rsid w:val="00A80F48"/>
    <w:rsid w:val="00A81186"/>
    <w:rsid w:val="00A81349"/>
    <w:rsid w:val="00A815C0"/>
    <w:rsid w:val="00A815DB"/>
    <w:rsid w:val="00A81814"/>
    <w:rsid w:val="00A81A96"/>
    <w:rsid w:val="00A81AA2"/>
    <w:rsid w:val="00A81BC1"/>
    <w:rsid w:val="00A81D15"/>
    <w:rsid w:val="00A82337"/>
    <w:rsid w:val="00A824A5"/>
    <w:rsid w:val="00A82607"/>
    <w:rsid w:val="00A82B79"/>
    <w:rsid w:val="00A82C78"/>
    <w:rsid w:val="00A82EAC"/>
    <w:rsid w:val="00A83017"/>
    <w:rsid w:val="00A830E1"/>
    <w:rsid w:val="00A83323"/>
    <w:rsid w:val="00A833BD"/>
    <w:rsid w:val="00A83F18"/>
    <w:rsid w:val="00A843FB"/>
    <w:rsid w:val="00A84792"/>
    <w:rsid w:val="00A849AB"/>
    <w:rsid w:val="00A849FD"/>
    <w:rsid w:val="00A84B2F"/>
    <w:rsid w:val="00A84CD9"/>
    <w:rsid w:val="00A84E3D"/>
    <w:rsid w:val="00A850C7"/>
    <w:rsid w:val="00A852C4"/>
    <w:rsid w:val="00A856E9"/>
    <w:rsid w:val="00A857A2"/>
    <w:rsid w:val="00A86044"/>
    <w:rsid w:val="00A866C1"/>
    <w:rsid w:val="00A86CFD"/>
    <w:rsid w:val="00A86F67"/>
    <w:rsid w:val="00A87025"/>
    <w:rsid w:val="00A871B2"/>
    <w:rsid w:val="00A8720A"/>
    <w:rsid w:val="00A872FA"/>
    <w:rsid w:val="00A87355"/>
    <w:rsid w:val="00A873A1"/>
    <w:rsid w:val="00A877FB"/>
    <w:rsid w:val="00A87995"/>
    <w:rsid w:val="00A900C0"/>
    <w:rsid w:val="00A900F4"/>
    <w:rsid w:val="00A9092B"/>
    <w:rsid w:val="00A90A2E"/>
    <w:rsid w:val="00A914CE"/>
    <w:rsid w:val="00A91A62"/>
    <w:rsid w:val="00A91E18"/>
    <w:rsid w:val="00A92022"/>
    <w:rsid w:val="00A92094"/>
    <w:rsid w:val="00A926DA"/>
    <w:rsid w:val="00A92A12"/>
    <w:rsid w:val="00A92DDC"/>
    <w:rsid w:val="00A92F28"/>
    <w:rsid w:val="00A931BA"/>
    <w:rsid w:val="00A936AE"/>
    <w:rsid w:val="00A93A95"/>
    <w:rsid w:val="00A93B8F"/>
    <w:rsid w:val="00A93C3E"/>
    <w:rsid w:val="00A94878"/>
    <w:rsid w:val="00A94DE1"/>
    <w:rsid w:val="00A94EDE"/>
    <w:rsid w:val="00A94FFC"/>
    <w:rsid w:val="00A951F2"/>
    <w:rsid w:val="00A952B9"/>
    <w:rsid w:val="00A95305"/>
    <w:rsid w:val="00A95335"/>
    <w:rsid w:val="00A954A2"/>
    <w:rsid w:val="00A95680"/>
    <w:rsid w:val="00A95AAF"/>
    <w:rsid w:val="00A95F47"/>
    <w:rsid w:val="00A96008"/>
    <w:rsid w:val="00A960BE"/>
    <w:rsid w:val="00A960DD"/>
    <w:rsid w:val="00A964BD"/>
    <w:rsid w:val="00A96761"/>
    <w:rsid w:val="00A96CE0"/>
    <w:rsid w:val="00A97021"/>
    <w:rsid w:val="00A97261"/>
    <w:rsid w:val="00AA02BA"/>
    <w:rsid w:val="00AA04D5"/>
    <w:rsid w:val="00AA093C"/>
    <w:rsid w:val="00AA0B31"/>
    <w:rsid w:val="00AA0C36"/>
    <w:rsid w:val="00AA0D65"/>
    <w:rsid w:val="00AA0F85"/>
    <w:rsid w:val="00AA0FFB"/>
    <w:rsid w:val="00AA1191"/>
    <w:rsid w:val="00AA1265"/>
    <w:rsid w:val="00AA1D5F"/>
    <w:rsid w:val="00AA1DB2"/>
    <w:rsid w:val="00AA1E2A"/>
    <w:rsid w:val="00AA1E3C"/>
    <w:rsid w:val="00AA20DC"/>
    <w:rsid w:val="00AA21D4"/>
    <w:rsid w:val="00AA229F"/>
    <w:rsid w:val="00AA22CF"/>
    <w:rsid w:val="00AA2363"/>
    <w:rsid w:val="00AA2641"/>
    <w:rsid w:val="00AA2A7F"/>
    <w:rsid w:val="00AA331B"/>
    <w:rsid w:val="00AA3370"/>
    <w:rsid w:val="00AA3B1C"/>
    <w:rsid w:val="00AA3B97"/>
    <w:rsid w:val="00AA3C17"/>
    <w:rsid w:val="00AA3C6F"/>
    <w:rsid w:val="00AA3E97"/>
    <w:rsid w:val="00AA3FF0"/>
    <w:rsid w:val="00AA4271"/>
    <w:rsid w:val="00AA4608"/>
    <w:rsid w:val="00AA4C43"/>
    <w:rsid w:val="00AA4E57"/>
    <w:rsid w:val="00AA4F0B"/>
    <w:rsid w:val="00AA4F3F"/>
    <w:rsid w:val="00AA5180"/>
    <w:rsid w:val="00AA51F0"/>
    <w:rsid w:val="00AA5331"/>
    <w:rsid w:val="00AA5363"/>
    <w:rsid w:val="00AA53D6"/>
    <w:rsid w:val="00AA58C4"/>
    <w:rsid w:val="00AA5BD8"/>
    <w:rsid w:val="00AA5D5F"/>
    <w:rsid w:val="00AA5E66"/>
    <w:rsid w:val="00AA64D8"/>
    <w:rsid w:val="00AA64F6"/>
    <w:rsid w:val="00AA6691"/>
    <w:rsid w:val="00AA678A"/>
    <w:rsid w:val="00AA67E2"/>
    <w:rsid w:val="00AA74B5"/>
    <w:rsid w:val="00AA7506"/>
    <w:rsid w:val="00AA75D7"/>
    <w:rsid w:val="00AA7683"/>
    <w:rsid w:val="00AA79FB"/>
    <w:rsid w:val="00AA7C63"/>
    <w:rsid w:val="00AA7DFC"/>
    <w:rsid w:val="00AA7FDE"/>
    <w:rsid w:val="00AB097D"/>
    <w:rsid w:val="00AB0AA1"/>
    <w:rsid w:val="00AB0CD6"/>
    <w:rsid w:val="00AB17D8"/>
    <w:rsid w:val="00AB22B5"/>
    <w:rsid w:val="00AB2433"/>
    <w:rsid w:val="00AB2450"/>
    <w:rsid w:val="00AB275A"/>
    <w:rsid w:val="00AB29B1"/>
    <w:rsid w:val="00AB2DC2"/>
    <w:rsid w:val="00AB31E8"/>
    <w:rsid w:val="00AB32DD"/>
    <w:rsid w:val="00AB32E5"/>
    <w:rsid w:val="00AB368B"/>
    <w:rsid w:val="00AB3980"/>
    <w:rsid w:val="00AB410B"/>
    <w:rsid w:val="00AB4364"/>
    <w:rsid w:val="00AB43FC"/>
    <w:rsid w:val="00AB456A"/>
    <w:rsid w:val="00AB4836"/>
    <w:rsid w:val="00AB4DA1"/>
    <w:rsid w:val="00AB4F9E"/>
    <w:rsid w:val="00AB50D9"/>
    <w:rsid w:val="00AB50EA"/>
    <w:rsid w:val="00AB5400"/>
    <w:rsid w:val="00AB540F"/>
    <w:rsid w:val="00AB587A"/>
    <w:rsid w:val="00AB589B"/>
    <w:rsid w:val="00AB5BEA"/>
    <w:rsid w:val="00AB5EEC"/>
    <w:rsid w:val="00AB69F8"/>
    <w:rsid w:val="00AB6C21"/>
    <w:rsid w:val="00AB6D46"/>
    <w:rsid w:val="00AB72BB"/>
    <w:rsid w:val="00AB74D3"/>
    <w:rsid w:val="00AB76AC"/>
    <w:rsid w:val="00AB7B21"/>
    <w:rsid w:val="00AB7DE6"/>
    <w:rsid w:val="00AB7F6F"/>
    <w:rsid w:val="00AC0231"/>
    <w:rsid w:val="00AC042A"/>
    <w:rsid w:val="00AC05A7"/>
    <w:rsid w:val="00AC08D6"/>
    <w:rsid w:val="00AC0A3A"/>
    <w:rsid w:val="00AC0AAE"/>
    <w:rsid w:val="00AC120C"/>
    <w:rsid w:val="00AC15F4"/>
    <w:rsid w:val="00AC16B5"/>
    <w:rsid w:val="00AC18A1"/>
    <w:rsid w:val="00AC1E05"/>
    <w:rsid w:val="00AC270D"/>
    <w:rsid w:val="00AC2DDF"/>
    <w:rsid w:val="00AC31BC"/>
    <w:rsid w:val="00AC3662"/>
    <w:rsid w:val="00AC3729"/>
    <w:rsid w:val="00AC3B11"/>
    <w:rsid w:val="00AC41F3"/>
    <w:rsid w:val="00AC41FD"/>
    <w:rsid w:val="00AC455F"/>
    <w:rsid w:val="00AC4719"/>
    <w:rsid w:val="00AC5348"/>
    <w:rsid w:val="00AC5549"/>
    <w:rsid w:val="00AC5A28"/>
    <w:rsid w:val="00AC5AA3"/>
    <w:rsid w:val="00AC5C70"/>
    <w:rsid w:val="00AC5EC2"/>
    <w:rsid w:val="00AC65C9"/>
    <w:rsid w:val="00AC6946"/>
    <w:rsid w:val="00AC6A9E"/>
    <w:rsid w:val="00AC7072"/>
    <w:rsid w:val="00AC70B7"/>
    <w:rsid w:val="00AC71C9"/>
    <w:rsid w:val="00AC722A"/>
    <w:rsid w:val="00AC723D"/>
    <w:rsid w:val="00AC7407"/>
    <w:rsid w:val="00AC778E"/>
    <w:rsid w:val="00AC77A0"/>
    <w:rsid w:val="00AC77D5"/>
    <w:rsid w:val="00AC7814"/>
    <w:rsid w:val="00AC7943"/>
    <w:rsid w:val="00AC7B71"/>
    <w:rsid w:val="00AC7C00"/>
    <w:rsid w:val="00AC7E51"/>
    <w:rsid w:val="00AD001C"/>
    <w:rsid w:val="00AD04C1"/>
    <w:rsid w:val="00AD04CD"/>
    <w:rsid w:val="00AD0588"/>
    <w:rsid w:val="00AD0638"/>
    <w:rsid w:val="00AD06CE"/>
    <w:rsid w:val="00AD0BB1"/>
    <w:rsid w:val="00AD0ED7"/>
    <w:rsid w:val="00AD0FD4"/>
    <w:rsid w:val="00AD1050"/>
    <w:rsid w:val="00AD10CA"/>
    <w:rsid w:val="00AD116D"/>
    <w:rsid w:val="00AD128D"/>
    <w:rsid w:val="00AD12A1"/>
    <w:rsid w:val="00AD1418"/>
    <w:rsid w:val="00AD166A"/>
    <w:rsid w:val="00AD183D"/>
    <w:rsid w:val="00AD1864"/>
    <w:rsid w:val="00AD2A12"/>
    <w:rsid w:val="00AD2A6C"/>
    <w:rsid w:val="00AD2BB4"/>
    <w:rsid w:val="00AD2E6F"/>
    <w:rsid w:val="00AD2F82"/>
    <w:rsid w:val="00AD2FDD"/>
    <w:rsid w:val="00AD3103"/>
    <w:rsid w:val="00AD33BD"/>
    <w:rsid w:val="00AD35BA"/>
    <w:rsid w:val="00AD3DC6"/>
    <w:rsid w:val="00AD3DCE"/>
    <w:rsid w:val="00AD3E20"/>
    <w:rsid w:val="00AD46B1"/>
    <w:rsid w:val="00AD46DD"/>
    <w:rsid w:val="00AD483F"/>
    <w:rsid w:val="00AD489E"/>
    <w:rsid w:val="00AD5185"/>
    <w:rsid w:val="00AD5270"/>
    <w:rsid w:val="00AD5B82"/>
    <w:rsid w:val="00AD5C60"/>
    <w:rsid w:val="00AD5DA8"/>
    <w:rsid w:val="00AD5E02"/>
    <w:rsid w:val="00AD5E4F"/>
    <w:rsid w:val="00AD5E84"/>
    <w:rsid w:val="00AD658B"/>
    <w:rsid w:val="00AD68B0"/>
    <w:rsid w:val="00AD6929"/>
    <w:rsid w:val="00AD6A9D"/>
    <w:rsid w:val="00AD6C92"/>
    <w:rsid w:val="00AD6CC2"/>
    <w:rsid w:val="00AD6DDE"/>
    <w:rsid w:val="00AD6FEB"/>
    <w:rsid w:val="00AD7410"/>
    <w:rsid w:val="00AD76AA"/>
    <w:rsid w:val="00AD77C7"/>
    <w:rsid w:val="00AD7858"/>
    <w:rsid w:val="00AD7AC4"/>
    <w:rsid w:val="00AD7CC2"/>
    <w:rsid w:val="00AD7D31"/>
    <w:rsid w:val="00AE0314"/>
    <w:rsid w:val="00AE06E2"/>
    <w:rsid w:val="00AE0736"/>
    <w:rsid w:val="00AE0898"/>
    <w:rsid w:val="00AE0D5A"/>
    <w:rsid w:val="00AE1643"/>
    <w:rsid w:val="00AE1706"/>
    <w:rsid w:val="00AE19DB"/>
    <w:rsid w:val="00AE1EED"/>
    <w:rsid w:val="00AE1F35"/>
    <w:rsid w:val="00AE1F97"/>
    <w:rsid w:val="00AE225B"/>
    <w:rsid w:val="00AE2836"/>
    <w:rsid w:val="00AE2BC4"/>
    <w:rsid w:val="00AE2BCC"/>
    <w:rsid w:val="00AE2C76"/>
    <w:rsid w:val="00AE31A1"/>
    <w:rsid w:val="00AE3579"/>
    <w:rsid w:val="00AE3592"/>
    <w:rsid w:val="00AE3691"/>
    <w:rsid w:val="00AE3963"/>
    <w:rsid w:val="00AE3AF7"/>
    <w:rsid w:val="00AE3DA3"/>
    <w:rsid w:val="00AE40B7"/>
    <w:rsid w:val="00AE40F9"/>
    <w:rsid w:val="00AE4462"/>
    <w:rsid w:val="00AE4547"/>
    <w:rsid w:val="00AE46E9"/>
    <w:rsid w:val="00AE47E0"/>
    <w:rsid w:val="00AE4D64"/>
    <w:rsid w:val="00AE4F8A"/>
    <w:rsid w:val="00AE4F8D"/>
    <w:rsid w:val="00AE54C3"/>
    <w:rsid w:val="00AE562C"/>
    <w:rsid w:val="00AE5634"/>
    <w:rsid w:val="00AE567D"/>
    <w:rsid w:val="00AE5A78"/>
    <w:rsid w:val="00AE5AB1"/>
    <w:rsid w:val="00AE6343"/>
    <w:rsid w:val="00AE6624"/>
    <w:rsid w:val="00AE6B69"/>
    <w:rsid w:val="00AE6D3F"/>
    <w:rsid w:val="00AE6F45"/>
    <w:rsid w:val="00AE706F"/>
    <w:rsid w:val="00AE75B7"/>
    <w:rsid w:val="00AE794A"/>
    <w:rsid w:val="00AE7EF6"/>
    <w:rsid w:val="00AF0530"/>
    <w:rsid w:val="00AF073E"/>
    <w:rsid w:val="00AF082A"/>
    <w:rsid w:val="00AF08A8"/>
    <w:rsid w:val="00AF0F24"/>
    <w:rsid w:val="00AF10B9"/>
    <w:rsid w:val="00AF11BB"/>
    <w:rsid w:val="00AF13E7"/>
    <w:rsid w:val="00AF1542"/>
    <w:rsid w:val="00AF157E"/>
    <w:rsid w:val="00AF1BD1"/>
    <w:rsid w:val="00AF1C67"/>
    <w:rsid w:val="00AF1E19"/>
    <w:rsid w:val="00AF1F00"/>
    <w:rsid w:val="00AF21C2"/>
    <w:rsid w:val="00AF28D4"/>
    <w:rsid w:val="00AF2A40"/>
    <w:rsid w:val="00AF2FB7"/>
    <w:rsid w:val="00AF3602"/>
    <w:rsid w:val="00AF364E"/>
    <w:rsid w:val="00AF3683"/>
    <w:rsid w:val="00AF39A2"/>
    <w:rsid w:val="00AF3B05"/>
    <w:rsid w:val="00AF3C5A"/>
    <w:rsid w:val="00AF3D2D"/>
    <w:rsid w:val="00AF43C4"/>
    <w:rsid w:val="00AF444B"/>
    <w:rsid w:val="00AF4698"/>
    <w:rsid w:val="00AF4727"/>
    <w:rsid w:val="00AF47FF"/>
    <w:rsid w:val="00AF4D5B"/>
    <w:rsid w:val="00AF4F58"/>
    <w:rsid w:val="00AF57B9"/>
    <w:rsid w:val="00AF5A45"/>
    <w:rsid w:val="00AF5B14"/>
    <w:rsid w:val="00AF5CB3"/>
    <w:rsid w:val="00AF5D29"/>
    <w:rsid w:val="00AF5DF8"/>
    <w:rsid w:val="00AF6438"/>
    <w:rsid w:val="00AF6C42"/>
    <w:rsid w:val="00AF6F96"/>
    <w:rsid w:val="00AF7267"/>
    <w:rsid w:val="00AF7284"/>
    <w:rsid w:val="00AF7377"/>
    <w:rsid w:val="00AF7BFE"/>
    <w:rsid w:val="00AF7DF9"/>
    <w:rsid w:val="00AF7E26"/>
    <w:rsid w:val="00AF7EFB"/>
    <w:rsid w:val="00AF7F5B"/>
    <w:rsid w:val="00AF7FC1"/>
    <w:rsid w:val="00B00282"/>
    <w:rsid w:val="00B00776"/>
    <w:rsid w:val="00B00795"/>
    <w:rsid w:val="00B00ADA"/>
    <w:rsid w:val="00B00F4B"/>
    <w:rsid w:val="00B00FAD"/>
    <w:rsid w:val="00B010C6"/>
    <w:rsid w:val="00B01231"/>
    <w:rsid w:val="00B016A5"/>
    <w:rsid w:val="00B01B57"/>
    <w:rsid w:val="00B01DDA"/>
    <w:rsid w:val="00B0204C"/>
    <w:rsid w:val="00B025CB"/>
    <w:rsid w:val="00B02600"/>
    <w:rsid w:val="00B02F33"/>
    <w:rsid w:val="00B03113"/>
    <w:rsid w:val="00B03134"/>
    <w:rsid w:val="00B036D5"/>
    <w:rsid w:val="00B03864"/>
    <w:rsid w:val="00B03872"/>
    <w:rsid w:val="00B03B05"/>
    <w:rsid w:val="00B03E6E"/>
    <w:rsid w:val="00B04205"/>
    <w:rsid w:val="00B042CF"/>
    <w:rsid w:val="00B0496E"/>
    <w:rsid w:val="00B04D3B"/>
    <w:rsid w:val="00B04FE3"/>
    <w:rsid w:val="00B051EE"/>
    <w:rsid w:val="00B056BD"/>
    <w:rsid w:val="00B05727"/>
    <w:rsid w:val="00B05795"/>
    <w:rsid w:val="00B05878"/>
    <w:rsid w:val="00B059AB"/>
    <w:rsid w:val="00B05BDF"/>
    <w:rsid w:val="00B06065"/>
    <w:rsid w:val="00B06361"/>
    <w:rsid w:val="00B064A9"/>
    <w:rsid w:val="00B069F5"/>
    <w:rsid w:val="00B06DD4"/>
    <w:rsid w:val="00B07009"/>
    <w:rsid w:val="00B070B3"/>
    <w:rsid w:val="00B0710E"/>
    <w:rsid w:val="00B071E2"/>
    <w:rsid w:val="00B0745E"/>
    <w:rsid w:val="00B07A0D"/>
    <w:rsid w:val="00B07CFA"/>
    <w:rsid w:val="00B103B0"/>
    <w:rsid w:val="00B1048A"/>
    <w:rsid w:val="00B10DED"/>
    <w:rsid w:val="00B11491"/>
    <w:rsid w:val="00B11E90"/>
    <w:rsid w:val="00B123FD"/>
    <w:rsid w:val="00B126AD"/>
    <w:rsid w:val="00B12754"/>
    <w:rsid w:val="00B12FB7"/>
    <w:rsid w:val="00B132AB"/>
    <w:rsid w:val="00B132D8"/>
    <w:rsid w:val="00B13319"/>
    <w:rsid w:val="00B133D1"/>
    <w:rsid w:val="00B13428"/>
    <w:rsid w:val="00B1351F"/>
    <w:rsid w:val="00B13794"/>
    <w:rsid w:val="00B1387F"/>
    <w:rsid w:val="00B14125"/>
    <w:rsid w:val="00B1415B"/>
    <w:rsid w:val="00B141AB"/>
    <w:rsid w:val="00B146A2"/>
    <w:rsid w:val="00B148E5"/>
    <w:rsid w:val="00B14C06"/>
    <w:rsid w:val="00B14EE5"/>
    <w:rsid w:val="00B14F6D"/>
    <w:rsid w:val="00B1585E"/>
    <w:rsid w:val="00B159C5"/>
    <w:rsid w:val="00B16467"/>
    <w:rsid w:val="00B165E7"/>
    <w:rsid w:val="00B166E1"/>
    <w:rsid w:val="00B16745"/>
    <w:rsid w:val="00B168D7"/>
    <w:rsid w:val="00B169B0"/>
    <w:rsid w:val="00B16F40"/>
    <w:rsid w:val="00B16FDB"/>
    <w:rsid w:val="00B17451"/>
    <w:rsid w:val="00B1755C"/>
    <w:rsid w:val="00B176E0"/>
    <w:rsid w:val="00B17974"/>
    <w:rsid w:val="00B17A26"/>
    <w:rsid w:val="00B17CD2"/>
    <w:rsid w:val="00B17EB5"/>
    <w:rsid w:val="00B202A7"/>
    <w:rsid w:val="00B202FE"/>
    <w:rsid w:val="00B20600"/>
    <w:rsid w:val="00B20BB7"/>
    <w:rsid w:val="00B20CEA"/>
    <w:rsid w:val="00B20F27"/>
    <w:rsid w:val="00B21C15"/>
    <w:rsid w:val="00B2208C"/>
    <w:rsid w:val="00B22258"/>
    <w:rsid w:val="00B22501"/>
    <w:rsid w:val="00B226B1"/>
    <w:rsid w:val="00B22765"/>
    <w:rsid w:val="00B2276F"/>
    <w:rsid w:val="00B22C10"/>
    <w:rsid w:val="00B22D4C"/>
    <w:rsid w:val="00B22ED9"/>
    <w:rsid w:val="00B23196"/>
    <w:rsid w:val="00B23551"/>
    <w:rsid w:val="00B2355B"/>
    <w:rsid w:val="00B2375E"/>
    <w:rsid w:val="00B2390D"/>
    <w:rsid w:val="00B23C44"/>
    <w:rsid w:val="00B23D4D"/>
    <w:rsid w:val="00B23E08"/>
    <w:rsid w:val="00B242E5"/>
    <w:rsid w:val="00B24857"/>
    <w:rsid w:val="00B24B72"/>
    <w:rsid w:val="00B24C35"/>
    <w:rsid w:val="00B25109"/>
    <w:rsid w:val="00B2519B"/>
    <w:rsid w:val="00B258EA"/>
    <w:rsid w:val="00B259BD"/>
    <w:rsid w:val="00B25BFC"/>
    <w:rsid w:val="00B25DEB"/>
    <w:rsid w:val="00B25DFE"/>
    <w:rsid w:val="00B25EE4"/>
    <w:rsid w:val="00B262D7"/>
    <w:rsid w:val="00B262F5"/>
    <w:rsid w:val="00B266AB"/>
    <w:rsid w:val="00B267B6"/>
    <w:rsid w:val="00B26FED"/>
    <w:rsid w:val="00B270EB"/>
    <w:rsid w:val="00B2740A"/>
    <w:rsid w:val="00B275BF"/>
    <w:rsid w:val="00B276E5"/>
    <w:rsid w:val="00B27E19"/>
    <w:rsid w:val="00B301AF"/>
    <w:rsid w:val="00B30279"/>
    <w:rsid w:val="00B305ED"/>
    <w:rsid w:val="00B3073A"/>
    <w:rsid w:val="00B3073E"/>
    <w:rsid w:val="00B30A0B"/>
    <w:rsid w:val="00B30B09"/>
    <w:rsid w:val="00B3104E"/>
    <w:rsid w:val="00B31194"/>
    <w:rsid w:val="00B31363"/>
    <w:rsid w:val="00B31483"/>
    <w:rsid w:val="00B32060"/>
    <w:rsid w:val="00B32309"/>
    <w:rsid w:val="00B3239F"/>
    <w:rsid w:val="00B3289C"/>
    <w:rsid w:val="00B3297C"/>
    <w:rsid w:val="00B32BBD"/>
    <w:rsid w:val="00B32D42"/>
    <w:rsid w:val="00B331E3"/>
    <w:rsid w:val="00B33322"/>
    <w:rsid w:val="00B339C7"/>
    <w:rsid w:val="00B33DB1"/>
    <w:rsid w:val="00B33F96"/>
    <w:rsid w:val="00B34418"/>
    <w:rsid w:val="00B344BE"/>
    <w:rsid w:val="00B34527"/>
    <w:rsid w:val="00B3472A"/>
    <w:rsid w:val="00B347D9"/>
    <w:rsid w:val="00B34BE3"/>
    <w:rsid w:val="00B34C77"/>
    <w:rsid w:val="00B34EA9"/>
    <w:rsid w:val="00B351BC"/>
    <w:rsid w:val="00B355E2"/>
    <w:rsid w:val="00B3570F"/>
    <w:rsid w:val="00B359B9"/>
    <w:rsid w:val="00B35C23"/>
    <w:rsid w:val="00B35D71"/>
    <w:rsid w:val="00B35DBC"/>
    <w:rsid w:val="00B35FD7"/>
    <w:rsid w:val="00B3605F"/>
    <w:rsid w:val="00B360BC"/>
    <w:rsid w:val="00B364C9"/>
    <w:rsid w:val="00B365D4"/>
    <w:rsid w:val="00B36688"/>
    <w:rsid w:val="00B36857"/>
    <w:rsid w:val="00B36C26"/>
    <w:rsid w:val="00B36FF8"/>
    <w:rsid w:val="00B3728F"/>
    <w:rsid w:val="00B37353"/>
    <w:rsid w:val="00B374A7"/>
    <w:rsid w:val="00B37961"/>
    <w:rsid w:val="00B37AE1"/>
    <w:rsid w:val="00B37F59"/>
    <w:rsid w:val="00B37FFB"/>
    <w:rsid w:val="00B400FE"/>
    <w:rsid w:val="00B40478"/>
    <w:rsid w:val="00B404FF"/>
    <w:rsid w:val="00B4091C"/>
    <w:rsid w:val="00B40BA6"/>
    <w:rsid w:val="00B40E0A"/>
    <w:rsid w:val="00B40FE4"/>
    <w:rsid w:val="00B4127B"/>
    <w:rsid w:val="00B41340"/>
    <w:rsid w:val="00B41428"/>
    <w:rsid w:val="00B4178D"/>
    <w:rsid w:val="00B41E23"/>
    <w:rsid w:val="00B41F8E"/>
    <w:rsid w:val="00B4216D"/>
    <w:rsid w:val="00B424A3"/>
    <w:rsid w:val="00B425CB"/>
    <w:rsid w:val="00B4292D"/>
    <w:rsid w:val="00B4304F"/>
    <w:rsid w:val="00B430DC"/>
    <w:rsid w:val="00B432A6"/>
    <w:rsid w:val="00B436A6"/>
    <w:rsid w:val="00B4371A"/>
    <w:rsid w:val="00B4379F"/>
    <w:rsid w:val="00B437C1"/>
    <w:rsid w:val="00B43C59"/>
    <w:rsid w:val="00B441EE"/>
    <w:rsid w:val="00B44261"/>
    <w:rsid w:val="00B442C2"/>
    <w:rsid w:val="00B4435E"/>
    <w:rsid w:val="00B4467F"/>
    <w:rsid w:val="00B447A6"/>
    <w:rsid w:val="00B44906"/>
    <w:rsid w:val="00B44D01"/>
    <w:rsid w:val="00B44EAC"/>
    <w:rsid w:val="00B450AB"/>
    <w:rsid w:val="00B45104"/>
    <w:rsid w:val="00B4523C"/>
    <w:rsid w:val="00B453C6"/>
    <w:rsid w:val="00B458DD"/>
    <w:rsid w:val="00B45CED"/>
    <w:rsid w:val="00B45F7D"/>
    <w:rsid w:val="00B46207"/>
    <w:rsid w:val="00B4674C"/>
    <w:rsid w:val="00B4693E"/>
    <w:rsid w:val="00B4697F"/>
    <w:rsid w:val="00B469AB"/>
    <w:rsid w:val="00B46AF6"/>
    <w:rsid w:val="00B46D51"/>
    <w:rsid w:val="00B46D63"/>
    <w:rsid w:val="00B46E3C"/>
    <w:rsid w:val="00B474EB"/>
    <w:rsid w:val="00B500D1"/>
    <w:rsid w:val="00B500E0"/>
    <w:rsid w:val="00B502A6"/>
    <w:rsid w:val="00B508E4"/>
    <w:rsid w:val="00B50FF5"/>
    <w:rsid w:val="00B51087"/>
    <w:rsid w:val="00B51B23"/>
    <w:rsid w:val="00B51E3A"/>
    <w:rsid w:val="00B521AF"/>
    <w:rsid w:val="00B52330"/>
    <w:rsid w:val="00B52358"/>
    <w:rsid w:val="00B523CF"/>
    <w:rsid w:val="00B52A0D"/>
    <w:rsid w:val="00B53031"/>
    <w:rsid w:val="00B530B1"/>
    <w:rsid w:val="00B532EF"/>
    <w:rsid w:val="00B533A8"/>
    <w:rsid w:val="00B5341F"/>
    <w:rsid w:val="00B5368E"/>
    <w:rsid w:val="00B53731"/>
    <w:rsid w:val="00B53B44"/>
    <w:rsid w:val="00B53FFE"/>
    <w:rsid w:val="00B546DD"/>
    <w:rsid w:val="00B54BF6"/>
    <w:rsid w:val="00B54BF8"/>
    <w:rsid w:val="00B54E6A"/>
    <w:rsid w:val="00B54E97"/>
    <w:rsid w:val="00B54EC9"/>
    <w:rsid w:val="00B55135"/>
    <w:rsid w:val="00B5520D"/>
    <w:rsid w:val="00B55265"/>
    <w:rsid w:val="00B5527F"/>
    <w:rsid w:val="00B553F3"/>
    <w:rsid w:val="00B5558B"/>
    <w:rsid w:val="00B55B1E"/>
    <w:rsid w:val="00B55BAF"/>
    <w:rsid w:val="00B55D7F"/>
    <w:rsid w:val="00B55FE3"/>
    <w:rsid w:val="00B55FEC"/>
    <w:rsid w:val="00B561CC"/>
    <w:rsid w:val="00B56275"/>
    <w:rsid w:val="00B5632C"/>
    <w:rsid w:val="00B5639B"/>
    <w:rsid w:val="00B56462"/>
    <w:rsid w:val="00B56609"/>
    <w:rsid w:val="00B566F3"/>
    <w:rsid w:val="00B56704"/>
    <w:rsid w:val="00B5672B"/>
    <w:rsid w:val="00B56954"/>
    <w:rsid w:val="00B56A4F"/>
    <w:rsid w:val="00B56AB9"/>
    <w:rsid w:val="00B57116"/>
    <w:rsid w:val="00B573F6"/>
    <w:rsid w:val="00B578FC"/>
    <w:rsid w:val="00B57D4C"/>
    <w:rsid w:val="00B57D84"/>
    <w:rsid w:val="00B6000A"/>
    <w:rsid w:val="00B601DC"/>
    <w:rsid w:val="00B6041E"/>
    <w:rsid w:val="00B60AAB"/>
    <w:rsid w:val="00B60EE4"/>
    <w:rsid w:val="00B61127"/>
    <w:rsid w:val="00B613A8"/>
    <w:rsid w:val="00B6194D"/>
    <w:rsid w:val="00B62145"/>
    <w:rsid w:val="00B622BE"/>
    <w:rsid w:val="00B6253C"/>
    <w:rsid w:val="00B62628"/>
    <w:rsid w:val="00B627ED"/>
    <w:rsid w:val="00B62BD6"/>
    <w:rsid w:val="00B631BD"/>
    <w:rsid w:val="00B632F7"/>
    <w:rsid w:val="00B63BAB"/>
    <w:rsid w:val="00B63F64"/>
    <w:rsid w:val="00B640B6"/>
    <w:rsid w:val="00B640CF"/>
    <w:rsid w:val="00B64D28"/>
    <w:rsid w:val="00B65044"/>
    <w:rsid w:val="00B6526B"/>
    <w:rsid w:val="00B65467"/>
    <w:rsid w:val="00B6547F"/>
    <w:rsid w:val="00B65886"/>
    <w:rsid w:val="00B65BAD"/>
    <w:rsid w:val="00B65C94"/>
    <w:rsid w:val="00B65C96"/>
    <w:rsid w:val="00B65E1A"/>
    <w:rsid w:val="00B65F09"/>
    <w:rsid w:val="00B65FC9"/>
    <w:rsid w:val="00B6614D"/>
    <w:rsid w:val="00B665E2"/>
    <w:rsid w:val="00B66913"/>
    <w:rsid w:val="00B6696D"/>
    <w:rsid w:val="00B66C56"/>
    <w:rsid w:val="00B66F2E"/>
    <w:rsid w:val="00B67011"/>
    <w:rsid w:val="00B6737A"/>
    <w:rsid w:val="00B673DB"/>
    <w:rsid w:val="00B679A2"/>
    <w:rsid w:val="00B67F02"/>
    <w:rsid w:val="00B67F51"/>
    <w:rsid w:val="00B700C6"/>
    <w:rsid w:val="00B7034C"/>
    <w:rsid w:val="00B70388"/>
    <w:rsid w:val="00B7038D"/>
    <w:rsid w:val="00B70A07"/>
    <w:rsid w:val="00B70B95"/>
    <w:rsid w:val="00B70D02"/>
    <w:rsid w:val="00B70E26"/>
    <w:rsid w:val="00B70F78"/>
    <w:rsid w:val="00B71712"/>
    <w:rsid w:val="00B718A2"/>
    <w:rsid w:val="00B71C39"/>
    <w:rsid w:val="00B71C8B"/>
    <w:rsid w:val="00B71D7F"/>
    <w:rsid w:val="00B71E35"/>
    <w:rsid w:val="00B71F7F"/>
    <w:rsid w:val="00B720A6"/>
    <w:rsid w:val="00B72435"/>
    <w:rsid w:val="00B7250C"/>
    <w:rsid w:val="00B7257B"/>
    <w:rsid w:val="00B728C9"/>
    <w:rsid w:val="00B7294D"/>
    <w:rsid w:val="00B72B32"/>
    <w:rsid w:val="00B72E18"/>
    <w:rsid w:val="00B7321E"/>
    <w:rsid w:val="00B7369E"/>
    <w:rsid w:val="00B73CA0"/>
    <w:rsid w:val="00B73DD9"/>
    <w:rsid w:val="00B741E1"/>
    <w:rsid w:val="00B74352"/>
    <w:rsid w:val="00B746E7"/>
    <w:rsid w:val="00B74B27"/>
    <w:rsid w:val="00B75135"/>
    <w:rsid w:val="00B7564F"/>
    <w:rsid w:val="00B758CF"/>
    <w:rsid w:val="00B75A2E"/>
    <w:rsid w:val="00B75C8D"/>
    <w:rsid w:val="00B75E98"/>
    <w:rsid w:val="00B761C7"/>
    <w:rsid w:val="00B7627E"/>
    <w:rsid w:val="00B762CD"/>
    <w:rsid w:val="00B7639E"/>
    <w:rsid w:val="00B763EC"/>
    <w:rsid w:val="00B7673C"/>
    <w:rsid w:val="00B76816"/>
    <w:rsid w:val="00B76CDA"/>
    <w:rsid w:val="00B76D99"/>
    <w:rsid w:val="00B77126"/>
    <w:rsid w:val="00B77517"/>
    <w:rsid w:val="00B777E3"/>
    <w:rsid w:val="00B77831"/>
    <w:rsid w:val="00B77C59"/>
    <w:rsid w:val="00B800A9"/>
    <w:rsid w:val="00B8034F"/>
    <w:rsid w:val="00B80882"/>
    <w:rsid w:val="00B80AD4"/>
    <w:rsid w:val="00B811A6"/>
    <w:rsid w:val="00B81608"/>
    <w:rsid w:val="00B816C6"/>
    <w:rsid w:val="00B816C7"/>
    <w:rsid w:val="00B819F2"/>
    <w:rsid w:val="00B81D2D"/>
    <w:rsid w:val="00B81DDF"/>
    <w:rsid w:val="00B81EED"/>
    <w:rsid w:val="00B82402"/>
    <w:rsid w:val="00B8284D"/>
    <w:rsid w:val="00B8292A"/>
    <w:rsid w:val="00B82EE3"/>
    <w:rsid w:val="00B830D2"/>
    <w:rsid w:val="00B833F6"/>
    <w:rsid w:val="00B83C8D"/>
    <w:rsid w:val="00B83F3E"/>
    <w:rsid w:val="00B83F61"/>
    <w:rsid w:val="00B83FE7"/>
    <w:rsid w:val="00B8498B"/>
    <w:rsid w:val="00B849A0"/>
    <w:rsid w:val="00B84B50"/>
    <w:rsid w:val="00B84DC5"/>
    <w:rsid w:val="00B84F64"/>
    <w:rsid w:val="00B851B1"/>
    <w:rsid w:val="00B854D4"/>
    <w:rsid w:val="00B859C2"/>
    <w:rsid w:val="00B85B75"/>
    <w:rsid w:val="00B85C18"/>
    <w:rsid w:val="00B85EA1"/>
    <w:rsid w:val="00B86166"/>
    <w:rsid w:val="00B862BC"/>
    <w:rsid w:val="00B862F2"/>
    <w:rsid w:val="00B864C0"/>
    <w:rsid w:val="00B8656D"/>
    <w:rsid w:val="00B86601"/>
    <w:rsid w:val="00B86928"/>
    <w:rsid w:val="00B869B8"/>
    <w:rsid w:val="00B86A60"/>
    <w:rsid w:val="00B86FD7"/>
    <w:rsid w:val="00B870A5"/>
    <w:rsid w:val="00B871AF"/>
    <w:rsid w:val="00B875C2"/>
    <w:rsid w:val="00B87822"/>
    <w:rsid w:val="00B87D4F"/>
    <w:rsid w:val="00B900EA"/>
    <w:rsid w:val="00B906A9"/>
    <w:rsid w:val="00B9085D"/>
    <w:rsid w:val="00B908EB"/>
    <w:rsid w:val="00B90D09"/>
    <w:rsid w:val="00B90D44"/>
    <w:rsid w:val="00B90D56"/>
    <w:rsid w:val="00B91075"/>
    <w:rsid w:val="00B912F7"/>
    <w:rsid w:val="00B913B8"/>
    <w:rsid w:val="00B916DB"/>
    <w:rsid w:val="00B91988"/>
    <w:rsid w:val="00B91EC9"/>
    <w:rsid w:val="00B921E8"/>
    <w:rsid w:val="00B922FC"/>
    <w:rsid w:val="00B9234F"/>
    <w:rsid w:val="00B9259E"/>
    <w:rsid w:val="00B92686"/>
    <w:rsid w:val="00B927D3"/>
    <w:rsid w:val="00B92A14"/>
    <w:rsid w:val="00B930DB"/>
    <w:rsid w:val="00B93477"/>
    <w:rsid w:val="00B9350F"/>
    <w:rsid w:val="00B935E3"/>
    <w:rsid w:val="00B93650"/>
    <w:rsid w:val="00B939BD"/>
    <w:rsid w:val="00B939D8"/>
    <w:rsid w:val="00B9408A"/>
    <w:rsid w:val="00B945B7"/>
    <w:rsid w:val="00B94A00"/>
    <w:rsid w:val="00B951FB"/>
    <w:rsid w:val="00B954D2"/>
    <w:rsid w:val="00B957DF"/>
    <w:rsid w:val="00B95DDE"/>
    <w:rsid w:val="00B95EB3"/>
    <w:rsid w:val="00B961A1"/>
    <w:rsid w:val="00B961E6"/>
    <w:rsid w:val="00B96465"/>
    <w:rsid w:val="00B964E7"/>
    <w:rsid w:val="00B96644"/>
    <w:rsid w:val="00B968D8"/>
    <w:rsid w:val="00B96A42"/>
    <w:rsid w:val="00B97168"/>
    <w:rsid w:val="00B976B9"/>
    <w:rsid w:val="00B97B96"/>
    <w:rsid w:val="00B97E8C"/>
    <w:rsid w:val="00BA04C0"/>
    <w:rsid w:val="00BA0987"/>
    <w:rsid w:val="00BA0E69"/>
    <w:rsid w:val="00BA10A2"/>
    <w:rsid w:val="00BA155E"/>
    <w:rsid w:val="00BA1737"/>
    <w:rsid w:val="00BA17D6"/>
    <w:rsid w:val="00BA1A7E"/>
    <w:rsid w:val="00BA1B87"/>
    <w:rsid w:val="00BA1E52"/>
    <w:rsid w:val="00BA21C0"/>
    <w:rsid w:val="00BA2674"/>
    <w:rsid w:val="00BA26CB"/>
    <w:rsid w:val="00BA26D9"/>
    <w:rsid w:val="00BA2909"/>
    <w:rsid w:val="00BA2FD0"/>
    <w:rsid w:val="00BA3021"/>
    <w:rsid w:val="00BA38FD"/>
    <w:rsid w:val="00BA3EF2"/>
    <w:rsid w:val="00BA4573"/>
    <w:rsid w:val="00BA46D6"/>
    <w:rsid w:val="00BA47DF"/>
    <w:rsid w:val="00BA4BD0"/>
    <w:rsid w:val="00BA4C02"/>
    <w:rsid w:val="00BA54AD"/>
    <w:rsid w:val="00BA56C5"/>
    <w:rsid w:val="00BA59AA"/>
    <w:rsid w:val="00BA64B7"/>
    <w:rsid w:val="00BA65D3"/>
    <w:rsid w:val="00BA66C3"/>
    <w:rsid w:val="00BA68CB"/>
    <w:rsid w:val="00BA6994"/>
    <w:rsid w:val="00BA6D7D"/>
    <w:rsid w:val="00BA6ECA"/>
    <w:rsid w:val="00BA73C7"/>
    <w:rsid w:val="00BA75EA"/>
    <w:rsid w:val="00BA7749"/>
    <w:rsid w:val="00BA78CE"/>
    <w:rsid w:val="00BA78E3"/>
    <w:rsid w:val="00BA7B0C"/>
    <w:rsid w:val="00BB010E"/>
    <w:rsid w:val="00BB0459"/>
    <w:rsid w:val="00BB05A5"/>
    <w:rsid w:val="00BB0855"/>
    <w:rsid w:val="00BB0932"/>
    <w:rsid w:val="00BB09EF"/>
    <w:rsid w:val="00BB0A55"/>
    <w:rsid w:val="00BB0CF9"/>
    <w:rsid w:val="00BB0E20"/>
    <w:rsid w:val="00BB114F"/>
    <w:rsid w:val="00BB1530"/>
    <w:rsid w:val="00BB17E3"/>
    <w:rsid w:val="00BB1A44"/>
    <w:rsid w:val="00BB20DF"/>
    <w:rsid w:val="00BB253E"/>
    <w:rsid w:val="00BB266C"/>
    <w:rsid w:val="00BB2934"/>
    <w:rsid w:val="00BB2DC5"/>
    <w:rsid w:val="00BB332D"/>
    <w:rsid w:val="00BB3666"/>
    <w:rsid w:val="00BB3960"/>
    <w:rsid w:val="00BB3972"/>
    <w:rsid w:val="00BB3AE4"/>
    <w:rsid w:val="00BB3BA4"/>
    <w:rsid w:val="00BB3DC9"/>
    <w:rsid w:val="00BB3EAD"/>
    <w:rsid w:val="00BB41FC"/>
    <w:rsid w:val="00BB420C"/>
    <w:rsid w:val="00BB4211"/>
    <w:rsid w:val="00BB42F4"/>
    <w:rsid w:val="00BB4496"/>
    <w:rsid w:val="00BB485D"/>
    <w:rsid w:val="00BB4A93"/>
    <w:rsid w:val="00BB4C36"/>
    <w:rsid w:val="00BB4CCC"/>
    <w:rsid w:val="00BB4EBD"/>
    <w:rsid w:val="00BB51DB"/>
    <w:rsid w:val="00BB55E0"/>
    <w:rsid w:val="00BB582F"/>
    <w:rsid w:val="00BB58E6"/>
    <w:rsid w:val="00BB5A70"/>
    <w:rsid w:val="00BB5C5F"/>
    <w:rsid w:val="00BB5CD3"/>
    <w:rsid w:val="00BB60B0"/>
    <w:rsid w:val="00BB64A0"/>
    <w:rsid w:val="00BB6CEA"/>
    <w:rsid w:val="00BB7124"/>
    <w:rsid w:val="00BB7220"/>
    <w:rsid w:val="00BB778E"/>
    <w:rsid w:val="00BB7BF1"/>
    <w:rsid w:val="00BC0576"/>
    <w:rsid w:val="00BC0927"/>
    <w:rsid w:val="00BC0AD5"/>
    <w:rsid w:val="00BC0CE1"/>
    <w:rsid w:val="00BC0E84"/>
    <w:rsid w:val="00BC149F"/>
    <w:rsid w:val="00BC15B3"/>
    <w:rsid w:val="00BC1707"/>
    <w:rsid w:val="00BC1843"/>
    <w:rsid w:val="00BC1B09"/>
    <w:rsid w:val="00BC1BC4"/>
    <w:rsid w:val="00BC1C92"/>
    <w:rsid w:val="00BC1DF3"/>
    <w:rsid w:val="00BC22BB"/>
    <w:rsid w:val="00BC2393"/>
    <w:rsid w:val="00BC2600"/>
    <w:rsid w:val="00BC268C"/>
    <w:rsid w:val="00BC28E4"/>
    <w:rsid w:val="00BC299E"/>
    <w:rsid w:val="00BC2E06"/>
    <w:rsid w:val="00BC2E8F"/>
    <w:rsid w:val="00BC31E5"/>
    <w:rsid w:val="00BC3346"/>
    <w:rsid w:val="00BC3377"/>
    <w:rsid w:val="00BC38EB"/>
    <w:rsid w:val="00BC392E"/>
    <w:rsid w:val="00BC3AB1"/>
    <w:rsid w:val="00BC3B6E"/>
    <w:rsid w:val="00BC3B97"/>
    <w:rsid w:val="00BC3D94"/>
    <w:rsid w:val="00BC3E61"/>
    <w:rsid w:val="00BC3E92"/>
    <w:rsid w:val="00BC4045"/>
    <w:rsid w:val="00BC413D"/>
    <w:rsid w:val="00BC4403"/>
    <w:rsid w:val="00BC462A"/>
    <w:rsid w:val="00BC4988"/>
    <w:rsid w:val="00BC4E4B"/>
    <w:rsid w:val="00BC50A2"/>
    <w:rsid w:val="00BC53F8"/>
    <w:rsid w:val="00BC5748"/>
    <w:rsid w:val="00BC5ABD"/>
    <w:rsid w:val="00BC5AC6"/>
    <w:rsid w:val="00BC5BAF"/>
    <w:rsid w:val="00BC5C62"/>
    <w:rsid w:val="00BC6006"/>
    <w:rsid w:val="00BC6483"/>
    <w:rsid w:val="00BC6C18"/>
    <w:rsid w:val="00BC760D"/>
    <w:rsid w:val="00BC77ED"/>
    <w:rsid w:val="00BC7B8B"/>
    <w:rsid w:val="00BD0075"/>
    <w:rsid w:val="00BD0421"/>
    <w:rsid w:val="00BD0D6F"/>
    <w:rsid w:val="00BD1137"/>
    <w:rsid w:val="00BD129C"/>
    <w:rsid w:val="00BD160B"/>
    <w:rsid w:val="00BD163E"/>
    <w:rsid w:val="00BD1749"/>
    <w:rsid w:val="00BD1826"/>
    <w:rsid w:val="00BD1AD6"/>
    <w:rsid w:val="00BD1BD3"/>
    <w:rsid w:val="00BD2128"/>
    <w:rsid w:val="00BD2296"/>
    <w:rsid w:val="00BD2CBF"/>
    <w:rsid w:val="00BD2F2B"/>
    <w:rsid w:val="00BD366A"/>
    <w:rsid w:val="00BD3CF6"/>
    <w:rsid w:val="00BD3DEE"/>
    <w:rsid w:val="00BD47A9"/>
    <w:rsid w:val="00BD48F0"/>
    <w:rsid w:val="00BD49FE"/>
    <w:rsid w:val="00BD4A6D"/>
    <w:rsid w:val="00BD4AA3"/>
    <w:rsid w:val="00BD53FC"/>
    <w:rsid w:val="00BD5BB6"/>
    <w:rsid w:val="00BD5F12"/>
    <w:rsid w:val="00BD5FCA"/>
    <w:rsid w:val="00BD610D"/>
    <w:rsid w:val="00BD6386"/>
    <w:rsid w:val="00BD63DB"/>
    <w:rsid w:val="00BD64A3"/>
    <w:rsid w:val="00BD6BA6"/>
    <w:rsid w:val="00BD6F1B"/>
    <w:rsid w:val="00BD71C5"/>
    <w:rsid w:val="00BD738D"/>
    <w:rsid w:val="00BD749B"/>
    <w:rsid w:val="00BD750B"/>
    <w:rsid w:val="00BD7518"/>
    <w:rsid w:val="00BD76AF"/>
    <w:rsid w:val="00BD76E6"/>
    <w:rsid w:val="00BD78D5"/>
    <w:rsid w:val="00BD79D0"/>
    <w:rsid w:val="00BD7E2E"/>
    <w:rsid w:val="00BE0011"/>
    <w:rsid w:val="00BE01CD"/>
    <w:rsid w:val="00BE044D"/>
    <w:rsid w:val="00BE0A51"/>
    <w:rsid w:val="00BE0AA1"/>
    <w:rsid w:val="00BE0B95"/>
    <w:rsid w:val="00BE0C5B"/>
    <w:rsid w:val="00BE0D33"/>
    <w:rsid w:val="00BE1341"/>
    <w:rsid w:val="00BE15A0"/>
    <w:rsid w:val="00BE1708"/>
    <w:rsid w:val="00BE17D8"/>
    <w:rsid w:val="00BE17EE"/>
    <w:rsid w:val="00BE1900"/>
    <w:rsid w:val="00BE1A82"/>
    <w:rsid w:val="00BE1BED"/>
    <w:rsid w:val="00BE1C05"/>
    <w:rsid w:val="00BE1DDA"/>
    <w:rsid w:val="00BE2494"/>
    <w:rsid w:val="00BE287C"/>
    <w:rsid w:val="00BE2A75"/>
    <w:rsid w:val="00BE3006"/>
    <w:rsid w:val="00BE31BF"/>
    <w:rsid w:val="00BE3632"/>
    <w:rsid w:val="00BE3B9A"/>
    <w:rsid w:val="00BE3F31"/>
    <w:rsid w:val="00BE446B"/>
    <w:rsid w:val="00BE46DE"/>
    <w:rsid w:val="00BE47D4"/>
    <w:rsid w:val="00BE5160"/>
    <w:rsid w:val="00BE52CA"/>
    <w:rsid w:val="00BE52F5"/>
    <w:rsid w:val="00BE5322"/>
    <w:rsid w:val="00BE5676"/>
    <w:rsid w:val="00BE5A11"/>
    <w:rsid w:val="00BE625C"/>
    <w:rsid w:val="00BE627B"/>
    <w:rsid w:val="00BE63A5"/>
    <w:rsid w:val="00BE643C"/>
    <w:rsid w:val="00BE6812"/>
    <w:rsid w:val="00BE6D18"/>
    <w:rsid w:val="00BE6DCF"/>
    <w:rsid w:val="00BE6F2A"/>
    <w:rsid w:val="00BE7480"/>
    <w:rsid w:val="00BE7C4A"/>
    <w:rsid w:val="00BE7C9F"/>
    <w:rsid w:val="00BF001A"/>
    <w:rsid w:val="00BF0055"/>
    <w:rsid w:val="00BF059B"/>
    <w:rsid w:val="00BF072F"/>
    <w:rsid w:val="00BF0753"/>
    <w:rsid w:val="00BF0B66"/>
    <w:rsid w:val="00BF10AD"/>
    <w:rsid w:val="00BF14A8"/>
    <w:rsid w:val="00BF152A"/>
    <w:rsid w:val="00BF19B0"/>
    <w:rsid w:val="00BF1BAC"/>
    <w:rsid w:val="00BF1DCB"/>
    <w:rsid w:val="00BF20C7"/>
    <w:rsid w:val="00BF2471"/>
    <w:rsid w:val="00BF2481"/>
    <w:rsid w:val="00BF24C0"/>
    <w:rsid w:val="00BF2880"/>
    <w:rsid w:val="00BF28E3"/>
    <w:rsid w:val="00BF2978"/>
    <w:rsid w:val="00BF2C58"/>
    <w:rsid w:val="00BF2CD7"/>
    <w:rsid w:val="00BF2EBF"/>
    <w:rsid w:val="00BF2FA9"/>
    <w:rsid w:val="00BF3378"/>
    <w:rsid w:val="00BF33FC"/>
    <w:rsid w:val="00BF356E"/>
    <w:rsid w:val="00BF3905"/>
    <w:rsid w:val="00BF3B1B"/>
    <w:rsid w:val="00BF3E08"/>
    <w:rsid w:val="00BF3F52"/>
    <w:rsid w:val="00BF4054"/>
    <w:rsid w:val="00BF421C"/>
    <w:rsid w:val="00BF442E"/>
    <w:rsid w:val="00BF4A02"/>
    <w:rsid w:val="00BF50E7"/>
    <w:rsid w:val="00BF52BD"/>
    <w:rsid w:val="00BF552D"/>
    <w:rsid w:val="00BF57A2"/>
    <w:rsid w:val="00BF5A9B"/>
    <w:rsid w:val="00BF5BEB"/>
    <w:rsid w:val="00BF5C85"/>
    <w:rsid w:val="00BF5E0E"/>
    <w:rsid w:val="00BF6425"/>
    <w:rsid w:val="00BF65EA"/>
    <w:rsid w:val="00BF68B0"/>
    <w:rsid w:val="00BF74D3"/>
    <w:rsid w:val="00BF796F"/>
    <w:rsid w:val="00BF79BA"/>
    <w:rsid w:val="00BF7FFD"/>
    <w:rsid w:val="00C000D8"/>
    <w:rsid w:val="00C000DE"/>
    <w:rsid w:val="00C0034F"/>
    <w:rsid w:val="00C00602"/>
    <w:rsid w:val="00C00641"/>
    <w:rsid w:val="00C01339"/>
    <w:rsid w:val="00C016E2"/>
    <w:rsid w:val="00C021F6"/>
    <w:rsid w:val="00C02241"/>
    <w:rsid w:val="00C029DE"/>
    <w:rsid w:val="00C02C0F"/>
    <w:rsid w:val="00C02C5A"/>
    <w:rsid w:val="00C02E52"/>
    <w:rsid w:val="00C02F1A"/>
    <w:rsid w:val="00C0303B"/>
    <w:rsid w:val="00C03085"/>
    <w:rsid w:val="00C0314D"/>
    <w:rsid w:val="00C034AD"/>
    <w:rsid w:val="00C034C3"/>
    <w:rsid w:val="00C03537"/>
    <w:rsid w:val="00C03653"/>
    <w:rsid w:val="00C03B08"/>
    <w:rsid w:val="00C03DCE"/>
    <w:rsid w:val="00C03EEC"/>
    <w:rsid w:val="00C04138"/>
    <w:rsid w:val="00C0414D"/>
    <w:rsid w:val="00C0474A"/>
    <w:rsid w:val="00C04966"/>
    <w:rsid w:val="00C04AC3"/>
    <w:rsid w:val="00C04AF0"/>
    <w:rsid w:val="00C04E40"/>
    <w:rsid w:val="00C05129"/>
    <w:rsid w:val="00C0571E"/>
    <w:rsid w:val="00C05B27"/>
    <w:rsid w:val="00C05C0C"/>
    <w:rsid w:val="00C05DCE"/>
    <w:rsid w:val="00C05E02"/>
    <w:rsid w:val="00C06286"/>
    <w:rsid w:val="00C06539"/>
    <w:rsid w:val="00C06838"/>
    <w:rsid w:val="00C06885"/>
    <w:rsid w:val="00C068F0"/>
    <w:rsid w:val="00C06BBA"/>
    <w:rsid w:val="00C06C96"/>
    <w:rsid w:val="00C06F6B"/>
    <w:rsid w:val="00C06F8D"/>
    <w:rsid w:val="00C071FA"/>
    <w:rsid w:val="00C07365"/>
    <w:rsid w:val="00C07447"/>
    <w:rsid w:val="00C0748E"/>
    <w:rsid w:val="00C075AC"/>
    <w:rsid w:val="00C07757"/>
    <w:rsid w:val="00C10110"/>
    <w:rsid w:val="00C10228"/>
    <w:rsid w:val="00C104A1"/>
    <w:rsid w:val="00C106A6"/>
    <w:rsid w:val="00C10808"/>
    <w:rsid w:val="00C10AC7"/>
    <w:rsid w:val="00C10C01"/>
    <w:rsid w:val="00C1121D"/>
    <w:rsid w:val="00C11595"/>
    <w:rsid w:val="00C11693"/>
    <w:rsid w:val="00C11919"/>
    <w:rsid w:val="00C11A4E"/>
    <w:rsid w:val="00C11B8F"/>
    <w:rsid w:val="00C11F30"/>
    <w:rsid w:val="00C11F6F"/>
    <w:rsid w:val="00C121D0"/>
    <w:rsid w:val="00C1231E"/>
    <w:rsid w:val="00C12504"/>
    <w:rsid w:val="00C12627"/>
    <w:rsid w:val="00C127A1"/>
    <w:rsid w:val="00C12D36"/>
    <w:rsid w:val="00C131D9"/>
    <w:rsid w:val="00C134D7"/>
    <w:rsid w:val="00C137D2"/>
    <w:rsid w:val="00C13A85"/>
    <w:rsid w:val="00C13B05"/>
    <w:rsid w:val="00C13BBD"/>
    <w:rsid w:val="00C13D50"/>
    <w:rsid w:val="00C13D56"/>
    <w:rsid w:val="00C13EC0"/>
    <w:rsid w:val="00C148BD"/>
    <w:rsid w:val="00C14950"/>
    <w:rsid w:val="00C149AE"/>
    <w:rsid w:val="00C14DCF"/>
    <w:rsid w:val="00C14F9D"/>
    <w:rsid w:val="00C15062"/>
    <w:rsid w:val="00C15078"/>
    <w:rsid w:val="00C15410"/>
    <w:rsid w:val="00C158CE"/>
    <w:rsid w:val="00C15A76"/>
    <w:rsid w:val="00C15ACE"/>
    <w:rsid w:val="00C15D12"/>
    <w:rsid w:val="00C16062"/>
    <w:rsid w:val="00C161A9"/>
    <w:rsid w:val="00C164A1"/>
    <w:rsid w:val="00C165B7"/>
    <w:rsid w:val="00C166DB"/>
    <w:rsid w:val="00C1672F"/>
    <w:rsid w:val="00C169C3"/>
    <w:rsid w:val="00C16ABF"/>
    <w:rsid w:val="00C16C46"/>
    <w:rsid w:val="00C16CD6"/>
    <w:rsid w:val="00C1719F"/>
    <w:rsid w:val="00C17C1F"/>
    <w:rsid w:val="00C17C67"/>
    <w:rsid w:val="00C17DE2"/>
    <w:rsid w:val="00C2015E"/>
    <w:rsid w:val="00C20202"/>
    <w:rsid w:val="00C202B5"/>
    <w:rsid w:val="00C205D3"/>
    <w:rsid w:val="00C20BB4"/>
    <w:rsid w:val="00C20E57"/>
    <w:rsid w:val="00C20E73"/>
    <w:rsid w:val="00C2125C"/>
    <w:rsid w:val="00C2139B"/>
    <w:rsid w:val="00C2141A"/>
    <w:rsid w:val="00C21497"/>
    <w:rsid w:val="00C21C48"/>
    <w:rsid w:val="00C2214F"/>
    <w:rsid w:val="00C22183"/>
    <w:rsid w:val="00C22357"/>
    <w:rsid w:val="00C22841"/>
    <w:rsid w:val="00C22B9B"/>
    <w:rsid w:val="00C22D3F"/>
    <w:rsid w:val="00C22F3E"/>
    <w:rsid w:val="00C22F7F"/>
    <w:rsid w:val="00C23014"/>
    <w:rsid w:val="00C23064"/>
    <w:rsid w:val="00C230EA"/>
    <w:rsid w:val="00C23163"/>
    <w:rsid w:val="00C232BE"/>
    <w:rsid w:val="00C23420"/>
    <w:rsid w:val="00C23B4B"/>
    <w:rsid w:val="00C23EB3"/>
    <w:rsid w:val="00C23F28"/>
    <w:rsid w:val="00C24028"/>
    <w:rsid w:val="00C24576"/>
    <w:rsid w:val="00C24669"/>
    <w:rsid w:val="00C247F3"/>
    <w:rsid w:val="00C249F1"/>
    <w:rsid w:val="00C24A00"/>
    <w:rsid w:val="00C24C9C"/>
    <w:rsid w:val="00C24F2A"/>
    <w:rsid w:val="00C251B0"/>
    <w:rsid w:val="00C2550C"/>
    <w:rsid w:val="00C25551"/>
    <w:rsid w:val="00C258C3"/>
    <w:rsid w:val="00C258D2"/>
    <w:rsid w:val="00C25A62"/>
    <w:rsid w:val="00C25C9C"/>
    <w:rsid w:val="00C25EA2"/>
    <w:rsid w:val="00C2611F"/>
    <w:rsid w:val="00C2638C"/>
    <w:rsid w:val="00C26726"/>
    <w:rsid w:val="00C267D2"/>
    <w:rsid w:val="00C26920"/>
    <w:rsid w:val="00C26D7B"/>
    <w:rsid w:val="00C26DE0"/>
    <w:rsid w:val="00C26E4F"/>
    <w:rsid w:val="00C26FEC"/>
    <w:rsid w:val="00C27003"/>
    <w:rsid w:val="00C2706B"/>
    <w:rsid w:val="00C2779C"/>
    <w:rsid w:val="00C27D26"/>
    <w:rsid w:val="00C30227"/>
    <w:rsid w:val="00C30261"/>
    <w:rsid w:val="00C3036B"/>
    <w:rsid w:val="00C3047F"/>
    <w:rsid w:val="00C30736"/>
    <w:rsid w:val="00C307EB"/>
    <w:rsid w:val="00C309AD"/>
    <w:rsid w:val="00C30E59"/>
    <w:rsid w:val="00C30EAD"/>
    <w:rsid w:val="00C31370"/>
    <w:rsid w:val="00C31557"/>
    <w:rsid w:val="00C3181C"/>
    <w:rsid w:val="00C31B02"/>
    <w:rsid w:val="00C31B75"/>
    <w:rsid w:val="00C31C2A"/>
    <w:rsid w:val="00C31E41"/>
    <w:rsid w:val="00C31F06"/>
    <w:rsid w:val="00C323FA"/>
    <w:rsid w:val="00C32527"/>
    <w:rsid w:val="00C32983"/>
    <w:rsid w:val="00C32A88"/>
    <w:rsid w:val="00C32CF3"/>
    <w:rsid w:val="00C32F77"/>
    <w:rsid w:val="00C33301"/>
    <w:rsid w:val="00C33355"/>
    <w:rsid w:val="00C33596"/>
    <w:rsid w:val="00C3372E"/>
    <w:rsid w:val="00C33854"/>
    <w:rsid w:val="00C3387C"/>
    <w:rsid w:val="00C33DA0"/>
    <w:rsid w:val="00C33EF6"/>
    <w:rsid w:val="00C34038"/>
    <w:rsid w:val="00C34144"/>
    <w:rsid w:val="00C342C5"/>
    <w:rsid w:val="00C34402"/>
    <w:rsid w:val="00C345B4"/>
    <w:rsid w:val="00C3480D"/>
    <w:rsid w:val="00C349C4"/>
    <w:rsid w:val="00C34DB6"/>
    <w:rsid w:val="00C34F81"/>
    <w:rsid w:val="00C35363"/>
    <w:rsid w:val="00C35656"/>
    <w:rsid w:val="00C35893"/>
    <w:rsid w:val="00C359EA"/>
    <w:rsid w:val="00C35C4A"/>
    <w:rsid w:val="00C35E32"/>
    <w:rsid w:val="00C36162"/>
    <w:rsid w:val="00C361FA"/>
    <w:rsid w:val="00C36915"/>
    <w:rsid w:val="00C3693F"/>
    <w:rsid w:val="00C36983"/>
    <w:rsid w:val="00C36ABD"/>
    <w:rsid w:val="00C36B65"/>
    <w:rsid w:val="00C36DD6"/>
    <w:rsid w:val="00C36EA5"/>
    <w:rsid w:val="00C36EC7"/>
    <w:rsid w:val="00C36F5D"/>
    <w:rsid w:val="00C3700C"/>
    <w:rsid w:val="00C37091"/>
    <w:rsid w:val="00C3711E"/>
    <w:rsid w:val="00C37416"/>
    <w:rsid w:val="00C37AEC"/>
    <w:rsid w:val="00C37B9D"/>
    <w:rsid w:val="00C37BD4"/>
    <w:rsid w:val="00C37CBC"/>
    <w:rsid w:val="00C37F77"/>
    <w:rsid w:val="00C4069E"/>
    <w:rsid w:val="00C40AAF"/>
    <w:rsid w:val="00C40DBD"/>
    <w:rsid w:val="00C40EFD"/>
    <w:rsid w:val="00C40FDB"/>
    <w:rsid w:val="00C411E5"/>
    <w:rsid w:val="00C41217"/>
    <w:rsid w:val="00C4139A"/>
    <w:rsid w:val="00C4145C"/>
    <w:rsid w:val="00C41538"/>
    <w:rsid w:val="00C4155B"/>
    <w:rsid w:val="00C41756"/>
    <w:rsid w:val="00C41B22"/>
    <w:rsid w:val="00C4232A"/>
    <w:rsid w:val="00C423A2"/>
    <w:rsid w:val="00C42441"/>
    <w:rsid w:val="00C42477"/>
    <w:rsid w:val="00C4276B"/>
    <w:rsid w:val="00C427FD"/>
    <w:rsid w:val="00C428FA"/>
    <w:rsid w:val="00C42AD0"/>
    <w:rsid w:val="00C432D2"/>
    <w:rsid w:val="00C43869"/>
    <w:rsid w:val="00C43898"/>
    <w:rsid w:val="00C439CA"/>
    <w:rsid w:val="00C43A74"/>
    <w:rsid w:val="00C43F27"/>
    <w:rsid w:val="00C44296"/>
    <w:rsid w:val="00C44360"/>
    <w:rsid w:val="00C44A0A"/>
    <w:rsid w:val="00C44BD1"/>
    <w:rsid w:val="00C451AE"/>
    <w:rsid w:val="00C455DA"/>
    <w:rsid w:val="00C45603"/>
    <w:rsid w:val="00C4568F"/>
    <w:rsid w:val="00C45730"/>
    <w:rsid w:val="00C45772"/>
    <w:rsid w:val="00C457FC"/>
    <w:rsid w:val="00C46023"/>
    <w:rsid w:val="00C460E3"/>
    <w:rsid w:val="00C463A2"/>
    <w:rsid w:val="00C46555"/>
    <w:rsid w:val="00C46735"/>
    <w:rsid w:val="00C46976"/>
    <w:rsid w:val="00C46B3C"/>
    <w:rsid w:val="00C46B5F"/>
    <w:rsid w:val="00C47161"/>
    <w:rsid w:val="00C471A5"/>
    <w:rsid w:val="00C47206"/>
    <w:rsid w:val="00C4738F"/>
    <w:rsid w:val="00C473A6"/>
    <w:rsid w:val="00C47980"/>
    <w:rsid w:val="00C47CEB"/>
    <w:rsid w:val="00C47EFB"/>
    <w:rsid w:val="00C47F74"/>
    <w:rsid w:val="00C51306"/>
    <w:rsid w:val="00C51A3B"/>
    <w:rsid w:val="00C51AF2"/>
    <w:rsid w:val="00C51CC3"/>
    <w:rsid w:val="00C521BB"/>
    <w:rsid w:val="00C52253"/>
    <w:rsid w:val="00C52560"/>
    <w:rsid w:val="00C5263A"/>
    <w:rsid w:val="00C5272C"/>
    <w:rsid w:val="00C528D9"/>
    <w:rsid w:val="00C5294E"/>
    <w:rsid w:val="00C52A74"/>
    <w:rsid w:val="00C52BE8"/>
    <w:rsid w:val="00C52E05"/>
    <w:rsid w:val="00C5303F"/>
    <w:rsid w:val="00C5304C"/>
    <w:rsid w:val="00C5312B"/>
    <w:rsid w:val="00C531AE"/>
    <w:rsid w:val="00C53A4D"/>
    <w:rsid w:val="00C53FF2"/>
    <w:rsid w:val="00C5416E"/>
    <w:rsid w:val="00C542A6"/>
    <w:rsid w:val="00C54378"/>
    <w:rsid w:val="00C544EF"/>
    <w:rsid w:val="00C547BC"/>
    <w:rsid w:val="00C54834"/>
    <w:rsid w:val="00C549A4"/>
    <w:rsid w:val="00C549DF"/>
    <w:rsid w:val="00C54ADE"/>
    <w:rsid w:val="00C54E4A"/>
    <w:rsid w:val="00C54E60"/>
    <w:rsid w:val="00C54EF1"/>
    <w:rsid w:val="00C55149"/>
    <w:rsid w:val="00C55489"/>
    <w:rsid w:val="00C5548C"/>
    <w:rsid w:val="00C55DD1"/>
    <w:rsid w:val="00C5611F"/>
    <w:rsid w:val="00C56765"/>
    <w:rsid w:val="00C56DD3"/>
    <w:rsid w:val="00C57360"/>
    <w:rsid w:val="00C57C77"/>
    <w:rsid w:val="00C57D73"/>
    <w:rsid w:val="00C57F5C"/>
    <w:rsid w:val="00C600B0"/>
    <w:rsid w:val="00C603FB"/>
    <w:rsid w:val="00C606BD"/>
    <w:rsid w:val="00C6074A"/>
    <w:rsid w:val="00C607FD"/>
    <w:rsid w:val="00C60AB5"/>
    <w:rsid w:val="00C60B14"/>
    <w:rsid w:val="00C60E4E"/>
    <w:rsid w:val="00C611BD"/>
    <w:rsid w:val="00C61286"/>
    <w:rsid w:val="00C612E7"/>
    <w:rsid w:val="00C613A3"/>
    <w:rsid w:val="00C61440"/>
    <w:rsid w:val="00C61635"/>
    <w:rsid w:val="00C61897"/>
    <w:rsid w:val="00C61918"/>
    <w:rsid w:val="00C61B52"/>
    <w:rsid w:val="00C61E56"/>
    <w:rsid w:val="00C6209A"/>
    <w:rsid w:val="00C62125"/>
    <w:rsid w:val="00C6215A"/>
    <w:rsid w:val="00C62361"/>
    <w:rsid w:val="00C6248B"/>
    <w:rsid w:val="00C62907"/>
    <w:rsid w:val="00C6291B"/>
    <w:rsid w:val="00C62B51"/>
    <w:rsid w:val="00C63126"/>
    <w:rsid w:val="00C633FB"/>
    <w:rsid w:val="00C6391A"/>
    <w:rsid w:val="00C63E07"/>
    <w:rsid w:val="00C64027"/>
    <w:rsid w:val="00C64386"/>
    <w:rsid w:val="00C644BD"/>
    <w:rsid w:val="00C646F9"/>
    <w:rsid w:val="00C647BD"/>
    <w:rsid w:val="00C6490B"/>
    <w:rsid w:val="00C64BBA"/>
    <w:rsid w:val="00C65019"/>
    <w:rsid w:val="00C65070"/>
    <w:rsid w:val="00C651FC"/>
    <w:rsid w:val="00C65771"/>
    <w:rsid w:val="00C6606D"/>
    <w:rsid w:val="00C660D8"/>
    <w:rsid w:val="00C668A8"/>
    <w:rsid w:val="00C669F2"/>
    <w:rsid w:val="00C66AD4"/>
    <w:rsid w:val="00C6707C"/>
    <w:rsid w:val="00C67198"/>
    <w:rsid w:val="00C67318"/>
    <w:rsid w:val="00C673C6"/>
    <w:rsid w:val="00C6742B"/>
    <w:rsid w:val="00C67B01"/>
    <w:rsid w:val="00C67DD8"/>
    <w:rsid w:val="00C7033A"/>
    <w:rsid w:val="00C7041F"/>
    <w:rsid w:val="00C70490"/>
    <w:rsid w:val="00C705F0"/>
    <w:rsid w:val="00C7078E"/>
    <w:rsid w:val="00C70A20"/>
    <w:rsid w:val="00C70CA7"/>
    <w:rsid w:val="00C70E3C"/>
    <w:rsid w:val="00C70FD9"/>
    <w:rsid w:val="00C710BB"/>
    <w:rsid w:val="00C718B9"/>
    <w:rsid w:val="00C71C02"/>
    <w:rsid w:val="00C71F0E"/>
    <w:rsid w:val="00C7201C"/>
    <w:rsid w:val="00C72330"/>
    <w:rsid w:val="00C72352"/>
    <w:rsid w:val="00C7261E"/>
    <w:rsid w:val="00C7279B"/>
    <w:rsid w:val="00C728AD"/>
    <w:rsid w:val="00C72DE3"/>
    <w:rsid w:val="00C734FE"/>
    <w:rsid w:val="00C73524"/>
    <w:rsid w:val="00C73569"/>
    <w:rsid w:val="00C735BC"/>
    <w:rsid w:val="00C738D2"/>
    <w:rsid w:val="00C73AE7"/>
    <w:rsid w:val="00C74210"/>
    <w:rsid w:val="00C74573"/>
    <w:rsid w:val="00C7469C"/>
    <w:rsid w:val="00C747D0"/>
    <w:rsid w:val="00C752D6"/>
    <w:rsid w:val="00C75729"/>
    <w:rsid w:val="00C75820"/>
    <w:rsid w:val="00C7592D"/>
    <w:rsid w:val="00C759BB"/>
    <w:rsid w:val="00C75A99"/>
    <w:rsid w:val="00C7601B"/>
    <w:rsid w:val="00C76370"/>
    <w:rsid w:val="00C764DF"/>
    <w:rsid w:val="00C766F6"/>
    <w:rsid w:val="00C76B11"/>
    <w:rsid w:val="00C76B1B"/>
    <w:rsid w:val="00C76CDE"/>
    <w:rsid w:val="00C76D32"/>
    <w:rsid w:val="00C76E1D"/>
    <w:rsid w:val="00C77441"/>
    <w:rsid w:val="00C77609"/>
    <w:rsid w:val="00C7769C"/>
    <w:rsid w:val="00C77943"/>
    <w:rsid w:val="00C779CD"/>
    <w:rsid w:val="00C77ABA"/>
    <w:rsid w:val="00C77D5E"/>
    <w:rsid w:val="00C77DA4"/>
    <w:rsid w:val="00C77E42"/>
    <w:rsid w:val="00C80384"/>
    <w:rsid w:val="00C804F6"/>
    <w:rsid w:val="00C8056A"/>
    <w:rsid w:val="00C8099D"/>
    <w:rsid w:val="00C80C96"/>
    <w:rsid w:val="00C80CF5"/>
    <w:rsid w:val="00C8108D"/>
    <w:rsid w:val="00C8115B"/>
    <w:rsid w:val="00C81397"/>
    <w:rsid w:val="00C815D5"/>
    <w:rsid w:val="00C816BF"/>
    <w:rsid w:val="00C81ADD"/>
    <w:rsid w:val="00C81C5B"/>
    <w:rsid w:val="00C81C68"/>
    <w:rsid w:val="00C81DFC"/>
    <w:rsid w:val="00C81E95"/>
    <w:rsid w:val="00C81F06"/>
    <w:rsid w:val="00C81FEB"/>
    <w:rsid w:val="00C82134"/>
    <w:rsid w:val="00C82144"/>
    <w:rsid w:val="00C82ADA"/>
    <w:rsid w:val="00C82CC9"/>
    <w:rsid w:val="00C82D3D"/>
    <w:rsid w:val="00C82D55"/>
    <w:rsid w:val="00C82E29"/>
    <w:rsid w:val="00C830AF"/>
    <w:rsid w:val="00C83238"/>
    <w:rsid w:val="00C83593"/>
    <w:rsid w:val="00C835B3"/>
    <w:rsid w:val="00C8361A"/>
    <w:rsid w:val="00C837EA"/>
    <w:rsid w:val="00C83801"/>
    <w:rsid w:val="00C83A92"/>
    <w:rsid w:val="00C83F56"/>
    <w:rsid w:val="00C84063"/>
    <w:rsid w:val="00C842FD"/>
    <w:rsid w:val="00C84A5E"/>
    <w:rsid w:val="00C84A72"/>
    <w:rsid w:val="00C84AE3"/>
    <w:rsid w:val="00C84B1E"/>
    <w:rsid w:val="00C84B24"/>
    <w:rsid w:val="00C84C8F"/>
    <w:rsid w:val="00C84C97"/>
    <w:rsid w:val="00C84FE1"/>
    <w:rsid w:val="00C8536D"/>
    <w:rsid w:val="00C85B54"/>
    <w:rsid w:val="00C85BA1"/>
    <w:rsid w:val="00C86346"/>
    <w:rsid w:val="00C8646A"/>
    <w:rsid w:val="00C864A3"/>
    <w:rsid w:val="00C86AE1"/>
    <w:rsid w:val="00C86BA8"/>
    <w:rsid w:val="00C8701A"/>
    <w:rsid w:val="00C87177"/>
    <w:rsid w:val="00C87248"/>
    <w:rsid w:val="00C87920"/>
    <w:rsid w:val="00C87E4B"/>
    <w:rsid w:val="00C8C1DF"/>
    <w:rsid w:val="00C90242"/>
    <w:rsid w:val="00C90368"/>
    <w:rsid w:val="00C90495"/>
    <w:rsid w:val="00C904CB"/>
    <w:rsid w:val="00C9074A"/>
    <w:rsid w:val="00C90C09"/>
    <w:rsid w:val="00C90DFA"/>
    <w:rsid w:val="00C90EA3"/>
    <w:rsid w:val="00C91083"/>
    <w:rsid w:val="00C91173"/>
    <w:rsid w:val="00C912F5"/>
    <w:rsid w:val="00C91474"/>
    <w:rsid w:val="00C914BA"/>
    <w:rsid w:val="00C9188C"/>
    <w:rsid w:val="00C91A2F"/>
    <w:rsid w:val="00C91B13"/>
    <w:rsid w:val="00C91C68"/>
    <w:rsid w:val="00C91FE1"/>
    <w:rsid w:val="00C92013"/>
    <w:rsid w:val="00C9212B"/>
    <w:rsid w:val="00C9265D"/>
    <w:rsid w:val="00C92667"/>
    <w:rsid w:val="00C9274C"/>
    <w:rsid w:val="00C92E84"/>
    <w:rsid w:val="00C930C8"/>
    <w:rsid w:val="00C93191"/>
    <w:rsid w:val="00C93843"/>
    <w:rsid w:val="00C93947"/>
    <w:rsid w:val="00C93F2A"/>
    <w:rsid w:val="00C94198"/>
    <w:rsid w:val="00C94868"/>
    <w:rsid w:val="00C94CFD"/>
    <w:rsid w:val="00C95281"/>
    <w:rsid w:val="00C95A24"/>
    <w:rsid w:val="00C95E8E"/>
    <w:rsid w:val="00C96308"/>
    <w:rsid w:val="00C963D7"/>
    <w:rsid w:val="00C96537"/>
    <w:rsid w:val="00C967CD"/>
    <w:rsid w:val="00C96A9C"/>
    <w:rsid w:val="00C96C3E"/>
    <w:rsid w:val="00C96E7A"/>
    <w:rsid w:val="00C96E7D"/>
    <w:rsid w:val="00C96F6C"/>
    <w:rsid w:val="00C96FBB"/>
    <w:rsid w:val="00C9722B"/>
    <w:rsid w:val="00C9725B"/>
    <w:rsid w:val="00C9767B"/>
    <w:rsid w:val="00C97930"/>
    <w:rsid w:val="00C97A85"/>
    <w:rsid w:val="00C97CE7"/>
    <w:rsid w:val="00CA0085"/>
    <w:rsid w:val="00CA0215"/>
    <w:rsid w:val="00CA0414"/>
    <w:rsid w:val="00CA0752"/>
    <w:rsid w:val="00CA0EF5"/>
    <w:rsid w:val="00CA10C3"/>
    <w:rsid w:val="00CA1824"/>
    <w:rsid w:val="00CA183A"/>
    <w:rsid w:val="00CA1DCA"/>
    <w:rsid w:val="00CA1F28"/>
    <w:rsid w:val="00CA23BA"/>
    <w:rsid w:val="00CA23D6"/>
    <w:rsid w:val="00CA2560"/>
    <w:rsid w:val="00CA27A1"/>
    <w:rsid w:val="00CA2834"/>
    <w:rsid w:val="00CA360E"/>
    <w:rsid w:val="00CA3A20"/>
    <w:rsid w:val="00CA3BDD"/>
    <w:rsid w:val="00CA3D92"/>
    <w:rsid w:val="00CA4A23"/>
    <w:rsid w:val="00CA5097"/>
    <w:rsid w:val="00CA545E"/>
    <w:rsid w:val="00CA568A"/>
    <w:rsid w:val="00CA583C"/>
    <w:rsid w:val="00CA609F"/>
    <w:rsid w:val="00CA616C"/>
    <w:rsid w:val="00CA61DC"/>
    <w:rsid w:val="00CA625C"/>
    <w:rsid w:val="00CA64DD"/>
    <w:rsid w:val="00CA6591"/>
    <w:rsid w:val="00CA6792"/>
    <w:rsid w:val="00CA6998"/>
    <w:rsid w:val="00CA699F"/>
    <w:rsid w:val="00CA725C"/>
    <w:rsid w:val="00CA739E"/>
    <w:rsid w:val="00CA7574"/>
    <w:rsid w:val="00CA7738"/>
    <w:rsid w:val="00CA7BF0"/>
    <w:rsid w:val="00CAA7D0"/>
    <w:rsid w:val="00CB0233"/>
    <w:rsid w:val="00CB026C"/>
    <w:rsid w:val="00CB031A"/>
    <w:rsid w:val="00CB0596"/>
    <w:rsid w:val="00CB0725"/>
    <w:rsid w:val="00CB0802"/>
    <w:rsid w:val="00CB09E8"/>
    <w:rsid w:val="00CB0C55"/>
    <w:rsid w:val="00CB0CFC"/>
    <w:rsid w:val="00CB0D57"/>
    <w:rsid w:val="00CB0FAD"/>
    <w:rsid w:val="00CB103A"/>
    <w:rsid w:val="00CB1142"/>
    <w:rsid w:val="00CB1BD8"/>
    <w:rsid w:val="00CB1D82"/>
    <w:rsid w:val="00CB1EAE"/>
    <w:rsid w:val="00CB216A"/>
    <w:rsid w:val="00CB2694"/>
    <w:rsid w:val="00CB2F67"/>
    <w:rsid w:val="00CB38DC"/>
    <w:rsid w:val="00CB3C4A"/>
    <w:rsid w:val="00CB3CBB"/>
    <w:rsid w:val="00CB44EB"/>
    <w:rsid w:val="00CB44F5"/>
    <w:rsid w:val="00CB4657"/>
    <w:rsid w:val="00CB4B5D"/>
    <w:rsid w:val="00CB4BF7"/>
    <w:rsid w:val="00CB4DA9"/>
    <w:rsid w:val="00CB4FED"/>
    <w:rsid w:val="00CB5293"/>
    <w:rsid w:val="00CB531D"/>
    <w:rsid w:val="00CB5673"/>
    <w:rsid w:val="00CB5D75"/>
    <w:rsid w:val="00CB5EC1"/>
    <w:rsid w:val="00CB5EFA"/>
    <w:rsid w:val="00CB6280"/>
    <w:rsid w:val="00CB63A1"/>
    <w:rsid w:val="00CB67F2"/>
    <w:rsid w:val="00CB6A3E"/>
    <w:rsid w:val="00CB6C17"/>
    <w:rsid w:val="00CB6C67"/>
    <w:rsid w:val="00CB6CEC"/>
    <w:rsid w:val="00CB72BC"/>
    <w:rsid w:val="00CB73AF"/>
    <w:rsid w:val="00CB759F"/>
    <w:rsid w:val="00CB7793"/>
    <w:rsid w:val="00CB7E4F"/>
    <w:rsid w:val="00CC0179"/>
    <w:rsid w:val="00CC02BF"/>
    <w:rsid w:val="00CC03B4"/>
    <w:rsid w:val="00CC0497"/>
    <w:rsid w:val="00CC0630"/>
    <w:rsid w:val="00CC0813"/>
    <w:rsid w:val="00CC0EF7"/>
    <w:rsid w:val="00CC12B2"/>
    <w:rsid w:val="00CC1A9B"/>
    <w:rsid w:val="00CC1DC5"/>
    <w:rsid w:val="00CC20EA"/>
    <w:rsid w:val="00CC2245"/>
    <w:rsid w:val="00CC228B"/>
    <w:rsid w:val="00CC295F"/>
    <w:rsid w:val="00CC32E1"/>
    <w:rsid w:val="00CC34CD"/>
    <w:rsid w:val="00CC3E0A"/>
    <w:rsid w:val="00CC3FBB"/>
    <w:rsid w:val="00CC42A9"/>
    <w:rsid w:val="00CC4700"/>
    <w:rsid w:val="00CC4873"/>
    <w:rsid w:val="00CC4DC2"/>
    <w:rsid w:val="00CC57C5"/>
    <w:rsid w:val="00CC5949"/>
    <w:rsid w:val="00CC5A6B"/>
    <w:rsid w:val="00CC5B62"/>
    <w:rsid w:val="00CC5F3D"/>
    <w:rsid w:val="00CC614B"/>
    <w:rsid w:val="00CC61C2"/>
    <w:rsid w:val="00CC6898"/>
    <w:rsid w:val="00CC6DC8"/>
    <w:rsid w:val="00CC7127"/>
    <w:rsid w:val="00CC7D0F"/>
    <w:rsid w:val="00CD007C"/>
    <w:rsid w:val="00CD00F0"/>
    <w:rsid w:val="00CD021C"/>
    <w:rsid w:val="00CD0446"/>
    <w:rsid w:val="00CD05AD"/>
    <w:rsid w:val="00CD05B3"/>
    <w:rsid w:val="00CD0A36"/>
    <w:rsid w:val="00CD0B00"/>
    <w:rsid w:val="00CD12A4"/>
    <w:rsid w:val="00CD1321"/>
    <w:rsid w:val="00CD15FA"/>
    <w:rsid w:val="00CD1B4C"/>
    <w:rsid w:val="00CD1BC5"/>
    <w:rsid w:val="00CD1CE9"/>
    <w:rsid w:val="00CD1E88"/>
    <w:rsid w:val="00CD1EE5"/>
    <w:rsid w:val="00CD1F16"/>
    <w:rsid w:val="00CD2133"/>
    <w:rsid w:val="00CD21A8"/>
    <w:rsid w:val="00CD2C29"/>
    <w:rsid w:val="00CD2D32"/>
    <w:rsid w:val="00CD2EC8"/>
    <w:rsid w:val="00CD324D"/>
    <w:rsid w:val="00CD390E"/>
    <w:rsid w:val="00CD3D57"/>
    <w:rsid w:val="00CD4398"/>
    <w:rsid w:val="00CD4485"/>
    <w:rsid w:val="00CD4612"/>
    <w:rsid w:val="00CD46EB"/>
    <w:rsid w:val="00CD4922"/>
    <w:rsid w:val="00CD4BDB"/>
    <w:rsid w:val="00CD4DF9"/>
    <w:rsid w:val="00CD56C1"/>
    <w:rsid w:val="00CD5741"/>
    <w:rsid w:val="00CD57B0"/>
    <w:rsid w:val="00CD5E69"/>
    <w:rsid w:val="00CD5EF8"/>
    <w:rsid w:val="00CD6079"/>
    <w:rsid w:val="00CD644E"/>
    <w:rsid w:val="00CD6546"/>
    <w:rsid w:val="00CD6809"/>
    <w:rsid w:val="00CD6B1F"/>
    <w:rsid w:val="00CD6BD3"/>
    <w:rsid w:val="00CD6DFC"/>
    <w:rsid w:val="00CD6FCF"/>
    <w:rsid w:val="00CD7187"/>
    <w:rsid w:val="00CD724A"/>
    <w:rsid w:val="00CD74E0"/>
    <w:rsid w:val="00CE0378"/>
    <w:rsid w:val="00CE04B7"/>
    <w:rsid w:val="00CE0670"/>
    <w:rsid w:val="00CE0DC7"/>
    <w:rsid w:val="00CE0FEB"/>
    <w:rsid w:val="00CE1318"/>
    <w:rsid w:val="00CE13CB"/>
    <w:rsid w:val="00CE1A62"/>
    <w:rsid w:val="00CE1F29"/>
    <w:rsid w:val="00CE23BC"/>
    <w:rsid w:val="00CE2690"/>
    <w:rsid w:val="00CE29D5"/>
    <w:rsid w:val="00CE2A11"/>
    <w:rsid w:val="00CE2A13"/>
    <w:rsid w:val="00CE2AA6"/>
    <w:rsid w:val="00CE2AC9"/>
    <w:rsid w:val="00CE3043"/>
    <w:rsid w:val="00CE3319"/>
    <w:rsid w:val="00CE35D0"/>
    <w:rsid w:val="00CE361B"/>
    <w:rsid w:val="00CE39E2"/>
    <w:rsid w:val="00CE3C4D"/>
    <w:rsid w:val="00CE3D14"/>
    <w:rsid w:val="00CE3EB5"/>
    <w:rsid w:val="00CE3ECB"/>
    <w:rsid w:val="00CE4234"/>
    <w:rsid w:val="00CE4433"/>
    <w:rsid w:val="00CE455E"/>
    <w:rsid w:val="00CE4B4B"/>
    <w:rsid w:val="00CE4DC7"/>
    <w:rsid w:val="00CE5490"/>
    <w:rsid w:val="00CE5747"/>
    <w:rsid w:val="00CE5961"/>
    <w:rsid w:val="00CE5A13"/>
    <w:rsid w:val="00CE5DD0"/>
    <w:rsid w:val="00CE62FD"/>
    <w:rsid w:val="00CE6416"/>
    <w:rsid w:val="00CE6A21"/>
    <w:rsid w:val="00CE6C82"/>
    <w:rsid w:val="00CE72C2"/>
    <w:rsid w:val="00CE72D9"/>
    <w:rsid w:val="00CE75EA"/>
    <w:rsid w:val="00CE7617"/>
    <w:rsid w:val="00CE7658"/>
    <w:rsid w:val="00CE773F"/>
    <w:rsid w:val="00CE7741"/>
    <w:rsid w:val="00CE7A1D"/>
    <w:rsid w:val="00CE7CBB"/>
    <w:rsid w:val="00CE7D4E"/>
    <w:rsid w:val="00CE7DEF"/>
    <w:rsid w:val="00CE7E24"/>
    <w:rsid w:val="00CF023C"/>
    <w:rsid w:val="00CF0948"/>
    <w:rsid w:val="00CF0E10"/>
    <w:rsid w:val="00CF10D8"/>
    <w:rsid w:val="00CF1169"/>
    <w:rsid w:val="00CF11A2"/>
    <w:rsid w:val="00CF1835"/>
    <w:rsid w:val="00CF18C8"/>
    <w:rsid w:val="00CF1BA0"/>
    <w:rsid w:val="00CF21B5"/>
    <w:rsid w:val="00CF243A"/>
    <w:rsid w:val="00CF249F"/>
    <w:rsid w:val="00CF2604"/>
    <w:rsid w:val="00CF27ED"/>
    <w:rsid w:val="00CF2CA0"/>
    <w:rsid w:val="00CF2D73"/>
    <w:rsid w:val="00CF2ED3"/>
    <w:rsid w:val="00CF2F54"/>
    <w:rsid w:val="00CF3683"/>
    <w:rsid w:val="00CF3824"/>
    <w:rsid w:val="00CF3B7B"/>
    <w:rsid w:val="00CF3E0B"/>
    <w:rsid w:val="00CF403B"/>
    <w:rsid w:val="00CF40C4"/>
    <w:rsid w:val="00CF4212"/>
    <w:rsid w:val="00CF448F"/>
    <w:rsid w:val="00CF4DAF"/>
    <w:rsid w:val="00CF4E9C"/>
    <w:rsid w:val="00CF4EE8"/>
    <w:rsid w:val="00CF5E8F"/>
    <w:rsid w:val="00CF5F7A"/>
    <w:rsid w:val="00CF6A22"/>
    <w:rsid w:val="00CF6A9E"/>
    <w:rsid w:val="00CF6C17"/>
    <w:rsid w:val="00CF6C7F"/>
    <w:rsid w:val="00CF6CFC"/>
    <w:rsid w:val="00CF715D"/>
    <w:rsid w:val="00CF79F6"/>
    <w:rsid w:val="00CF7CCE"/>
    <w:rsid w:val="00CF7CE5"/>
    <w:rsid w:val="00D0009C"/>
    <w:rsid w:val="00D000A0"/>
    <w:rsid w:val="00D0082E"/>
    <w:rsid w:val="00D00969"/>
    <w:rsid w:val="00D00B2B"/>
    <w:rsid w:val="00D0125C"/>
    <w:rsid w:val="00D0135C"/>
    <w:rsid w:val="00D01550"/>
    <w:rsid w:val="00D015DD"/>
    <w:rsid w:val="00D015EE"/>
    <w:rsid w:val="00D01609"/>
    <w:rsid w:val="00D017AF"/>
    <w:rsid w:val="00D02040"/>
    <w:rsid w:val="00D020A4"/>
    <w:rsid w:val="00D02810"/>
    <w:rsid w:val="00D02DBA"/>
    <w:rsid w:val="00D02EA8"/>
    <w:rsid w:val="00D02EB4"/>
    <w:rsid w:val="00D03452"/>
    <w:rsid w:val="00D038E1"/>
    <w:rsid w:val="00D04B5B"/>
    <w:rsid w:val="00D05054"/>
    <w:rsid w:val="00D051F7"/>
    <w:rsid w:val="00D0524D"/>
    <w:rsid w:val="00D052AE"/>
    <w:rsid w:val="00D054E0"/>
    <w:rsid w:val="00D059F6"/>
    <w:rsid w:val="00D061C3"/>
    <w:rsid w:val="00D06AC6"/>
    <w:rsid w:val="00D06C4A"/>
    <w:rsid w:val="00D06E70"/>
    <w:rsid w:val="00D0712E"/>
    <w:rsid w:val="00D07277"/>
    <w:rsid w:val="00D076AB"/>
    <w:rsid w:val="00D07975"/>
    <w:rsid w:val="00D07A0A"/>
    <w:rsid w:val="00D07AE8"/>
    <w:rsid w:val="00D07DE0"/>
    <w:rsid w:val="00D101C5"/>
    <w:rsid w:val="00D105CD"/>
    <w:rsid w:val="00D1062B"/>
    <w:rsid w:val="00D10E95"/>
    <w:rsid w:val="00D10F90"/>
    <w:rsid w:val="00D110E2"/>
    <w:rsid w:val="00D11515"/>
    <w:rsid w:val="00D11558"/>
    <w:rsid w:val="00D11653"/>
    <w:rsid w:val="00D117F8"/>
    <w:rsid w:val="00D117FA"/>
    <w:rsid w:val="00D11CA0"/>
    <w:rsid w:val="00D11DE9"/>
    <w:rsid w:val="00D12048"/>
    <w:rsid w:val="00D122DD"/>
    <w:rsid w:val="00D123FD"/>
    <w:rsid w:val="00D134AB"/>
    <w:rsid w:val="00D13510"/>
    <w:rsid w:val="00D1354E"/>
    <w:rsid w:val="00D13702"/>
    <w:rsid w:val="00D139E9"/>
    <w:rsid w:val="00D13AC9"/>
    <w:rsid w:val="00D13D54"/>
    <w:rsid w:val="00D142AD"/>
    <w:rsid w:val="00D1435B"/>
    <w:rsid w:val="00D1465C"/>
    <w:rsid w:val="00D14770"/>
    <w:rsid w:val="00D14F01"/>
    <w:rsid w:val="00D150C9"/>
    <w:rsid w:val="00D152E1"/>
    <w:rsid w:val="00D1546F"/>
    <w:rsid w:val="00D1565C"/>
    <w:rsid w:val="00D15770"/>
    <w:rsid w:val="00D15CA8"/>
    <w:rsid w:val="00D15CE2"/>
    <w:rsid w:val="00D15D73"/>
    <w:rsid w:val="00D15DE2"/>
    <w:rsid w:val="00D16108"/>
    <w:rsid w:val="00D16319"/>
    <w:rsid w:val="00D16561"/>
    <w:rsid w:val="00D168B4"/>
    <w:rsid w:val="00D169BC"/>
    <w:rsid w:val="00D16A48"/>
    <w:rsid w:val="00D1719A"/>
    <w:rsid w:val="00D17324"/>
    <w:rsid w:val="00D177A1"/>
    <w:rsid w:val="00D179CB"/>
    <w:rsid w:val="00D17B2C"/>
    <w:rsid w:val="00D17E20"/>
    <w:rsid w:val="00D20284"/>
    <w:rsid w:val="00D2032C"/>
    <w:rsid w:val="00D20354"/>
    <w:rsid w:val="00D20492"/>
    <w:rsid w:val="00D206E6"/>
    <w:rsid w:val="00D20805"/>
    <w:rsid w:val="00D20AA6"/>
    <w:rsid w:val="00D20E16"/>
    <w:rsid w:val="00D20E6C"/>
    <w:rsid w:val="00D20F5D"/>
    <w:rsid w:val="00D21562"/>
    <w:rsid w:val="00D2165B"/>
    <w:rsid w:val="00D218B7"/>
    <w:rsid w:val="00D21B7A"/>
    <w:rsid w:val="00D21BED"/>
    <w:rsid w:val="00D223F8"/>
    <w:rsid w:val="00D22D00"/>
    <w:rsid w:val="00D23995"/>
    <w:rsid w:val="00D23A75"/>
    <w:rsid w:val="00D23AFA"/>
    <w:rsid w:val="00D23E03"/>
    <w:rsid w:val="00D23EE4"/>
    <w:rsid w:val="00D240ED"/>
    <w:rsid w:val="00D24147"/>
    <w:rsid w:val="00D249AF"/>
    <w:rsid w:val="00D24A38"/>
    <w:rsid w:val="00D24AB4"/>
    <w:rsid w:val="00D250D5"/>
    <w:rsid w:val="00D25987"/>
    <w:rsid w:val="00D25A0F"/>
    <w:rsid w:val="00D25A9F"/>
    <w:rsid w:val="00D2605B"/>
    <w:rsid w:val="00D260B0"/>
    <w:rsid w:val="00D26140"/>
    <w:rsid w:val="00D26454"/>
    <w:rsid w:val="00D26757"/>
    <w:rsid w:val="00D2685C"/>
    <w:rsid w:val="00D2689C"/>
    <w:rsid w:val="00D268B4"/>
    <w:rsid w:val="00D2725A"/>
    <w:rsid w:val="00D272D7"/>
    <w:rsid w:val="00D27311"/>
    <w:rsid w:val="00D273F9"/>
    <w:rsid w:val="00D27A12"/>
    <w:rsid w:val="00D27A70"/>
    <w:rsid w:val="00D30808"/>
    <w:rsid w:val="00D308B6"/>
    <w:rsid w:val="00D30A83"/>
    <w:rsid w:val="00D30D68"/>
    <w:rsid w:val="00D31027"/>
    <w:rsid w:val="00D31041"/>
    <w:rsid w:val="00D31F69"/>
    <w:rsid w:val="00D32447"/>
    <w:rsid w:val="00D324B1"/>
    <w:rsid w:val="00D32A2B"/>
    <w:rsid w:val="00D32BA8"/>
    <w:rsid w:val="00D32DE3"/>
    <w:rsid w:val="00D32DF1"/>
    <w:rsid w:val="00D33556"/>
    <w:rsid w:val="00D33629"/>
    <w:rsid w:val="00D33B1D"/>
    <w:rsid w:val="00D340A5"/>
    <w:rsid w:val="00D341AE"/>
    <w:rsid w:val="00D34360"/>
    <w:rsid w:val="00D345C4"/>
    <w:rsid w:val="00D34A3D"/>
    <w:rsid w:val="00D34B1B"/>
    <w:rsid w:val="00D34F7D"/>
    <w:rsid w:val="00D358FF"/>
    <w:rsid w:val="00D35AF5"/>
    <w:rsid w:val="00D35E2B"/>
    <w:rsid w:val="00D35ED7"/>
    <w:rsid w:val="00D36BF9"/>
    <w:rsid w:val="00D36C38"/>
    <w:rsid w:val="00D36C54"/>
    <w:rsid w:val="00D372EC"/>
    <w:rsid w:val="00D37354"/>
    <w:rsid w:val="00D3741A"/>
    <w:rsid w:val="00D37547"/>
    <w:rsid w:val="00D37D7D"/>
    <w:rsid w:val="00D37FAF"/>
    <w:rsid w:val="00D400E9"/>
    <w:rsid w:val="00D4010B"/>
    <w:rsid w:val="00D40233"/>
    <w:rsid w:val="00D407C7"/>
    <w:rsid w:val="00D408AD"/>
    <w:rsid w:val="00D40C0F"/>
    <w:rsid w:val="00D40C4D"/>
    <w:rsid w:val="00D40D28"/>
    <w:rsid w:val="00D40DB8"/>
    <w:rsid w:val="00D40DE4"/>
    <w:rsid w:val="00D40FDE"/>
    <w:rsid w:val="00D413D4"/>
    <w:rsid w:val="00D41474"/>
    <w:rsid w:val="00D4150C"/>
    <w:rsid w:val="00D4159A"/>
    <w:rsid w:val="00D416B3"/>
    <w:rsid w:val="00D41810"/>
    <w:rsid w:val="00D41FA6"/>
    <w:rsid w:val="00D421CC"/>
    <w:rsid w:val="00D4225C"/>
    <w:rsid w:val="00D4275C"/>
    <w:rsid w:val="00D42863"/>
    <w:rsid w:val="00D428F3"/>
    <w:rsid w:val="00D43009"/>
    <w:rsid w:val="00D4374B"/>
    <w:rsid w:val="00D43953"/>
    <w:rsid w:val="00D43A2D"/>
    <w:rsid w:val="00D43ACF"/>
    <w:rsid w:val="00D43D64"/>
    <w:rsid w:val="00D43E71"/>
    <w:rsid w:val="00D43F15"/>
    <w:rsid w:val="00D44271"/>
    <w:rsid w:val="00D44496"/>
    <w:rsid w:val="00D448AC"/>
    <w:rsid w:val="00D449A8"/>
    <w:rsid w:val="00D449C4"/>
    <w:rsid w:val="00D44C64"/>
    <w:rsid w:val="00D44FCB"/>
    <w:rsid w:val="00D4507A"/>
    <w:rsid w:val="00D451B2"/>
    <w:rsid w:val="00D453E4"/>
    <w:rsid w:val="00D45655"/>
    <w:rsid w:val="00D4577E"/>
    <w:rsid w:val="00D45D10"/>
    <w:rsid w:val="00D45ECA"/>
    <w:rsid w:val="00D46138"/>
    <w:rsid w:val="00D463B6"/>
    <w:rsid w:val="00D468AA"/>
    <w:rsid w:val="00D46AAB"/>
    <w:rsid w:val="00D46AF1"/>
    <w:rsid w:val="00D46F40"/>
    <w:rsid w:val="00D4726C"/>
    <w:rsid w:val="00D47308"/>
    <w:rsid w:val="00D47876"/>
    <w:rsid w:val="00D478A8"/>
    <w:rsid w:val="00D47D3B"/>
    <w:rsid w:val="00D50010"/>
    <w:rsid w:val="00D501C8"/>
    <w:rsid w:val="00D50308"/>
    <w:rsid w:val="00D50312"/>
    <w:rsid w:val="00D506D1"/>
    <w:rsid w:val="00D509C0"/>
    <w:rsid w:val="00D51526"/>
    <w:rsid w:val="00D51665"/>
    <w:rsid w:val="00D51FFC"/>
    <w:rsid w:val="00D521CC"/>
    <w:rsid w:val="00D5275A"/>
    <w:rsid w:val="00D528FF"/>
    <w:rsid w:val="00D52A9A"/>
    <w:rsid w:val="00D53206"/>
    <w:rsid w:val="00D532F8"/>
    <w:rsid w:val="00D536D7"/>
    <w:rsid w:val="00D53A9C"/>
    <w:rsid w:val="00D53AEB"/>
    <w:rsid w:val="00D541A1"/>
    <w:rsid w:val="00D54340"/>
    <w:rsid w:val="00D543BE"/>
    <w:rsid w:val="00D546A2"/>
    <w:rsid w:val="00D54950"/>
    <w:rsid w:val="00D54C9C"/>
    <w:rsid w:val="00D55223"/>
    <w:rsid w:val="00D552AC"/>
    <w:rsid w:val="00D5570A"/>
    <w:rsid w:val="00D55823"/>
    <w:rsid w:val="00D55BA6"/>
    <w:rsid w:val="00D55D7F"/>
    <w:rsid w:val="00D55E12"/>
    <w:rsid w:val="00D5609A"/>
    <w:rsid w:val="00D56192"/>
    <w:rsid w:val="00D56511"/>
    <w:rsid w:val="00D5657D"/>
    <w:rsid w:val="00D56A91"/>
    <w:rsid w:val="00D56C07"/>
    <w:rsid w:val="00D572E2"/>
    <w:rsid w:val="00D573DB"/>
    <w:rsid w:val="00D5798F"/>
    <w:rsid w:val="00D602CC"/>
    <w:rsid w:val="00D602E5"/>
    <w:rsid w:val="00D603C6"/>
    <w:rsid w:val="00D606F4"/>
    <w:rsid w:val="00D60731"/>
    <w:rsid w:val="00D60971"/>
    <w:rsid w:val="00D60A2A"/>
    <w:rsid w:val="00D60A56"/>
    <w:rsid w:val="00D60B0B"/>
    <w:rsid w:val="00D61072"/>
    <w:rsid w:val="00D610E1"/>
    <w:rsid w:val="00D61475"/>
    <w:rsid w:val="00D6157F"/>
    <w:rsid w:val="00D61B61"/>
    <w:rsid w:val="00D61B91"/>
    <w:rsid w:val="00D61DD1"/>
    <w:rsid w:val="00D61FC3"/>
    <w:rsid w:val="00D6220B"/>
    <w:rsid w:val="00D626B2"/>
    <w:rsid w:val="00D6273B"/>
    <w:rsid w:val="00D62C62"/>
    <w:rsid w:val="00D6301E"/>
    <w:rsid w:val="00D63120"/>
    <w:rsid w:val="00D632DC"/>
    <w:rsid w:val="00D63632"/>
    <w:rsid w:val="00D6394A"/>
    <w:rsid w:val="00D639E7"/>
    <w:rsid w:val="00D63AF0"/>
    <w:rsid w:val="00D63EF1"/>
    <w:rsid w:val="00D64002"/>
    <w:rsid w:val="00D640E4"/>
    <w:rsid w:val="00D641BF"/>
    <w:rsid w:val="00D6461A"/>
    <w:rsid w:val="00D647BD"/>
    <w:rsid w:val="00D64BB0"/>
    <w:rsid w:val="00D64EA4"/>
    <w:rsid w:val="00D64FEE"/>
    <w:rsid w:val="00D65503"/>
    <w:rsid w:val="00D6562E"/>
    <w:rsid w:val="00D65729"/>
    <w:rsid w:val="00D658B1"/>
    <w:rsid w:val="00D66749"/>
    <w:rsid w:val="00D66799"/>
    <w:rsid w:val="00D669A1"/>
    <w:rsid w:val="00D67206"/>
    <w:rsid w:val="00D6730B"/>
    <w:rsid w:val="00D67374"/>
    <w:rsid w:val="00D67380"/>
    <w:rsid w:val="00D67742"/>
    <w:rsid w:val="00D67899"/>
    <w:rsid w:val="00D6796A"/>
    <w:rsid w:val="00D67B0B"/>
    <w:rsid w:val="00D67DD6"/>
    <w:rsid w:val="00D67E26"/>
    <w:rsid w:val="00D67EDF"/>
    <w:rsid w:val="00D67EEE"/>
    <w:rsid w:val="00D70280"/>
    <w:rsid w:val="00D70492"/>
    <w:rsid w:val="00D70579"/>
    <w:rsid w:val="00D7070E"/>
    <w:rsid w:val="00D70983"/>
    <w:rsid w:val="00D70C0C"/>
    <w:rsid w:val="00D70CCD"/>
    <w:rsid w:val="00D70D36"/>
    <w:rsid w:val="00D70E39"/>
    <w:rsid w:val="00D712F4"/>
    <w:rsid w:val="00D71743"/>
    <w:rsid w:val="00D717FF"/>
    <w:rsid w:val="00D71C9F"/>
    <w:rsid w:val="00D722CD"/>
    <w:rsid w:val="00D72307"/>
    <w:rsid w:val="00D7275B"/>
    <w:rsid w:val="00D72B7B"/>
    <w:rsid w:val="00D72F95"/>
    <w:rsid w:val="00D730D5"/>
    <w:rsid w:val="00D7331C"/>
    <w:rsid w:val="00D7355E"/>
    <w:rsid w:val="00D73863"/>
    <w:rsid w:val="00D73BAA"/>
    <w:rsid w:val="00D73DBF"/>
    <w:rsid w:val="00D7437C"/>
    <w:rsid w:val="00D746C0"/>
    <w:rsid w:val="00D74A26"/>
    <w:rsid w:val="00D74A57"/>
    <w:rsid w:val="00D74B87"/>
    <w:rsid w:val="00D74D0C"/>
    <w:rsid w:val="00D751FF"/>
    <w:rsid w:val="00D755E4"/>
    <w:rsid w:val="00D75CE2"/>
    <w:rsid w:val="00D76295"/>
    <w:rsid w:val="00D76473"/>
    <w:rsid w:val="00D76556"/>
    <w:rsid w:val="00D76D1C"/>
    <w:rsid w:val="00D76F17"/>
    <w:rsid w:val="00D76F6D"/>
    <w:rsid w:val="00D77258"/>
    <w:rsid w:val="00D77316"/>
    <w:rsid w:val="00D80077"/>
    <w:rsid w:val="00D800C1"/>
    <w:rsid w:val="00D801F2"/>
    <w:rsid w:val="00D802C1"/>
    <w:rsid w:val="00D802CD"/>
    <w:rsid w:val="00D80588"/>
    <w:rsid w:val="00D8081A"/>
    <w:rsid w:val="00D809D2"/>
    <w:rsid w:val="00D80E37"/>
    <w:rsid w:val="00D812C9"/>
    <w:rsid w:val="00D81414"/>
    <w:rsid w:val="00D81453"/>
    <w:rsid w:val="00D81B08"/>
    <w:rsid w:val="00D81E82"/>
    <w:rsid w:val="00D81ED6"/>
    <w:rsid w:val="00D82167"/>
    <w:rsid w:val="00D82250"/>
    <w:rsid w:val="00D82B11"/>
    <w:rsid w:val="00D82EA9"/>
    <w:rsid w:val="00D83157"/>
    <w:rsid w:val="00D832BE"/>
    <w:rsid w:val="00D832E7"/>
    <w:rsid w:val="00D83309"/>
    <w:rsid w:val="00D83683"/>
    <w:rsid w:val="00D83922"/>
    <w:rsid w:val="00D83B5D"/>
    <w:rsid w:val="00D83E1E"/>
    <w:rsid w:val="00D8468C"/>
    <w:rsid w:val="00D84A65"/>
    <w:rsid w:val="00D84F47"/>
    <w:rsid w:val="00D85131"/>
    <w:rsid w:val="00D85505"/>
    <w:rsid w:val="00D855FF"/>
    <w:rsid w:val="00D85C29"/>
    <w:rsid w:val="00D86099"/>
    <w:rsid w:val="00D86114"/>
    <w:rsid w:val="00D8638E"/>
    <w:rsid w:val="00D86BF5"/>
    <w:rsid w:val="00D86DDE"/>
    <w:rsid w:val="00D86F5E"/>
    <w:rsid w:val="00D87209"/>
    <w:rsid w:val="00D87908"/>
    <w:rsid w:val="00D87C68"/>
    <w:rsid w:val="00D87D58"/>
    <w:rsid w:val="00D87E22"/>
    <w:rsid w:val="00D9043B"/>
    <w:rsid w:val="00D90C33"/>
    <w:rsid w:val="00D90C42"/>
    <w:rsid w:val="00D90C55"/>
    <w:rsid w:val="00D914D4"/>
    <w:rsid w:val="00D915B2"/>
    <w:rsid w:val="00D91A48"/>
    <w:rsid w:val="00D91A9D"/>
    <w:rsid w:val="00D91B18"/>
    <w:rsid w:val="00D91C53"/>
    <w:rsid w:val="00D91D2B"/>
    <w:rsid w:val="00D91EC7"/>
    <w:rsid w:val="00D91ECD"/>
    <w:rsid w:val="00D92227"/>
    <w:rsid w:val="00D922DA"/>
    <w:rsid w:val="00D93421"/>
    <w:rsid w:val="00D9354C"/>
    <w:rsid w:val="00D936A7"/>
    <w:rsid w:val="00D9389F"/>
    <w:rsid w:val="00D938C9"/>
    <w:rsid w:val="00D93D08"/>
    <w:rsid w:val="00D93ED5"/>
    <w:rsid w:val="00D942E3"/>
    <w:rsid w:val="00D9460F"/>
    <w:rsid w:val="00D94866"/>
    <w:rsid w:val="00D94B33"/>
    <w:rsid w:val="00D94B58"/>
    <w:rsid w:val="00D94BAE"/>
    <w:rsid w:val="00D9534E"/>
    <w:rsid w:val="00D9572C"/>
    <w:rsid w:val="00D965E2"/>
    <w:rsid w:val="00D96663"/>
    <w:rsid w:val="00D96A8C"/>
    <w:rsid w:val="00D96CD3"/>
    <w:rsid w:val="00D96E8F"/>
    <w:rsid w:val="00D96FBB"/>
    <w:rsid w:val="00D97092"/>
    <w:rsid w:val="00D9721D"/>
    <w:rsid w:val="00D974B3"/>
    <w:rsid w:val="00D97673"/>
    <w:rsid w:val="00D9779D"/>
    <w:rsid w:val="00D97D20"/>
    <w:rsid w:val="00D97E2E"/>
    <w:rsid w:val="00D97FDF"/>
    <w:rsid w:val="00DA00B5"/>
    <w:rsid w:val="00DA03C1"/>
    <w:rsid w:val="00DA0532"/>
    <w:rsid w:val="00DA055C"/>
    <w:rsid w:val="00DA0701"/>
    <w:rsid w:val="00DA0B6E"/>
    <w:rsid w:val="00DA13C2"/>
    <w:rsid w:val="00DA1499"/>
    <w:rsid w:val="00DA14E4"/>
    <w:rsid w:val="00DA169D"/>
    <w:rsid w:val="00DA16DD"/>
    <w:rsid w:val="00DA18C3"/>
    <w:rsid w:val="00DA194F"/>
    <w:rsid w:val="00DA1B85"/>
    <w:rsid w:val="00DA1C33"/>
    <w:rsid w:val="00DA1C4D"/>
    <w:rsid w:val="00DA2083"/>
    <w:rsid w:val="00DA2710"/>
    <w:rsid w:val="00DA2E81"/>
    <w:rsid w:val="00DA2E89"/>
    <w:rsid w:val="00DA2F53"/>
    <w:rsid w:val="00DA31B6"/>
    <w:rsid w:val="00DA31B9"/>
    <w:rsid w:val="00DA351D"/>
    <w:rsid w:val="00DA3833"/>
    <w:rsid w:val="00DA39C2"/>
    <w:rsid w:val="00DA3F52"/>
    <w:rsid w:val="00DA3F9E"/>
    <w:rsid w:val="00DA3FA8"/>
    <w:rsid w:val="00DA419C"/>
    <w:rsid w:val="00DA43AA"/>
    <w:rsid w:val="00DA46DF"/>
    <w:rsid w:val="00DA4B3B"/>
    <w:rsid w:val="00DA4B58"/>
    <w:rsid w:val="00DA4E44"/>
    <w:rsid w:val="00DA4F23"/>
    <w:rsid w:val="00DA4FFA"/>
    <w:rsid w:val="00DA5275"/>
    <w:rsid w:val="00DA562C"/>
    <w:rsid w:val="00DA57B2"/>
    <w:rsid w:val="00DA5CFF"/>
    <w:rsid w:val="00DA5D4E"/>
    <w:rsid w:val="00DA5FF1"/>
    <w:rsid w:val="00DA615D"/>
    <w:rsid w:val="00DA6198"/>
    <w:rsid w:val="00DA62B8"/>
    <w:rsid w:val="00DA63B0"/>
    <w:rsid w:val="00DA66B2"/>
    <w:rsid w:val="00DA6741"/>
    <w:rsid w:val="00DA69C5"/>
    <w:rsid w:val="00DA6A2A"/>
    <w:rsid w:val="00DA6CA2"/>
    <w:rsid w:val="00DA6E68"/>
    <w:rsid w:val="00DA7032"/>
    <w:rsid w:val="00DA74A6"/>
    <w:rsid w:val="00DA7775"/>
    <w:rsid w:val="00DA783F"/>
    <w:rsid w:val="00DA7966"/>
    <w:rsid w:val="00DA7A4D"/>
    <w:rsid w:val="00DA7AC8"/>
    <w:rsid w:val="00DA7B16"/>
    <w:rsid w:val="00DA7B1F"/>
    <w:rsid w:val="00DA7C53"/>
    <w:rsid w:val="00DA7F70"/>
    <w:rsid w:val="00DB00A8"/>
    <w:rsid w:val="00DB0978"/>
    <w:rsid w:val="00DB0995"/>
    <w:rsid w:val="00DB0E92"/>
    <w:rsid w:val="00DB10CE"/>
    <w:rsid w:val="00DB186A"/>
    <w:rsid w:val="00DB18FA"/>
    <w:rsid w:val="00DB1CF7"/>
    <w:rsid w:val="00DB1EC9"/>
    <w:rsid w:val="00DB1EF3"/>
    <w:rsid w:val="00DB21B3"/>
    <w:rsid w:val="00DB29F9"/>
    <w:rsid w:val="00DB2CD1"/>
    <w:rsid w:val="00DB2E99"/>
    <w:rsid w:val="00DB2FCD"/>
    <w:rsid w:val="00DB34C9"/>
    <w:rsid w:val="00DB38FA"/>
    <w:rsid w:val="00DB3A3E"/>
    <w:rsid w:val="00DB3C37"/>
    <w:rsid w:val="00DB43E4"/>
    <w:rsid w:val="00DB4A97"/>
    <w:rsid w:val="00DB4EB3"/>
    <w:rsid w:val="00DB4EB8"/>
    <w:rsid w:val="00DB51AB"/>
    <w:rsid w:val="00DB520F"/>
    <w:rsid w:val="00DB53E9"/>
    <w:rsid w:val="00DB541E"/>
    <w:rsid w:val="00DB5ABB"/>
    <w:rsid w:val="00DB5D51"/>
    <w:rsid w:val="00DB604A"/>
    <w:rsid w:val="00DB6103"/>
    <w:rsid w:val="00DB6114"/>
    <w:rsid w:val="00DB637A"/>
    <w:rsid w:val="00DB6388"/>
    <w:rsid w:val="00DB6A46"/>
    <w:rsid w:val="00DB6CAC"/>
    <w:rsid w:val="00DB7244"/>
    <w:rsid w:val="00DB739C"/>
    <w:rsid w:val="00DB73A0"/>
    <w:rsid w:val="00DB73DE"/>
    <w:rsid w:val="00DB752E"/>
    <w:rsid w:val="00DB7549"/>
    <w:rsid w:val="00DB7749"/>
    <w:rsid w:val="00DB7B71"/>
    <w:rsid w:val="00DB7D22"/>
    <w:rsid w:val="00DB7F61"/>
    <w:rsid w:val="00DC023A"/>
    <w:rsid w:val="00DC02F7"/>
    <w:rsid w:val="00DC05C1"/>
    <w:rsid w:val="00DC098D"/>
    <w:rsid w:val="00DC0AF7"/>
    <w:rsid w:val="00DC0C85"/>
    <w:rsid w:val="00DC1280"/>
    <w:rsid w:val="00DC12D6"/>
    <w:rsid w:val="00DC12EC"/>
    <w:rsid w:val="00DC16A7"/>
    <w:rsid w:val="00DC1807"/>
    <w:rsid w:val="00DC1BE4"/>
    <w:rsid w:val="00DC2173"/>
    <w:rsid w:val="00DC263D"/>
    <w:rsid w:val="00DC2741"/>
    <w:rsid w:val="00DC28ED"/>
    <w:rsid w:val="00DC2E46"/>
    <w:rsid w:val="00DC2FC9"/>
    <w:rsid w:val="00DC30F6"/>
    <w:rsid w:val="00DC3A48"/>
    <w:rsid w:val="00DC3BA0"/>
    <w:rsid w:val="00DC42FA"/>
    <w:rsid w:val="00DC473A"/>
    <w:rsid w:val="00DC479C"/>
    <w:rsid w:val="00DC487D"/>
    <w:rsid w:val="00DC5004"/>
    <w:rsid w:val="00DC53EF"/>
    <w:rsid w:val="00DC543B"/>
    <w:rsid w:val="00DC571B"/>
    <w:rsid w:val="00DC5770"/>
    <w:rsid w:val="00DC58BE"/>
    <w:rsid w:val="00DC5B05"/>
    <w:rsid w:val="00DC6170"/>
    <w:rsid w:val="00DC65FA"/>
    <w:rsid w:val="00DC6A43"/>
    <w:rsid w:val="00DC6A87"/>
    <w:rsid w:val="00DC6ADB"/>
    <w:rsid w:val="00DC6CF1"/>
    <w:rsid w:val="00DC6E35"/>
    <w:rsid w:val="00DC6FDE"/>
    <w:rsid w:val="00DC7322"/>
    <w:rsid w:val="00DC73D0"/>
    <w:rsid w:val="00DC772A"/>
    <w:rsid w:val="00DC7D9D"/>
    <w:rsid w:val="00DC7EE1"/>
    <w:rsid w:val="00DD0483"/>
    <w:rsid w:val="00DD06EA"/>
    <w:rsid w:val="00DD1079"/>
    <w:rsid w:val="00DD1473"/>
    <w:rsid w:val="00DD162A"/>
    <w:rsid w:val="00DD19B6"/>
    <w:rsid w:val="00DD1ACD"/>
    <w:rsid w:val="00DD1C24"/>
    <w:rsid w:val="00DD2038"/>
    <w:rsid w:val="00DD206C"/>
    <w:rsid w:val="00DD2343"/>
    <w:rsid w:val="00DD2643"/>
    <w:rsid w:val="00DD2826"/>
    <w:rsid w:val="00DD293A"/>
    <w:rsid w:val="00DD2B6B"/>
    <w:rsid w:val="00DD2D11"/>
    <w:rsid w:val="00DD31F8"/>
    <w:rsid w:val="00DD3384"/>
    <w:rsid w:val="00DD358F"/>
    <w:rsid w:val="00DD3648"/>
    <w:rsid w:val="00DD3F68"/>
    <w:rsid w:val="00DD472A"/>
    <w:rsid w:val="00DD4831"/>
    <w:rsid w:val="00DD4959"/>
    <w:rsid w:val="00DD4C14"/>
    <w:rsid w:val="00DD4DDE"/>
    <w:rsid w:val="00DD5190"/>
    <w:rsid w:val="00DD5425"/>
    <w:rsid w:val="00DD5C93"/>
    <w:rsid w:val="00DD5E40"/>
    <w:rsid w:val="00DD5F60"/>
    <w:rsid w:val="00DD606D"/>
    <w:rsid w:val="00DD6189"/>
    <w:rsid w:val="00DD6544"/>
    <w:rsid w:val="00DD65D3"/>
    <w:rsid w:val="00DD664C"/>
    <w:rsid w:val="00DD678F"/>
    <w:rsid w:val="00DD6917"/>
    <w:rsid w:val="00DD6A07"/>
    <w:rsid w:val="00DD6AEF"/>
    <w:rsid w:val="00DD70BA"/>
    <w:rsid w:val="00DD71F7"/>
    <w:rsid w:val="00DD7219"/>
    <w:rsid w:val="00DD73C5"/>
    <w:rsid w:val="00DD74F6"/>
    <w:rsid w:val="00DD775E"/>
    <w:rsid w:val="00DD7841"/>
    <w:rsid w:val="00DD784B"/>
    <w:rsid w:val="00DD7BBC"/>
    <w:rsid w:val="00DD7C45"/>
    <w:rsid w:val="00DD7F4F"/>
    <w:rsid w:val="00DE026A"/>
    <w:rsid w:val="00DE05DC"/>
    <w:rsid w:val="00DE08BC"/>
    <w:rsid w:val="00DE0A95"/>
    <w:rsid w:val="00DE0AF7"/>
    <w:rsid w:val="00DE0C76"/>
    <w:rsid w:val="00DE0D93"/>
    <w:rsid w:val="00DE1239"/>
    <w:rsid w:val="00DE193C"/>
    <w:rsid w:val="00DE1C81"/>
    <w:rsid w:val="00DE2332"/>
    <w:rsid w:val="00DE2D72"/>
    <w:rsid w:val="00DE2DB4"/>
    <w:rsid w:val="00DE2F31"/>
    <w:rsid w:val="00DE2F7C"/>
    <w:rsid w:val="00DE355F"/>
    <w:rsid w:val="00DE368A"/>
    <w:rsid w:val="00DE378F"/>
    <w:rsid w:val="00DE399D"/>
    <w:rsid w:val="00DE3A5F"/>
    <w:rsid w:val="00DE3AC1"/>
    <w:rsid w:val="00DE3E9B"/>
    <w:rsid w:val="00DE41FF"/>
    <w:rsid w:val="00DE471F"/>
    <w:rsid w:val="00DE49A4"/>
    <w:rsid w:val="00DE4C50"/>
    <w:rsid w:val="00DE503F"/>
    <w:rsid w:val="00DE50F6"/>
    <w:rsid w:val="00DE529F"/>
    <w:rsid w:val="00DE5466"/>
    <w:rsid w:val="00DE5525"/>
    <w:rsid w:val="00DE5A11"/>
    <w:rsid w:val="00DE5A73"/>
    <w:rsid w:val="00DE5DDD"/>
    <w:rsid w:val="00DE6064"/>
    <w:rsid w:val="00DE65F4"/>
    <w:rsid w:val="00DE66BE"/>
    <w:rsid w:val="00DE69D6"/>
    <w:rsid w:val="00DE7029"/>
    <w:rsid w:val="00DE70C9"/>
    <w:rsid w:val="00DE761A"/>
    <w:rsid w:val="00DE77A3"/>
    <w:rsid w:val="00DE78E4"/>
    <w:rsid w:val="00DE7948"/>
    <w:rsid w:val="00DE7E7A"/>
    <w:rsid w:val="00DE7FD0"/>
    <w:rsid w:val="00DF029E"/>
    <w:rsid w:val="00DF02B9"/>
    <w:rsid w:val="00DF0B29"/>
    <w:rsid w:val="00DF0C44"/>
    <w:rsid w:val="00DF0CD4"/>
    <w:rsid w:val="00DF0D33"/>
    <w:rsid w:val="00DF0DED"/>
    <w:rsid w:val="00DF0F0E"/>
    <w:rsid w:val="00DF0F80"/>
    <w:rsid w:val="00DF11B5"/>
    <w:rsid w:val="00DF1BCC"/>
    <w:rsid w:val="00DF1C8A"/>
    <w:rsid w:val="00DF1F70"/>
    <w:rsid w:val="00DF28C7"/>
    <w:rsid w:val="00DF28C9"/>
    <w:rsid w:val="00DF2CD1"/>
    <w:rsid w:val="00DF2D3A"/>
    <w:rsid w:val="00DF312E"/>
    <w:rsid w:val="00DF3132"/>
    <w:rsid w:val="00DF31A3"/>
    <w:rsid w:val="00DF341B"/>
    <w:rsid w:val="00DF38A2"/>
    <w:rsid w:val="00DF3C16"/>
    <w:rsid w:val="00DF450B"/>
    <w:rsid w:val="00DF4783"/>
    <w:rsid w:val="00DF4B29"/>
    <w:rsid w:val="00DF5178"/>
    <w:rsid w:val="00DF545D"/>
    <w:rsid w:val="00DF5565"/>
    <w:rsid w:val="00DF5749"/>
    <w:rsid w:val="00DF6320"/>
    <w:rsid w:val="00DF6555"/>
    <w:rsid w:val="00DF65E2"/>
    <w:rsid w:val="00DF6B1C"/>
    <w:rsid w:val="00DF6CA2"/>
    <w:rsid w:val="00DF6D54"/>
    <w:rsid w:val="00DF6E01"/>
    <w:rsid w:val="00DF70B4"/>
    <w:rsid w:val="00DF7AB2"/>
    <w:rsid w:val="00DF7D45"/>
    <w:rsid w:val="00E000ED"/>
    <w:rsid w:val="00E00330"/>
    <w:rsid w:val="00E00440"/>
    <w:rsid w:val="00E004E7"/>
    <w:rsid w:val="00E007E5"/>
    <w:rsid w:val="00E00E34"/>
    <w:rsid w:val="00E01538"/>
    <w:rsid w:val="00E01585"/>
    <w:rsid w:val="00E018BF"/>
    <w:rsid w:val="00E026D3"/>
    <w:rsid w:val="00E02896"/>
    <w:rsid w:val="00E029BA"/>
    <w:rsid w:val="00E02B05"/>
    <w:rsid w:val="00E02B0B"/>
    <w:rsid w:val="00E02BF2"/>
    <w:rsid w:val="00E02D1A"/>
    <w:rsid w:val="00E031A9"/>
    <w:rsid w:val="00E032A8"/>
    <w:rsid w:val="00E032EE"/>
    <w:rsid w:val="00E03457"/>
    <w:rsid w:val="00E03AC5"/>
    <w:rsid w:val="00E03B83"/>
    <w:rsid w:val="00E03D20"/>
    <w:rsid w:val="00E03FC0"/>
    <w:rsid w:val="00E049D5"/>
    <w:rsid w:val="00E052EA"/>
    <w:rsid w:val="00E053A5"/>
    <w:rsid w:val="00E05714"/>
    <w:rsid w:val="00E05779"/>
    <w:rsid w:val="00E058CD"/>
    <w:rsid w:val="00E0596F"/>
    <w:rsid w:val="00E05BFA"/>
    <w:rsid w:val="00E062CD"/>
    <w:rsid w:val="00E0643C"/>
    <w:rsid w:val="00E06A7B"/>
    <w:rsid w:val="00E06B49"/>
    <w:rsid w:val="00E06D7A"/>
    <w:rsid w:val="00E076A5"/>
    <w:rsid w:val="00E078E8"/>
    <w:rsid w:val="00E100CA"/>
    <w:rsid w:val="00E10245"/>
    <w:rsid w:val="00E102E8"/>
    <w:rsid w:val="00E10503"/>
    <w:rsid w:val="00E10544"/>
    <w:rsid w:val="00E105CA"/>
    <w:rsid w:val="00E10AA4"/>
    <w:rsid w:val="00E10CAB"/>
    <w:rsid w:val="00E10F0E"/>
    <w:rsid w:val="00E10FDE"/>
    <w:rsid w:val="00E10FF7"/>
    <w:rsid w:val="00E111C1"/>
    <w:rsid w:val="00E114E5"/>
    <w:rsid w:val="00E11680"/>
    <w:rsid w:val="00E11739"/>
    <w:rsid w:val="00E117D0"/>
    <w:rsid w:val="00E11EBE"/>
    <w:rsid w:val="00E11EE3"/>
    <w:rsid w:val="00E11EE7"/>
    <w:rsid w:val="00E12BCF"/>
    <w:rsid w:val="00E1309A"/>
    <w:rsid w:val="00E1317E"/>
    <w:rsid w:val="00E133F9"/>
    <w:rsid w:val="00E13996"/>
    <w:rsid w:val="00E139CE"/>
    <w:rsid w:val="00E139D5"/>
    <w:rsid w:val="00E13EFD"/>
    <w:rsid w:val="00E140FF"/>
    <w:rsid w:val="00E1433A"/>
    <w:rsid w:val="00E1470E"/>
    <w:rsid w:val="00E14C19"/>
    <w:rsid w:val="00E14CB2"/>
    <w:rsid w:val="00E15361"/>
    <w:rsid w:val="00E15424"/>
    <w:rsid w:val="00E158FE"/>
    <w:rsid w:val="00E15E4E"/>
    <w:rsid w:val="00E161E9"/>
    <w:rsid w:val="00E17230"/>
    <w:rsid w:val="00E17661"/>
    <w:rsid w:val="00E17698"/>
    <w:rsid w:val="00E17902"/>
    <w:rsid w:val="00E17CEE"/>
    <w:rsid w:val="00E201F6"/>
    <w:rsid w:val="00E204F7"/>
    <w:rsid w:val="00E205EE"/>
    <w:rsid w:val="00E207E3"/>
    <w:rsid w:val="00E20942"/>
    <w:rsid w:val="00E20ACD"/>
    <w:rsid w:val="00E20ED0"/>
    <w:rsid w:val="00E20F33"/>
    <w:rsid w:val="00E21067"/>
    <w:rsid w:val="00E2124C"/>
    <w:rsid w:val="00E219E7"/>
    <w:rsid w:val="00E21B54"/>
    <w:rsid w:val="00E21DF2"/>
    <w:rsid w:val="00E21FDB"/>
    <w:rsid w:val="00E22341"/>
    <w:rsid w:val="00E223D9"/>
    <w:rsid w:val="00E2243A"/>
    <w:rsid w:val="00E22485"/>
    <w:rsid w:val="00E225FD"/>
    <w:rsid w:val="00E228D9"/>
    <w:rsid w:val="00E2294B"/>
    <w:rsid w:val="00E2298C"/>
    <w:rsid w:val="00E22A5B"/>
    <w:rsid w:val="00E22F5D"/>
    <w:rsid w:val="00E22FCF"/>
    <w:rsid w:val="00E23395"/>
    <w:rsid w:val="00E238CB"/>
    <w:rsid w:val="00E239A6"/>
    <w:rsid w:val="00E23A05"/>
    <w:rsid w:val="00E23A3E"/>
    <w:rsid w:val="00E23B51"/>
    <w:rsid w:val="00E23CE8"/>
    <w:rsid w:val="00E23E2E"/>
    <w:rsid w:val="00E24251"/>
    <w:rsid w:val="00E242CC"/>
    <w:rsid w:val="00E24702"/>
    <w:rsid w:val="00E24802"/>
    <w:rsid w:val="00E24888"/>
    <w:rsid w:val="00E249E4"/>
    <w:rsid w:val="00E24A07"/>
    <w:rsid w:val="00E24C3C"/>
    <w:rsid w:val="00E25202"/>
    <w:rsid w:val="00E257A5"/>
    <w:rsid w:val="00E258E7"/>
    <w:rsid w:val="00E25BFE"/>
    <w:rsid w:val="00E260FA"/>
    <w:rsid w:val="00E265FF"/>
    <w:rsid w:val="00E2660F"/>
    <w:rsid w:val="00E268B8"/>
    <w:rsid w:val="00E2721B"/>
    <w:rsid w:val="00E2728A"/>
    <w:rsid w:val="00E273A8"/>
    <w:rsid w:val="00E273CA"/>
    <w:rsid w:val="00E27DDA"/>
    <w:rsid w:val="00E3086E"/>
    <w:rsid w:val="00E30B7F"/>
    <w:rsid w:val="00E30BC5"/>
    <w:rsid w:val="00E30BF7"/>
    <w:rsid w:val="00E30C04"/>
    <w:rsid w:val="00E310C3"/>
    <w:rsid w:val="00E3129F"/>
    <w:rsid w:val="00E3132B"/>
    <w:rsid w:val="00E31509"/>
    <w:rsid w:val="00E317ED"/>
    <w:rsid w:val="00E31932"/>
    <w:rsid w:val="00E319B3"/>
    <w:rsid w:val="00E31BD3"/>
    <w:rsid w:val="00E31EF1"/>
    <w:rsid w:val="00E32157"/>
    <w:rsid w:val="00E32C01"/>
    <w:rsid w:val="00E32ED8"/>
    <w:rsid w:val="00E33011"/>
    <w:rsid w:val="00E330FA"/>
    <w:rsid w:val="00E334FF"/>
    <w:rsid w:val="00E33625"/>
    <w:rsid w:val="00E33635"/>
    <w:rsid w:val="00E336E5"/>
    <w:rsid w:val="00E3375A"/>
    <w:rsid w:val="00E33873"/>
    <w:rsid w:val="00E33DCE"/>
    <w:rsid w:val="00E3403A"/>
    <w:rsid w:val="00E3420C"/>
    <w:rsid w:val="00E34906"/>
    <w:rsid w:val="00E349BA"/>
    <w:rsid w:val="00E34DDC"/>
    <w:rsid w:val="00E3519C"/>
    <w:rsid w:val="00E35858"/>
    <w:rsid w:val="00E35988"/>
    <w:rsid w:val="00E35C01"/>
    <w:rsid w:val="00E35CDC"/>
    <w:rsid w:val="00E35EE1"/>
    <w:rsid w:val="00E362F0"/>
    <w:rsid w:val="00E36405"/>
    <w:rsid w:val="00E368FE"/>
    <w:rsid w:val="00E369D3"/>
    <w:rsid w:val="00E36CA7"/>
    <w:rsid w:val="00E36D18"/>
    <w:rsid w:val="00E36D6D"/>
    <w:rsid w:val="00E37051"/>
    <w:rsid w:val="00E373FF"/>
    <w:rsid w:val="00E374D5"/>
    <w:rsid w:val="00E37564"/>
    <w:rsid w:val="00E375CA"/>
    <w:rsid w:val="00E377FE"/>
    <w:rsid w:val="00E379D8"/>
    <w:rsid w:val="00E400D3"/>
    <w:rsid w:val="00E40105"/>
    <w:rsid w:val="00E40606"/>
    <w:rsid w:val="00E4066A"/>
    <w:rsid w:val="00E40683"/>
    <w:rsid w:val="00E40834"/>
    <w:rsid w:val="00E409E6"/>
    <w:rsid w:val="00E41282"/>
    <w:rsid w:val="00E413D4"/>
    <w:rsid w:val="00E413EE"/>
    <w:rsid w:val="00E414A5"/>
    <w:rsid w:val="00E41A80"/>
    <w:rsid w:val="00E42399"/>
    <w:rsid w:val="00E4248A"/>
    <w:rsid w:val="00E424A0"/>
    <w:rsid w:val="00E4283E"/>
    <w:rsid w:val="00E42EC0"/>
    <w:rsid w:val="00E4316D"/>
    <w:rsid w:val="00E4354E"/>
    <w:rsid w:val="00E43E88"/>
    <w:rsid w:val="00E44170"/>
    <w:rsid w:val="00E444CC"/>
    <w:rsid w:val="00E446E5"/>
    <w:rsid w:val="00E44775"/>
    <w:rsid w:val="00E44797"/>
    <w:rsid w:val="00E44ABF"/>
    <w:rsid w:val="00E44B21"/>
    <w:rsid w:val="00E44B22"/>
    <w:rsid w:val="00E44C34"/>
    <w:rsid w:val="00E45098"/>
    <w:rsid w:val="00E45418"/>
    <w:rsid w:val="00E454AD"/>
    <w:rsid w:val="00E45971"/>
    <w:rsid w:val="00E459A4"/>
    <w:rsid w:val="00E459E9"/>
    <w:rsid w:val="00E45B8C"/>
    <w:rsid w:val="00E45E8D"/>
    <w:rsid w:val="00E45EC4"/>
    <w:rsid w:val="00E45FB8"/>
    <w:rsid w:val="00E463B6"/>
    <w:rsid w:val="00E469C4"/>
    <w:rsid w:val="00E47226"/>
    <w:rsid w:val="00E47301"/>
    <w:rsid w:val="00E474E8"/>
    <w:rsid w:val="00E47C5F"/>
    <w:rsid w:val="00E5019F"/>
    <w:rsid w:val="00E507CB"/>
    <w:rsid w:val="00E5081C"/>
    <w:rsid w:val="00E508BF"/>
    <w:rsid w:val="00E5091B"/>
    <w:rsid w:val="00E50A63"/>
    <w:rsid w:val="00E50D98"/>
    <w:rsid w:val="00E50E59"/>
    <w:rsid w:val="00E518B7"/>
    <w:rsid w:val="00E5190C"/>
    <w:rsid w:val="00E51934"/>
    <w:rsid w:val="00E51BF9"/>
    <w:rsid w:val="00E51CE5"/>
    <w:rsid w:val="00E51CF4"/>
    <w:rsid w:val="00E51E3F"/>
    <w:rsid w:val="00E520BA"/>
    <w:rsid w:val="00E5223D"/>
    <w:rsid w:val="00E522E6"/>
    <w:rsid w:val="00E5239B"/>
    <w:rsid w:val="00E52484"/>
    <w:rsid w:val="00E524C6"/>
    <w:rsid w:val="00E52814"/>
    <w:rsid w:val="00E528EA"/>
    <w:rsid w:val="00E529B1"/>
    <w:rsid w:val="00E52A08"/>
    <w:rsid w:val="00E52B91"/>
    <w:rsid w:val="00E52CC5"/>
    <w:rsid w:val="00E531DE"/>
    <w:rsid w:val="00E535A8"/>
    <w:rsid w:val="00E53671"/>
    <w:rsid w:val="00E536FA"/>
    <w:rsid w:val="00E53B63"/>
    <w:rsid w:val="00E53F62"/>
    <w:rsid w:val="00E54168"/>
    <w:rsid w:val="00E5465F"/>
    <w:rsid w:val="00E54AE0"/>
    <w:rsid w:val="00E54C2B"/>
    <w:rsid w:val="00E54DBE"/>
    <w:rsid w:val="00E54F88"/>
    <w:rsid w:val="00E55298"/>
    <w:rsid w:val="00E552DD"/>
    <w:rsid w:val="00E55601"/>
    <w:rsid w:val="00E5578B"/>
    <w:rsid w:val="00E5582C"/>
    <w:rsid w:val="00E55A2E"/>
    <w:rsid w:val="00E5620C"/>
    <w:rsid w:val="00E56319"/>
    <w:rsid w:val="00E564AC"/>
    <w:rsid w:val="00E56689"/>
    <w:rsid w:val="00E56A1C"/>
    <w:rsid w:val="00E56E9B"/>
    <w:rsid w:val="00E56FAB"/>
    <w:rsid w:val="00E576AC"/>
    <w:rsid w:val="00E57834"/>
    <w:rsid w:val="00E57859"/>
    <w:rsid w:val="00E57940"/>
    <w:rsid w:val="00E57E1A"/>
    <w:rsid w:val="00E57F68"/>
    <w:rsid w:val="00E57F98"/>
    <w:rsid w:val="00E6060B"/>
    <w:rsid w:val="00E6074E"/>
    <w:rsid w:val="00E60F99"/>
    <w:rsid w:val="00E61142"/>
    <w:rsid w:val="00E611FE"/>
    <w:rsid w:val="00E61587"/>
    <w:rsid w:val="00E61AB5"/>
    <w:rsid w:val="00E61BB0"/>
    <w:rsid w:val="00E61C92"/>
    <w:rsid w:val="00E61EC8"/>
    <w:rsid w:val="00E624A0"/>
    <w:rsid w:val="00E624B8"/>
    <w:rsid w:val="00E62A56"/>
    <w:rsid w:val="00E62E72"/>
    <w:rsid w:val="00E62F6E"/>
    <w:rsid w:val="00E63156"/>
    <w:rsid w:val="00E633F1"/>
    <w:rsid w:val="00E636F5"/>
    <w:rsid w:val="00E636FD"/>
    <w:rsid w:val="00E6378B"/>
    <w:rsid w:val="00E64617"/>
    <w:rsid w:val="00E647F9"/>
    <w:rsid w:val="00E6542B"/>
    <w:rsid w:val="00E6548E"/>
    <w:rsid w:val="00E654DC"/>
    <w:rsid w:val="00E65D92"/>
    <w:rsid w:val="00E663CF"/>
    <w:rsid w:val="00E66418"/>
    <w:rsid w:val="00E665E8"/>
    <w:rsid w:val="00E66842"/>
    <w:rsid w:val="00E669D9"/>
    <w:rsid w:val="00E66A2B"/>
    <w:rsid w:val="00E66D16"/>
    <w:rsid w:val="00E672AA"/>
    <w:rsid w:val="00E674F1"/>
    <w:rsid w:val="00E674F3"/>
    <w:rsid w:val="00E67628"/>
    <w:rsid w:val="00E6763F"/>
    <w:rsid w:val="00E67914"/>
    <w:rsid w:val="00E67C6D"/>
    <w:rsid w:val="00E70037"/>
    <w:rsid w:val="00E705A4"/>
    <w:rsid w:val="00E7079B"/>
    <w:rsid w:val="00E70976"/>
    <w:rsid w:val="00E70A84"/>
    <w:rsid w:val="00E70AB6"/>
    <w:rsid w:val="00E70AF4"/>
    <w:rsid w:val="00E70B5D"/>
    <w:rsid w:val="00E70B90"/>
    <w:rsid w:val="00E70BCD"/>
    <w:rsid w:val="00E71356"/>
    <w:rsid w:val="00E7161D"/>
    <w:rsid w:val="00E71BE0"/>
    <w:rsid w:val="00E71DBA"/>
    <w:rsid w:val="00E72170"/>
    <w:rsid w:val="00E72406"/>
    <w:rsid w:val="00E7248E"/>
    <w:rsid w:val="00E72897"/>
    <w:rsid w:val="00E72B12"/>
    <w:rsid w:val="00E72BEB"/>
    <w:rsid w:val="00E72E41"/>
    <w:rsid w:val="00E73712"/>
    <w:rsid w:val="00E73AA5"/>
    <w:rsid w:val="00E73EAE"/>
    <w:rsid w:val="00E74156"/>
    <w:rsid w:val="00E74254"/>
    <w:rsid w:val="00E7428F"/>
    <w:rsid w:val="00E744DF"/>
    <w:rsid w:val="00E7456A"/>
    <w:rsid w:val="00E74D1D"/>
    <w:rsid w:val="00E7562E"/>
    <w:rsid w:val="00E75908"/>
    <w:rsid w:val="00E75926"/>
    <w:rsid w:val="00E760AE"/>
    <w:rsid w:val="00E7629E"/>
    <w:rsid w:val="00E763A2"/>
    <w:rsid w:val="00E768D4"/>
    <w:rsid w:val="00E7696C"/>
    <w:rsid w:val="00E76DD1"/>
    <w:rsid w:val="00E77045"/>
    <w:rsid w:val="00E7708D"/>
    <w:rsid w:val="00E771B7"/>
    <w:rsid w:val="00E77524"/>
    <w:rsid w:val="00E77574"/>
    <w:rsid w:val="00E778E9"/>
    <w:rsid w:val="00E77E05"/>
    <w:rsid w:val="00E800FC"/>
    <w:rsid w:val="00E80450"/>
    <w:rsid w:val="00E804A6"/>
    <w:rsid w:val="00E804FD"/>
    <w:rsid w:val="00E80540"/>
    <w:rsid w:val="00E805B8"/>
    <w:rsid w:val="00E80793"/>
    <w:rsid w:val="00E80AE7"/>
    <w:rsid w:val="00E80B36"/>
    <w:rsid w:val="00E81025"/>
    <w:rsid w:val="00E8108A"/>
    <w:rsid w:val="00E810C1"/>
    <w:rsid w:val="00E81283"/>
    <w:rsid w:val="00E8130A"/>
    <w:rsid w:val="00E81915"/>
    <w:rsid w:val="00E81974"/>
    <w:rsid w:val="00E81A0C"/>
    <w:rsid w:val="00E81B3F"/>
    <w:rsid w:val="00E81D51"/>
    <w:rsid w:val="00E8265E"/>
    <w:rsid w:val="00E82D42"/>
    <w:rsid w:val="00E82E8A"/>
    <w:rsid w:val="00E83357"/>
    <w:rsid w:val="00E83405"/>
    <w:rsid w:val="00E838D1"/>
    <w:rsid w:val="00E83F74"/>
    <w:rsid w:val="00E844E6"/>
    <w:rsid w:val="00E84591"/>
    <w:rsid w:val="00E847EA"/>
    <w:rsid w:val="00E84AE7"/>
    <w:rsid w:val="00E84D86"/>
    <w:rsid w:val="00E851A8"/>
    <w:rsid w:val="00E85646"/>
    <w:rsid w:val="00E8576F"/>
    <w:rsid w:val="00E85DC1"/>
    <w:rsid w:val="00E85E69"/>
    <w:rsid w:val="00E8608F"/>
    <w:rsid w:val="00E86AC3"/>
    <w:rsid w:val="00E86B19"/>
    <w:rsid w:val="00E86F76"/>
    <w:rsid w:val="00E87076"/>
    <w:rsid w:val="00E87129"/>
    <w:rsid w:val="00E873AC"/>
    <w:rsid w:val="00E873F6"/>
    <w:rsid w:val="00E874A6"/>
    <w:rsid w:val="00E87C85"/>
    <w:rsid w:val="00E87ED3"/>
    <w:rsid w:val="00E901B8"/>
    <w:rsid w:val="00E90232"/>
    <w:rsid w:val="00E9026D"/>
    <w:rsid w:val="00E90319"/>
    <w:rsid w:val="00E90644"/>
    <w:rsid w:val="00E906D0"/>
    <w:rsid w:val="00E908C4"/>
    <w:rsid w:val="00E910D5"/>
    <w:rsid w:val="00E913A6"/>
    <w:rsid w:val="00E916FE"/>
    <w:rsid w:val="00E91CE7"/>
    <w:rsid w:val="00E91EF9"/>
    <w:rsid w:val="00E921BF"/>
    <w:rsid w:val="00E9286A"/>
    <w:rsid w:val="00E92996"/>
    <w:rsid w:val="00E92C16"/>
    <w:rsid w:val="00E92C50"/>
    <w:rsid w:val="00E92E32"/>
    <w:rsid w:val="00E92FC8"/>
    <w:rsid w:val="00E93529"/>
    <w:rsid w:val="00E938D5"/>
    <w:rsid w:val="00E939E7"/>
    <w:rsid w:val="00E93D8F"/>
    <w:rsid w:val="00E93DC1"/>
    <w:rsid w:val="00E9400C"/>
    <w:rsid w:val="00E94070"/>
    <w:rsid w:val="00E9424F"/>
    <w:rsid w:val="00E946AB"/>
    <w:rsid w:val="00E947A0"/>
    <w:rsid w:val="00E947C4"/>
    <w:rsid w:val="00E94854"/>
    <w:rsid w:val="00E948E7"/>
    <w:rsid w:val="00E94EAC"/>
    <w:rsid w:val="00E95090"/>
    <w:rsid w:val="00E950A9"/>
    <w:rsid w:val="00E955BC"/>
    <w:rsid w:val="00E96458"/>
    <w:rsid w:val="00E964E6"/>
    <w:rsid w:val="00E96B61"/>
    <w:rsid w:val="00E96F6A"/>
    <w:rsid w:val="00E9729C"/>
    <w:rsid w:val="00E973C1"/>
    <w:rsid w:val="00E97CD2"/>
    <w:rsid w:val="00E97DC9"/>
    <w:rsid w:val="00E97E3B"/>
    <w:rsid w:val="00E97F71"/>
    <w:rsid w:val="00EA020E"/>
    <w:rsid w:val="00EA02AB"/>
    <w:rsid w:val="00EA0686"/>
    <w:rsid w:val="00EA06BA"/>
    <w:rsid w:val="00EA0BDE"/>
    <w:rsid w:val="00EA0E5D"/>
    <w:rsid w:val="00EA13AA"/>
    <w:rsid w:val="00EA16A9"/>
    <w:rsid w:val="00EA18FF"/>
    <w:rsid w:val="00EA1BA2"/>
    <w:rsid w:val="00EA1C0F"/>
    <w:rsid w:val="00EA1C73"/>
    <w:rsid w:val="00EA2488"/>
    <w:rsid w:val="00EA24A7"/>
    <w:rsid w:val="00EA2794"/>
    <w:rsid w:val="00EA2E48"/>
    <w:rsid w:val="00EA2EAA"/>
    <w:rsid w:val="00EA2FC7"/>
    <w:rsid w:val="00EA2FE8"/>
    <w:rsid w:val="00EA37C7"/>
    <w:rsid w:val="00EA3D57"/>
    <w:rsid w:val="00EA40F8"/>
    <w:rsid w:val="00EA412C"/>
    <w:rsid w:val="00EA4281"/>
    <w:rsid w:val="00EA4292"/>
    <w:rsid w:val="00EA451B"/>
    <w:rsid w:val="00EA46E3"/>
    <w:rsid w:val="00EA4963"/>
    <w:rsid w:val="00EA4A5B"/>
    <w:rsid w:val="00EA4C0A"/>
    <w:rsid w:val="00EA4D2E"/>
    <w:rsid w:val="00EA4E30"/>
    <w:rsid w:val="00EA4E95"/>
    <w:rsid w:val="00EA4EDB"/>
    <w:rsid w:val="00EA5469"/>
    <w:rsid w:val="00EA5E11"/>
    <w:rsid w:val="00EA6198"/>
    <w:rsid w:val="00EA6699"/>
    <w:rsid w:val="00EA6B83"/>
    <w:rsid w:val="00EA6C1E"/>
    <w:rsid w:val="00EA6E0D"/>
    <w:rsid w:val="00EA709E"/>
    <w:rsid w:val="00EA70C5"/>
    <w:rsid w:val="00EA71EE"/>
    <w:rsid w:val="00EA7E4A"/>
    <w:rsid w:val="00EB02CA"/>
    <w:rsid w:val="00EB03A7"/>
    <w:rsid w:val="00EB04CC"/>
    <w:rsid w:val="00EB064F"/>
    <w:rsid w:val="00EB06A7"/>
    <w:rsid w:val="00EB089A"/>
    <w:rsid w:val="00EB0D40"/>
    <w:rsid w:val="00EB0EB7"/>
    <w:rsid w:val="00EB1713"/>
    <w:rsid w:val="00EB17A1"/>
    <w:rsid w:val="00EB17F7"/>
    <w:rsid w:val="00EB1A4A"/>
    <w:rsid w:val="00EB1DEF"/>
    <w:rsid w:val="00EB261A"/>
    <w:rsid w:val="00EB286F"/>
    <w:rsid w:val="00EB2BFA"/>
    <w:rsid w:val="00EB3515"/>
    <w:rsid w:val="00EB37A2"/>
    <w:rsid w:val="00EB3A0A"/>
    <w:rsid w:val="00EB3B68"/>
    <w:rsid w:val="00EB4386"/>
    <w:rsid w:val="00EB453D"/>
    <w:rsid w:val="00EB4D05"/>
    <w:rsid w:val="00EB4DF2"/>
    <w:rsid w:val="00EB52D0"/>
    <w:rsid w:val="00EB55B9"/>
    <w:rsid w:val="00EB5854"/>
    <w:rsid w:val="00EB587B"/>
    <w:rsid w:val="00EB59B9"/>
    <w:rsid w:val="00EB5C9E"/>
    <w:rsid w:val="00EB5D5D"/>
    <w:rsid w:val="00EB64D2"/>
    <w:rsid w:val="00EB69AE"/>
    <w:rsid w:val="00EB6A38"/>
    <w:rsid w:val="00EB6DF5"/>
    <w:rsid w:val="00EB6F21"/>
    <w:rsid w:val="00EB7008"/>
    <w:rsid w:val="00EB735A"/>
    <w:rsid w:val="00EB748E"/>
    <w:rsid w:val="00EB7827"/>
    <w:rsid w:val="00EB789E"/>
    <w:rsid w:val="00EB7DAB"/>
    <w:rsid w:val="00EC0117"/>
    <w:rsid w:val="00EC012C"/>
    <w:rsid w:val="00EC097A"/>
    <w:rsid w:val="00EC0A30"/>
    <w:rsid w:val="00EC0F5F"/>
    <w:rsid w:val="00EC11C1"/>
    <w:rsid w:val="00EC191D"/>
    <w:rsid w:val="00EC1EAD"/>
    <w:rsid w:val="00EC2A37"/>
    <w:rsid w:val="00EC2B71"/>
    <w:rsid w:val="00EC3410"/>
    <w:rsid w:val="00EC39DA"/>
    <w:rsid w:val="00EC3BCE"/>
    <w:rsid w:val="00EC3C4A"/>
    <w:rsid w:val="00EC3DDD"/>
    <w:rsid w:val="00EC3E02"/>
    <w:rsid w:val="00EC3E9C"/>
    <w:rsid w:val="00EC3EB6"/>
    <w:rsid w:val="00EC3FD3"/>
    <w:rsid w:val="00EC4263"/>
    <w:rsid w:val="00EC44ED"/>
    <w:rsid w:val="00EC489D"/>
    <w:rsid w:val="00EC4DAF"/>
    <w:rsid w:val="00EC4E67"/>
    <w:rsid w:val="00EC5208"/>
    <w:rsid w:val="00EC5451"/>
    <w:rsid w:val="00EC5485"/>
    <w:rsid w:val="00EC5ACA"/>
    <w:rsid w:val="00EC5AF4"/>
    <w:rsid w:val="00EC5B04"/>
    <w:rsid w:val="00EC5E67"/>
    <w:rsid w:val="00EC5FF9"/>
    <w:rsid w:val="00EC6B4B"/>
    <w:rsid w:val="00EC700D"/>
    <w:rsid w:val="00EC7030"/>
    <w:rsid w:val="00EC7207"/>
    <w:rsid w:val="00EC732B"/>
    <w:rsid w:val="00EC73FF"/>
    <w:rsid w:val="00EC76AD"/>
    <w:rsid w:val="00EC76EA"/>
    <w:rsid w:val="00EC7A96"/>
    <w:rsid w:val="00EC7C35"/>
    <w:rsid w:val="00EC7D09"/>
    <w:rsid w:val="00EC7D61"/>
    <w:rsid w:val="00ED001F"/>
    <w:rsid w:val="00ED0241"/>
    <w:rsid w:val="00ED0560"/>
    <w:rsid w:val="00ED0AE2"/>
    <w:rsid w:val="00ED0B24"/>
    <w:rsid w:val="00ED0C5F"/>
    <w:rsid w:val="00ED0E06"/>
    <w:rsid w:val="00ED122C"/>
    <w:rsid w:val="00ED1526"/>
    <w:rsid w:val="00ED1BF4"/>
    <w:rsid w:val="00ED1C29"/>
    <w:rsid w:val="00ED1F7B"/>
    <w:rsid w:val="00ED20F3"/>
    <w:rsid w:val="00ED2226"/>
    <w:rsid w:val="00ED2C72"/>
    <w:rsid w:val="00ED306B"/>
    <w:rsid w:val="00ED3274"/>
    <w:rsid w:val="00ED3681"/>
    <w:rsid w:val="00ED3719"/>
    <w:rsid w:val="00ED3A0A"/>
    <w:rsid w:val="00ED3C3C"/>
    <w:rsid w:val="00ED3C5E"/>
    <w:rsid w:val="00ED3D65"/>
    <w:rsid w:val="00ED3EE1"/>
    <w:rsid w:val="00ED3F20"/>
    <w:rsid w:val="00ED42ED"/>
    <w:rsid w:val="00ED48B1"/>
    <w:rsid w:val="00ED4D52"/>
    <w:rsid w:val="00ED501C"/>
    <w:rsid w:val="00ED5639"/>
    <w:rsid w:val="00ED592C"/>
    <w:rsid w:val="00ED59A0"/>
    <w:rsid w:val="00ED5A8C"/>
    <w:rsid w:val="00ED5DF5"/>
    <w:rsid w:val="00ED5EC7"/>
    <w:rsid w:val="00ED5F9B"/>
    <w:rsid w:val="00ED606E"/>
    <w:rsid w:val="00ED625F"/>
    <w:rsid w:val="00ED628E"/>
    <w:rsid w:val="00ED65AF"/>
    <w:rsid w:val="00ED66C4"/>
    <w:rsid w:val="00ED6723"/>
    <w:rsid w:val="00ED6B07"/>
    <w:rsid w:val="00ED6F38"/>
    <w:rsid w:val="00ED7000"/>
    <w:rsid w:val="00ED7570"/>
    <w:rsid w:val="00ED7742"/>
    <w:rsid w:val="00ED78A1"/>
    <w:rsid w:val="00ED7C6B"/>
    <w:rsid w:val="00ED7CA0"/>
    <w:rsid w:val="00ED7D36"/>
    <w:rsid w:val="00EDAC1D"/>
    <w:rsid w:val="00EE0117"/>
    <w:rsid w:val="00EE0325"/>
    <w:rsid w:val="00EE03B8"/>
    <w:rsid w:val="00EE084C"/>
    <w:rsid w:val="00EE0923"/>
    <w:rsid w:val="00EE0CC9"/>
    <w:rsid w:val="00EE13A0"/>
    <w:rsid w:val="00EE14C3"/>
    <w:rsid w:val="00EE16AB"/>
    <w:rsid w:val="00EE171D"/>
    <w:rsid w:val="00EE1866"/>
    <w:rsid w:val="00EE1A64"/>
    <w:rsid w:val="00EE1D4B"/>
    <w:rsid w:val="00EE1F51"/>
    <w:rsid w:val="00EE2692"/>
    <w:rsid w:val="00EE2723"/>
    <w:rsid w:val="00EE2AF8"/>
    <w:rsid w:val="00EE2FAA"/>
    <w:rsid w:val="00EE3137"/>
    <w:rsid w:val="00EE34C5"/>
    <w:rsid w:val="00EE38D9"/>
    <w:rsid w:val="00EE3A4A"/>
    <w:rsid w:val="00EE3AE1"/>
    <w:rsid w:val="00EE3C60"/>
    <w:rsid w:val="00EE3E99"/>
    <w:rsid w:val="00EE3EED"/>
    <w:rsid w:val="00EE3FDC"/>
    <w:rsid w:val="00EE4137"/>
    <w:rsid w:val="00EE4651"/>
    <w:rsid w:val="00EE4807"/>
    <w:rsid w:val="00EE48EB"/>
    <w:rsid w:val="00EE498F"/>
    <w:rsid w:val="00EE4AD3"/>
    <w:rsid w:val="00EE4CB7"/>
    <w:rsid w:val="00EE4D77"/>
    <w:rsid w:val="00EE4FBD"/>
    <w:rsid w:val="00EE50D5"/>
    <w:rsid w:val="00EE52EE"/>
    <w:rsid w:val="00EE547E"/>
    <w:rsid w:val="00EE581B"/>
    <w:rsid w:val="00EE58B3"/>
    <w:rsid w:val="00EE5D4D"/>
    <w:rsid w:val="00EE6586"/>
    <w:rsid w:val="00EE692F"/>
    <w:rsid w:val="00EE6B53"/>
    <w:rsid w:val="00EE6F28"/>
    <w:rsid w:val="00EE6F7F"/>
    <w:rsid w:val="00EE6FA3"/>
    <w:rsid w:val="00EE72A7"/>
    <w:rsid w:val="00EE77A8"/>
    <w:rsid w:val="00EE77F5"/>
    <w:rsid w:val="00EE7871"/>
    <w:rsid w:val="00EE7B7B"/>
    <w:rsid w:val="00EE7D71"/>
    <w:rsid w:val="00EF006A"/>
    <w:rsid w:val="00EF0352"/>
    <w:rsid w:val="00EF057B"/>
    <w:rsid w:val="00EF0CBE"/>
    <w:rsid w:val="00EF0ECA"/>
    <w:rsid w:val="00EF127A"/>
    <w:rsid w:val="00EF134C"/>
    <w:rsid w:val="00EF16ED"/>
    <w:rsid w:val="00EF18CD"/>
    <w:rsid w:val="00EF1A04"/>
    <w:rsid w:val="00EF1D55"/>
    <w:rsid w:val="00EF20F2"/>
    <w:rsid w:val="00EF21D9"/>
    <w:rsid w:val="00EF2461"/>
    <w:rsid w:val="00EF2777"/>
    <w:rsid w:val="00EF27F4"/>
    <w:rsid w:val="00EF2ABF"/>
    <w:rsid w:val="00EF30FC"/>
    <w:rsid w:val="00EF347E"/>
    <w:rsid w:val="00EF372A"/>
    <w:rsid w:val="00EF3F88"/>
    <w:rsid w:val="00EF3F8F"/>
    <w:rsid w:val="00EF4134"/>
    <w:rsid w:val="00EF4296"/>
    <w:rsid w:val="00EF479D"/>
    <w:rsid w:val="00EF485B"/>
    <w:rsid w:val="00EF489B"/>
    <w:rsid w:val="00EF4DD2"/>
    <w:rsid w:val="00EF4EA0"/>
    <w:rsid w:val="00EF55D0"/>
    <w:rsid w:val="00EF576B"/>
    <w:rsid w:val="00EF581D"/>
    <w:rsid w:val="00EF5852"/>
    <w:rsid w:val="00EF59F1"/>
    <w:rsid w:val="00EF5BAA"/>
    <w:rsid w:val="00EF60CA"/>
    <w:rsid w:val="00EF6275"/>
    <w:rsid w:val="00EF630B"/>
    <w:rsid w:val="00EF639F"/>
    <w:rsid w:val="00EF6525"/>
    <w:rsid w:val="00EF65F4"/>
    <w:rsid w:val="00EF6695"/>
    <w:rsid w:val="00EF6C84"/>
    <w:rsid w:val="00EF6E9C"/>
    <w:rsid w:val="00EF6EF7"/>
    <w:rsid w:val="00EF713B"/>
    <w:rsid w:val="00EF73C5"/>
    <w:rsid w:val="00EF7720"/>
    <w:rsid w:val="00EF7B09"/>
    <w:rsid w:val="00EF7F20"/>
    <w:rsid w:val="00EF7FD6"/>
    <w:rsid w:val="00F00301"/>
    <w:rsid w:val="00F00385"/>
    <w:rsid w:val="00F0082B"/>
    <w:rsid w:val="00F00E11"/>
    <w:rsid w:val="00F00FB2"/>
    <w:rsid w:val="00F01094"/>
    <w:rsid w:val="00F010FA"/>
    <w:rsid w:val="00F01114"/>
    <w:rsid w:val="00F01443"/>
    <w:rsid w:val="00F015BE"/>
    <w:rsid w:val="00F0164F"/>
    <w:rsid w:val="00F018D7"/>
    <w:rsid w:val="00F01D04"/>
    <w:rsid w:val="00F02050"/>
    <w:rsid w:val="00F02443"/>
    <w:rsid w:val="00F02516"/>
    <w:rsid w:val="00F028C5"/>
    <w:rsid w:val="00F02921"/>
    <w:rsid w:val="00F02C0A"/>
    <w:rsid w:val="00F02D6A"/>
    <w:rsid w:val="00F02DA5"/>
    <w:rsid w:val="00F02DDC"/>
    <w:rsid w:val="00F02ED7"/>
    <w:rsid w:val="00F03202"/>
    <w:rsid w:val="00F032C8"/>
    <w:rsid w:val="00F033D5"/>
    <w:rsid w:val="00F036EC"/>
    <w:rsid w:val="00F041A3"/>
    <w:rsid w:val="00F04407"/>
    <w:rsid w:val="00F047D8"/>
    <w:rsid w:val="00F0482E"/>
    <w:rsid w:val="00F0581C"/>
    <w:rsid w:val="00F05868"/>
    <w:rsid w:val="00F05971"/>
    <w:rsid w:val="00F05A72"/>
    <w:rsid w:val="00F063FA"/>
    <w:rsid w:val="00F06414"/>
    <w:rsid w:val="00F067CC"/>
    <w:rsid w:val="00F06823"/>
    <w:rsid w:val="00F06D39"/>
    <w:rsid w:val="00F06F0F"/>
    <w:rsid w:val="00F06FFF"/>
    <w:rsid w:val="00F072FE"/>
    <w:rsid w:val="00F07A89"/>
    <w:rsid w:val="00F07E4E"/>
    <w:rsid w:val="00F1048A"/>
    <w:rsid w:val="00F1055C"/>
    <w:rsid w:val="00F10D5E"/>
    <w:rsid w:val="00F10F99"/>
    <w:rsid w:val="00F11040"/>
    <w:rsid w:val="00F11047"/>
    <w:rsid w:val="00F1127E"/>
    <w:rsid w:val="00F1170E"/>
    <w:rsid w:val="00F119EB"/>
    <w:rsid w:val="00F120DF"/>
    <w:rsid w:val="00F121CC"/>
    <w:rsid w:val="00F12652"/>
    <w:rsid w:val="00F1287F"/>
    <w:rsid w:val="00F128FE"/>
    <w:rsid w:val="00F12A0D"/>
    <w:rsid w:val="00F12A17"/>
    <w:rsid w:val="00F12CA2"/>
    <w:rsid w:val="00F12E1E"/>
    <w:rsid w:val="00F13834"/>
    <w:rsid w:val="00F1395B"/>
    <w:rsid w:val="00F13C38"/>
    <w:rsid w:val="00F13F7C"/>
    <w:rsid w:val="00F142A3"/>
    <w:rsid w:val="00F142C6"/>
    <w:rsid w:val="00F14431"/>
    <w:rsid w:val="00F147B8"/>
    <w:rsid w:val="00F14C33"/>
    <w:rsid w:val="00F14D21"/>
    <w:rsid w:val="00F15403"/>
    <w:rsid w:val="00F15416"/>
    <w:rsid w:val="00F1544F"/>
    <w:rsid w:val="00F1580F"/>
    <w:rsid w:val="00F158A9"/>
    <w:rsid w:val="00F159ED"/>
    <w:rsid w:val="00F15B65"/>
    <w:rsid w:val="00F15CE5"/>
    <w:rsid w:val="00F15F84"/>
    <w:rsid w:val="00F15F93"/>
    <w:rsid w:val="00F1693B"/>
    <w:rsid w:val="00F17267"/>
    <w:rsid w:val="00F1779A"/>
    <w:rsid w:val="00F17B51"/>
    <w:rsid w:val="00F200D4"/>
    <w:rsid w:val="00F20414"/>
    <w:rsid w:val="00F205A0"/>
    <w:rsid w:val="00F20606"/>
    <w:rsid w:val="00F2079D"/>
    <w:rsid w:val="00F20987"/>
    <w:rsid w:val="00F20A6C"/>
    <w:rsid w:val="00F21008"/>
    <w:rsid w:val="00F2145A"/>
    <w:rsid w:val="00F214E2"/>
    <w:rsid w:val="00F21533"/>
    <w:rsid w:val="00F215B0"/>
    <w:rsid w:val="00F21D68"/>
    <w:rsid w:val="00F21D83"/>
    <w:rsid w:val="00F21E1A"/>
    <w:rsid w:val="00F220D8"/>
    <w:rsid w:val="00F2212C"/>
    <w:rsid w:val="00F226DE"/>
    <w:rsid w:val="00F2289E"/>
    <w:rsid w:val="00F22982"/>
    <w:rsid w:val="00F22B75"/>
    <w:rsid w:val="00F22F18"/>
    <w:rsid w:val="00F232F8"/>
    <w:rsid w:val="00F23545"/>
    <w:rsid w:val="00F2377C"/>
    <w:rsid w:val="00F23863"/>
    <w:rsid w:val="00F23A6A"/>
    <w:rsid w:val="00F23D49"/>
    <w:rsid w:val="00F23FA9"/>
    <w:rsid w:val="00F2431B"/>
    <w:rsid w:val="00F245A3"/>
    <w:rsid w:val="00F246C0"/>
    <w:rsid w:val="00F24BFA"/>
    <w:rsid w:val="00F2546D"/>
    <w:rsid w:val="00F25815"/>
    <w:rsid w:val="00F258E9"/>
    <w:rsid w:val="00F25AEC"/>
    <w:rsid w:val="00F25C81"/>
    <w:rsid w:val="00F25E01"/>
    <w:rsid w:val="00F2661A"/>
    <w:rsid w:val="00F26E4D"/>
    <w:rsid w:val="00F26E4E"/>
    <w:rsid w:val="00F26ED0"/>
    <w:rsid w:val="00F26F3A"/>
    <w:rsid w:val="00F27371"/>
    <w:rsid w:val="00F2781F"/>
    <w:rsid w:val="00F27AB0"/>
    <w:rsid w:val="00F27C94"/>
    <w:rsid w:val="00F30150"/>
    <w:rsid w:val="00F302B7"/>
    <w:rsid w:val="00F30338"/>
    <w:rsid w:val="00F306C6"/>
    <w:rsid w:val="00F307CA"/>
    <w:rsid w:val="00F311B6"/>
    <w:rsid w:val="00F311DD"/>
    <w:rsid w:val="00F319B1"/>
    <w:rsid w:val="00F31A10"/>
    <w:rsid w:val="00F32024"/>
    <w:rsid w:val="00F321BE"/>
    <w:rsid w:val="00F3239C"/>
    <w:rsid w:val="00F32792"/>
    <w:rsid w:val="00F32B0F"/>
    <w:rsid w:val="00F32BB7"/>
    <w:rsid w:val="00F32D2C"/>
    <w:rsid w:val="00F32F6E"/>
    <w:rsid w:val="00F32F78"/>
    <w:rsid w:val="00F33239"/>
    <w:rsid w:val="00F3335A"/>
    <w:rsid w:val="00F337BF"/>
    <w:rsid w:val="00F33994"/>
    <w:rsid w:val="00F33F19"/>
    <w:rsid w:val="00F344FE"/>
    <w:rsid w:val="00F3465B"/>
    <w:rsid w:val="00F348B7"/>
    <w:rsid w:val="00F34D05"/>
    <w:rsid w:val="00F34DC9"/>
    <w:rsid w:val="00F3584E"/>
    <w:rsid w:val="00F358BB"/>
    <w:rsid w:val="00F358EA"/>
    <w:rsid w:val="00F35C79"/>
    <w:rsid w:val="00F35DFA"/>
    <w:rsid w:val="00F360E0"/>
    <w:rsid w:val="00F361E8"/>
    <w:rsid w:val="00F36303"/>
    <w:rsid w:val="00F3630D"/>
    <w:rsid w:val="00F3650D"/>
    <w:rsid w:val="00F365E6"/>
    <w:rsid w:val="00F3676D"/>
    <w:rsid w:val="00F3679C"/>
    <w:rsid w:val="00F36C9D"/>
    <w:rsid w:val="00F36DC7"/>
    <w:rsid w:val="00F36F3A"/>
    <w:rsid w:val="00F3701B"/>
    <w:rsid w:val="00F37137"/>
    <w:rsid w:val="00F377EC"/>
    <w:rsid w:val="00F37ADB"/>
    <w:rsid w:val="00F37CCB"/>
    <w:rsid w:val="00F37EAA"/>
    <w:rsid w:val="00F4004A"/>
    <w:rsid w:val="00F400D2"/>
    <w:rsid w:val="00F4015A"/>
    <w:rsid w:val="00F40246"/>
    <w:rsid w:val="00F40570"/>
    <w:rsid w:val="00F4058D"/>
    <w:rsid w:val="00F40803"/>
    <w:rsid w:val="00F40D17"/>
    <w:rsid w:val="00F40DF5"/>
    <w:rsid w:val="00F40F3F"/>
    <w:rsid w:val="00F410E9"/>
    <w:rsid w:val="00F418F8"/>
    <w:rsid w:val="00F41951"/>
    <w:rsid w:val="00F41AEC"/>
    <w:rsid w:val="00F41F6F"/>
    <w:rsid w:val="00F426B7"/>
    <w:rsid w:val="00F427AA"/>
    <w:rsid w:val="00F4281F"/>
    <w:rsid w:val="00F42A4A"/>
    <w:rsid w:val="00F42AA7"/>
    <w:rsid w:val="00F42BAC"/>
    <w:rsid w:val="00F42FF3"/>
    <w:rsid w:val="00F43032"/>
    <w:rsid w:val="00F4316A"/>
    <w:rsid w:val="00F4319D"/>
    <w:rsid w:val="00F4341B"/>
    <w:rsid w:val="00F43420"/>
    <w:rsid w:val="00F4348B"/>
    <w:rsid w:val="00F43522"/>
    <w:rsid w:val="00F43604"/>
    <w:rsid w:val="00F43801"/>
    <w:rsid w:val="00F43804"/>
    <w:rsid w:val="00F43A06"/>
    <w:rsid w:val="00F43A63"/>
    <w:rsid w:val="00F43D21"/>
    <w:rsid w:val="00F43D8F"/>
    <w:rsid w:val="00F43DE6"/>
    <w:rsid w:val="00F44D28"/>
    <w:rsid w:val="00F44D2D"/>
    <w:rsid w:val="00F44E76"/>
    <w:rsid w:val="00F44F01"/>
    <w:rsid w:val="00F4525C"/>
    <w:rsid w:val="00F45788"/>
    <w:rsid w:val="00F459AD"/>
    <w:rsid w:val="00F45F88"/>
    <w:rsid w:val="00F4627A"/>
    <w:rsid w:val="00F46C79"/>
    <w:rsid w:val="00F46D83"/>
    <w:rsid w:val="00F46DF8"/>
    <w:rsid w:val="00F46E8B"/>
    <w:rsid w:val="00F47D2F"/>
    <w:rsid w:val="00F47EFA"/>
    <w:rsid w:val="00F505B2"/>
    <w:rsid w:val="00F50851"/>
    <w:rsid w:val="00F50AA8"/>
    <w:rsid w:val="00F50B85"/>
    <w:rsid w:val="00F50D54"/>
    <w:rsid w:val="00F50EF4"/>
    <w:rsid w:val="00F51075"/>
    <w:rsid w:val="00F517DB"/>
    <w:rsid w:val="00F520AA"/>
    <w:rsid w:val="00F5216D"/>
    <w:rsid w:val="00F528AF"/>
    <w:rsid w:val="00F5294C"/>
    <w:rsid w:val="00F52A12"/>
    <w:rsid w:val="00F52EE2"/>
    <w:rsid w:val="00F52F31"/>
    <w:rsid w:val="00F53079"/>
    <w:rsid w:val="00F53A7E"/>
    <w:rsid w:val="00F53ADE"/>
    <w:rsid w:val="00F53BB5"/>
    <w:rsid w:val="00F53DD8"/>
    <w:rsid w:val="00F53F7B"/>
    <w:rsid w:val="00F541FF"/>
    <w:rsid w:val="00F544C0"/>
    <w:rsid w:val="00F544E7"/>
    <w:rsid w:val="00F5453C"/>
    <w:rsid w:val="00F54609"/>
    <w:rsid w:val="00F547D6"/>
    <w:rsid w:val="00F5481E"/>
    <w:rsid w:val="00F54BCE"/>
    <w:rsid w:val="00F54DC1"/>
    <w:rsid w:val="00F54E38"/>
    <w:rsid w:val="00F559BE"/>
    <w:rsid w:val="00F55A2D"/>
    <w:rsid w:val="00F55B8D"/>
    <w:rsid w:val="00F55F9F"/>
    <w:rsid w:val="00F56066"/>
    <w:rsid w:val="00F56264"/>
    <w:rsid w:val="00F5638A"/>
    <w:rsid w:val="00F56DC0"/>
    <w:rsid w:val="00F57104"/>
    <w:rsid w:val="00F5719D"/>
    <w:rsid w:val="00F57BF7"/>
    <w:rsid w:val="00F57E69"/>
    <w:rsid w:val="00F6014B"/>
    <w:rsid w:val="00F60153"/>
    <w:rsid w:val="00F6019C"/>
    <w:rsid w:val="00F6034A"/>
    <w:rsid w:val="00F60874"/>
    <w:rsid w:val="00F60D84"/>
    <w:rsid w:val="00F6159C"/>
    <w:rsid w:val="00F61887"/>
    <w:rsid w:val="00F6199B"/>
    <w:rsid w:val="00F62477"/>
    <w:rsid w:val="00F624F5"/>
    <w:rsid w:val="00F625AF"/>
    <w:rsid w:val="00F62A77"/>
    <w:rsid w:val="00F62C36"/>
    <w:rsid w:val="00F62FAE"/>
    <w:rsid w:val="00F630ED"/>
    <w:rsid w:val="00F6357B"/>
    <w:rsid w:val="00F635E7"/>
    <w:rsid w:val="00F637AA"/>
    <w:rsid w:val="00F63A7F"/>
    <w:rsid w:val="00F63C05"/>
    <w:rsid w:val="00F63F07"/>
    <w:rsid w:val="00F64418"/>
    <w:rsid w:val="00F64768"/>
    <w:rsid w:val="00F64821"/>
    <w:rsid w:val="00F64C89"/>
    <w:rsid w:val="00F64D2C"/>
    <w:rsid w:val="00F64E56"/>
    <w:rsid w:val="00F64EB7"/>
    <w:rsid w:val="00F64F3C"/>
    <w:rsid w:val="00F65312"/>
    <w:rsid w:val="00F655E0"/>
    <w:rsid w:val="00F658A5"/>
    <w:rsid w:val="00F65930"/>
    <w:rsid w:val="00F65988"/>
    <w:rsid w:val="00F65B56"/>
    <w:rsid w:val="00F65B6C"/>
    <w:rsid w:val="00F65F92"/>
    <w:rsid w:val="00F66B25"/>
    <w:rsid w:val="00F66C76"/>
    <w:rsid w:val="00F6721D"/>
    <w:rsid w:val="00F6745D"/>
    <w:rsid w:val="00F676A2"/>
    <w:rsid w:val="00F67746"/>
    <w:rsid w:val="00F67819"/>
    <w:rsid w:val="00F6792E"/>
    <w:rsid w:val="00F701F9"/>
    <w:rsid w:val="00F70234"/>
    <w:rsid w:val="00F70B1B"/>
    <w:rsid w:val="00F70B21"/>
    <w:rsid w:val="00F70EE7"/>
    <w:rsid w:val="00F70F0B"/>
    <w:rsid w:val="00F71156"/>
    <w:rsid w:val="00F712CB"/>
    <w:rsid w:val="00F71782"/>
    <w:rsid w:val="00F719DA"/>
    <w:rsid w:val="00F71A77"/>
    <w:rsid w:val="00F71A7B"/>
    <w:rsid w:val="00F71A93"/>
    <w:rsid w:val="00F71EBD"/>
    <w:rsid w:val="00F724E7"/>
    <w:rsid w:val="00F729BB"/>
    <w:rsid w:val="00F72B4E"/>
    <w:rsid w:val="00F72CA8"/>
    <w:rsid w:val="00F72F07"/>
    <w:rsid w:val="00F72FAE"/>
    <w:rsid w:val="00F730EA"/>
    <w:rsid w:val="00F7313A"/>
    <w:rsid w:val="00F7369A"/>
    <w:rsid w:val="00F73EE4"/>
    <w:rsid w:val="00F73F43"/>
    <w:rsid w:val="00F74087"/>
    <w:rsid w:val="00F740B8"/>
    <w:rsid w:val="00F74779"/>
    <w:rsid w:val="00F747F1"/>
    <w:rsid w:val="00F7488B"/>
    <w:rsid w:val="00F74C3A"/>
    <w:rsid w:val="00F74FD9"/>
    <w:rsid w:val="00F754E5"/>
    <w:rsid w:val="00F7590E"/>
    <w:rsid w:val="00F75A9F"/>
    <w:rsid w:val="00F75AF7"/>
    <w:rsid w:val="00F7634B"/>
    <w:rsid w:val="00F7676D"/>
    <w:rsid w:val="00F76DDD"/>
    <w:rsid w:val="00F771A1"/>
    <w:rsid w:val="00F771D6"/>
    <w:rsid w:val="00F772B0"/>
    <w:rsid w:val="00F77AA3"/>
    <w:rsid w:val="00F77D11"/>
    <w:rsid w:val="00F77E8B"/>
    <w:rsid w:val="00F77ED2"/>
    <w:rsid w:val="00F77F6C"/>
    <w:rsid w:val="00F80083"/>
    <w:rsid w:val="00F80584"/>
    <w:rsid w:val="00F80AA3"/>
    <w:rsid w:val="00F81688"/>
    <w:rsid w:val="00F81848"/>
    <w:rsid w:val="00F818DC"/>
    <w:rsid w:val="00F8199E"/>
    <w:rsid w:val="00F81A0C"/>
    <w:rsid w:val="00F81B41"/>
    <w:rsid w:val="00F8203F"/>
    <w:rsid w:val="00F82340"/>
    <w:rsid w:val="00F8249F"/>
    <w:rsid w:val="00F82C7D"/>
    <w:rsid w:val="00F83ABA"/>
    <w:rsid w:val="00F83CE5"/>
    <w:rsid w:val="00F840EB"/>
    <w:rsid w:val="00F84376"/>
    <w:rsid w:val="00F848E0"/>
    <w:rsid w:val="00F84AD9"/>
    <w:rsid w:val="00F84B40"/>
    <w:rsid w:val="00F85F89"/>
    <w:rsid w:val="00F86017"/>
    <w:rsid w:val="00F86AD1"/>
    <w:rsid w:val="00F86DD1"/>
    <w:rsid w:val="00F86FCD"/>
    <w:rsid w:val="00F873AA"/>
    <w:rsid w:val="00F87553"/>
    <w:rsid w:val="00F8758A"/>
    <w:rsid w:val="00F87827"/>
    <w:rsid w:val="00F878E0"/>
    <w:rsid w:val="00F903D4"/>
    <w:rsid w:val="00F9072E"/>
    <w:rsid w:val="00F90966"/>
    <w:rsid w:val="00F90D32"/>
    <w:rsid w:val="00F910C9"/>
    <w:rsid w:val="00F912BA"/>
    <w:rsid w:val="00F913A5"/>
    <w:rsid w:val="00F91444"/>
    <w:rsid w:val="00F91460"/>
    <w:rsid w:val="00F91678"/>
    <w:rsid w:val="00F9174E"/>
    <w:rsid w:val="00F91E8C"/>
    <w:rsid w:val="00F923C8"/>
    <w:rsid w:val="00F924CC"/>
    <w:rsid w:val="00F9254C"/>
    <w:rsid w:val="00F9293D"/>
    <w:rsid w:val="00F92A5E"/>
    <w:rsid w:val="00F92AFA"/>
    <w:rsid w:val="00F92B69"/>
    <w:rsid w:val="00F93158"/>
    <w:rsid w:val="00F9339B"/>
    <w:rsid w:val="00F935FD"/>
    <w:rsid w:val="00F93642"/>
    <w:rsid w:val="00F9367E"/>
    <w:rsid w:val="00F93855"/>
    <w:rsid w:val="00F93868"/>
    <w:rsid w:val="00F93A86"/>
    <w:rsid w:val="00F93DBB"/>
    <w:rsid w:val="00F94267"/>
    <w:rsid w:val="00F942F0"/>
    <w:rsid w:val="00F94511"/>
    <w:rsid w:val="00F94576"/>
    <w:rsid w:val="00F945A3"/>
    <w:rsid w:val="00F946A5"/>
    <w:rsid w:val="00F94CBD"/>
    <w:rsid w:val="00F94CE2"/>
    <w:rsid w:val="00F94F84"/>
    <w:rsid w:val="00F94FC6"/>
    <w:rsid w:val="00F950A0"/>
    <w:rsid w:val="00F957DF"/>
    <w:rsid w:val="00F95D94"/>
    <w:rsid w:val="00F95F9C"/>
    <w:rsid w:val="00F968C2"/>
    <w:rsid w:val="00F96C9D"/>
    <w:rsid w:val="00F96CA9"/>
    <w:rsid w:val="00F96D0A"/>
    <w:rsid w:val="00F96D9E"/>
    <w:rsid w:val="00F96E05"/>
    <w:rsid w:val="00F96E1C"/>
    <w:rsid w:val="00F96E43"/>
    <w:rsid w:val="00F97397"/>
    <w:rsid w:val="00F9751C"/>
    <w:rsid w:val="00F97642"/>
    <w:rsid w:val="00F97717"/>
    <w:rsid w:val="00F97A35"/>
    <w:rsid w:val="00FA0503"/>
    <w:rsid w:val="00FA062C"/>
    <w:rsid w:val="00FA0BF1"/>
    <w:rsid w:val="00FA124F"/>
    <w:rsid w:val="00FA125F"/>
    <w:rsid w:val="00FA146A"/>
    <w:rsid w:val="00FA1DF2"/>
    <w:rsid w:val="00FA1E7C"/>
    <w:rsid w:val="00FA2107"/>
    <w:rsid w:val="00FA21DE"/>
    <w:rsid w:val="00FA22F4"/>
    <w:rsid w:val="00FA27E3"/>
    <w:rsid w:val="00FA29B2"/>
    <w:rsid w:val="00FA2BF5"/>
    <w:rsid w:val="00FA2F6D"/>
    <w:rsid w:val="00FA3094"/>
    <w:rsid w:val="00FA3535"/>
    <w:rsid w:val="00FA375A"/>
    <w:rsid w:val="00FA38F2"/>
    <w:rsid w:val="00FA3B0F"/>
    <w:rsid w:val="00FA3D8B"/>
    <w:rsid w:val="00FA3DF6"/>
    <w:rsid w:val="00FA3E2C"/>
    <w:rsid w:val="00FA3E9F"/>
    <w:rsid w:val="00FA4169"/>
    <w:rsid w:val="00FA48FB"/>
    <w:rsid w:val="00FA4BC8"/>
    <w:rsid w:val="00FA4D6C"/>
    <w:rsid w:val="00FA5145"/>
    <w:rsid w:val="00FA5148"/>
    <w:rsid w:val="00FA5346"/>
    <w:rsid w:val="00FA5394"/>
    <w:rsid w:val="00FA55FC"/>
    <w:rsid w:val="00FA5CEA"/>
    <w:rsid w:val="00FA5E70"/>
    <w:rsid w:val="00FA5F80"/>
    <w:rsid w:val="00FA5FFF"/>
    <w:rsid w:val="00FA6278"/>
    <w:rsid w:val="00FA6535"/>
    <w:rsid w:val="00FA6ACC"/>
    <w:rsid w:val="00FA6D87"/>
    <w:rsid w:val="00FA7079"/>
    <w:rsid w:val="00FA7EE9"/>
    <w:rsid w:val="00FA7FA3"/>
    <w:rsid w:val="00FB0122"/>
    <w:rsid w:val="00FB067A"/>
    <w:rsid w:val="00FB0C59"/>
    <w:rsid w:val="00FB0D46"/>
    <w:rsid w:val="00FB0DB2"/>
    <w:rsid w:val="00FB0FF3"/>
    <w:rsid w:val="00FB1451"/>
    <w:rsid w:val="00FB158F"/>
    <w:rsid w:val="00FB1AD8"/>
    <w:rsid w:val="00FB2085"/>
    <w:rsid w:val="00FB23FF"/>
    <w:rsid w:val="00FB262A"/>
    <w:rsid w:val="00FB27A6"/>
    <w:rsid w:val="00FB2872"/>
    <w:rsid w:val="00FB3EF3"/>
    <w:rsid w:val="00FB417B"/>
    <w:rsid w:val="00FB4A78"/>
    <w:rsid w:val="00FB5035"/>
    <w:rsid w:val="00FB548A"/>
    <w:rsid w:val="00FB54B2"/>
    <w:rsid w:val="00FB555D"/>
    <w:rsid w:val="00FB58DD"/>
    <w:rsid w:val="00FB5BE6"/>
    <w:rsid w:val="00FB5C38"/>
    <w:rsid w:val="00FB5C82"/>
    <w:rsid w:val="00FB6622"/>
    <w:rsid w:val="00FB66E5"/>
    <w:rsid w:val="00FB73A2"/>
    <w:rsid w:val="00FB75E9"/>
    <w:rsid w:val="00FB76AB"/>
    <w:rsid w:val="00FB78A6"/>
    <w:rsid w:val="00FB7D57"/>
    <w:rsid w:val="00FC01BD"/>
    <w:rsid w:val="00FC02D9"/>
    <w:rsid w:val="00FC03DB"/>
    <w:rsid w:val="00FC0458"/>
    <w:rsid w:val="00FC05B4"/>
    <w:rsid w:val="00FC0DCA"/>
    <w:rsid w:val="00FC0FE9"/>
    <w:rsid w:val="00FC121A"/>
    <w:rsid w:val="00FC16E5"/>
    <w:rsid w:val="00FC17EC"/>
    <w:rsid w:val="00FC195B"/>
    <w:rsid w:val="00FC1D7F"/>
    <w:rsid w:val="00FC1DE4"/>
    <w:rsid w:val="00FC1E89"/>
    <w:rsid w:val="00FC1F80"/>
    <w:rsid w:val="00FC24E6"/>
    <w:rsid w:val="00FC2C90"/>
    <w:rsid w:val="00FC32B2"/>
    <w:rsid w:val="00FC334D"/>
    <w:rsid w:val="00FC340A"/>
    <w:rsid w:val="00FC3647"/>
    <w:rsid w:val="00FC3A9B"/>
    <w:rsid w:val="00FC3C93"/>
    <w:rsid w:val="00FC3D45"/>
    <w:rsid w:val="00FC428D"/>
    <w:rsid w:val="00FC461E"/>
    <w:rsid w:val="00FC4DD4"/>
    <w:rsid w:val="00FC59B8"/>
    <w:rsid w:val="00FC5C92"/>
    <w:rsid w:val="00FC5EE1"/>
    <w:rsid w:val="00FC6AE8"/>
    <w:rsid w:val="00FC6C8E"/>
    <w:rsid w:val="00FC6D42"/>
    <w:rsid w:val="00FC6FD5"/>
    <w:rsid w:val="00FC7195"/>
    <w:rsid w:val="00FCF702"/>
    <w:rsid w:val="00FD0209"/>
    <w:rsid w:val="00FD0328"/>
    <w:rsid w:val="00FD07B6"/>
    <w:rsid w:val="00FD0840"/>
    <w:rsid w:val="00FD0A94"/>
    <w:rsid w:val="00FD0D3D"/>
    <w:rsid w:val="00FD0EC1"/>
    <w:rsid w:val="00FD1198"/>
    <w:rsid w:val="00FD16DF"/>
    <w:rsid w:val="00FD1890"/>
    <w:rsid w:val="00FD1A8C"/>
    <w:rsid w:val="00FD1C01"/>
    <w:rsid w:val="00FD1F50"/>
    <w:rsid w:val="00FD2D14"/>
    <w:rsid w:val="00FD2E6E"/>
    <w:rsid w:val="00FD30B7"/>
    <w:rsid w:val="00FD36BC"/>
    <w:rsid w:val="00FD3744"/>
    <w:rsid w:val="00FD3A8F"/>
    <w:rsid w:val="00FD3E5C"/>
    <w:rsid w:val="00FD430C"/>
    <w:rsid w:val="00FD449E"/>
    <w:rsid w:val="00FD462B"/>
    <w:rsid w:val="00FD4879"/>
    <w:rsid w:val="00FD49F6"/>
    <w:rsid w:val="00FD4CD8"/>
    <w:rsid w:val="00FD4DC9"/>
    <w:rsid w:val="00FD4F78"/>
    <w:rsid w:val="00FD52DD"/>
    <w:rsid w:val="00FD5C80"/>
    <w:rsid w:val="00FD5D58"/>
    <w:rsid w:val="00FD5EC6"/>
    <w:rsid w:val="00FD600D"/>
    <w:rsid w:val="00FD6155"/>
    <w:rsid w:val="00FD616E"/>
    <w:rsid w:val="00FD6216"/>
    <w:rsid w:val="00FD63CB"/>
    <w:rsid w:val="00FD644A"/>
    <w:rsid w:val="00FD657E"/>
    <w:rsid w:val="00FD67A2"/>
    <w:rsid w:val="00FD6A71"/>
    <w:rsid w:val="00FD6A7F"/>
    <w:rsid w:val="00FD6B59"/>
    <w:rsid w:val="00FD6D3E"/>
    <w:rsid w:val="00FD6FE0"/>
    <w:rsid w:val="00FD7475"/>
    <w:rsid w:val="00FD7B96"/>
    <w:rsid w:val="00FD7BB9"/>
    <w:rsid w:val="00FD7D1F"/>
    <w:rsid w:val="00FD7FC7"/>
    <w:rsid w:val="00FE08E6"/>
    <w:rsid w:val="00FE0C26"/>
    <w:rsid w:val="00FE137A"/>
    <w:rsid w:val="00FE15A2"/>
    <w:rsid w:val="00FE19F5"/>
    <w:rsid w:val="00FE1B6D"/>
    <w:rsid w:val="00FE1B9D"/>
    <w:rsid w:val="00FE1C92"/>
    <w:rsid w:val="00FE233B"/>
    <w:rsid w:val="00FE27B8"/>
    <w:rsid w:val="00FE27FF"/>
    <w:rsid w:val="00FE281F"/>
    <w:rsid w:val="00FE2E4B"/>
    <w:rsid w:val="00FE2ECD"/>
    <w:rsid w:val="00FE2FA4"/>
    <w:rsid w:val="00FE3991"/>
    <w:rsid w:val="00FE3B5D"/>
    <w:rsid w:val="00FE40BE"/>
    <w:rsid w:val="00FE40CF"/>
    <w:rsid w:val="00FE4820"/>
    <w:rsid w:val="00FE4886"/>
    <w:rsid w:val="00FE4AAB"/>
    <w:rsid w:val="00FE4AF9"/>
    <w:rsid w:val="00FE4C1E"/>
    <w:rsid w:val="00FE5075"/>
    <w:rsid w:val="00FE526B"/>
    <w:rsid w:val="00FE54CE"/>
    <w:rsid w:val="00FE5A09"/>
    <w:rsid w:val="00FE5C46"/>
    <w:rsid w:val="00FE5FCE"/>
    <w:rsid w:val="00FE62F8"/>
    <w:rsid w:val="00FE69D4"/>
    <w:rsid w:val="00FE7458"/>
    <w:rsid w:val="00FE746E"/>
    <w:rsid w:val="00FF0236"/>
    <w:rsid w:val="00FF09F6"/>
    <w:rsid w:val="00FF1545"/>
    <w:rsid w:val="00FF18D7"/>
    <w:rsid w:val="00FF1998"/>
    <w:rsid w:val="00FF1D7C"/>
    <w:rsid w:val="00FF21E6"/>
    <w:rsid w:val="00FF25E1"/>
    <w:rsid w:val="00FF25FE"/>
    <w:rsid w:val="00FF286D"/>
    <w:rsid w:val="00FF28C6"/>
    <w:rsid w:val="00FF2B1C"/>
    <w:rsid w:val="00FF2C61"/>
    <w:rsid w:val="00FF2E29"/>
    <w:rsid w:val="00FF31E6"/>
    <w:rsid w:val="00FF32A3"/>
    <w:rsid w:val="00FF337D"/>
    <w:rsid w:val="00FF3551"/>
    <w:rsid w:val="00FF3706"/>
    <w:rsid w:val="00FF372F"/>
    <w:rsid w:val="00FF38F4"/>
    <w:rsid w:val="00FF3B47"/>
    <w:rsid w:val="00FF3D3D"/>
    <w:rsid w:val="00FF40FB"/>
    <w:rsid w:val="00FF4253"/>
    <w:rsid w:val="00FF4811"/>
    <w:rsid w:val="00FF5596"/>
    <w:rsid w:val="00FF58B6"/>
    <w:rsid w:val="00FF5A7E"/>
    <w:rsid w:val="00FF5C4B"/>
    <w:rsid w:val="00FF5F15"/>
    <w:rsid w:val="00FF6131"/>
    <w:rsid w:val="00FF653A"/>
    <w:rsid w:val="00FF6574"/>
    <w:rsid w:val="00FF6E76"/>
    <w:rsid w:val="00FF7866"/>
    <w:rsid w:val="00FF79ED"/>
    <w:rsid w:val="00FF7C9A"/>
    <w:rsid w:val="00FF7F05"/>
    <w:rsid w:val="00FF7F79"/>
    <w:rsid w:val="01090A21"/>
    <w:rsid w:val="010ACC0D"/>
    <w:rsid w:val="010DD8CB"/>
    <w:rsid w:val="0119CC09"/>
    <w:rsid w:val="01338C40"/>
    <w:rsid w:val="01382E72"/>
    <w:rsid w:val="0146DE95"/>
    <w:rsid w:val="01588BAD"/>
    <w:rsid w:val="01ACE25A"/>
    <w:rsid w:val="01EBC413"/>
    <w:rsid w:val="01F36790"/>
    <w:rsid w:val="0203C7A5"/>
    <w:rsid w:val="020CB604"/>
    <w:rsid w:val="021017BE"/>
    <w:rsid w:val="02249018"/>
    <w:rsid w:val="0230CBFE"/>
    <w:rsid w:val="023A33C0"/>
    <w:rsid w:val="024E3964"/>
    <w:rsid w:val="025C0BA4"/>
    <w:rsid w:val="02642884"/>
    <w:rsid w:val="026579DE"/>
    <w:rsid w:val="0268DEA9"/>
    <w:rsid w:val="02690033"/>
    <w:rsid w:val="026D6FE1"/>
    <w:rsid w:val="02914067"/>
    <w:rsid w:val="0293A304"/>
    <w:rsid w:val="02B00112"/>
    <w:rsid w:val="02BE21CA"/>
    <w:rsid w:val="02C24D78"/>
    <w:rsid w:val="02C7FB4B"/>
    <w:rsid w:val="02C8D0DC"/>
    <w:rsid w:val="02CFE5CA"/>
    <w:rsid w:val="02D46A45"/>
    <w:rsid w:val="02EF25AB"/>
    <w:rsid w:val="0327360F"/>
    <w:rsid w:val="032E3000"/>
    <w:rsid w:val="034576B0"/>
    <w:rsid w:val="0384374D"/>
    <w:rsid w:val="0386CF40"/>
    <w:rsid w:val="03AD26B8"/>
    <w:rsid w:val="03BDDFE6"/>
    <w:rsid w:val="03D0F15B"/>
    <w:rsid w:val="03D208C5"/>
    <w:rsid w:val="03D34A7F"/>
    <w:rsid w:val="03E23AF2"/>
    <w:rsid w:val="03E57C73"/>
    <w:rsid w:val="03EB20B0"/>
    <w:rsid w:val="03F53DFE"/>
    <w:rsid w:val="04021286"/>
    <w:rsid w:val="04045933"/>
    <w:rsid w:val="04192B2D"/>
    <w:rsid w:val="041BAE63"/>
    <w:rsid w:val="04213334"/>
    <w:rsid w:val="042F4C09"/>
    <w:rsid w:val="044CE6BA"/>
    <w:rsid w:val="044FA7A7"/>
    <w:rsid w:val="046D7D34"/>
    <w:rsid w:val="04B277BA"/>
    <w:rsid w:val="04B53A28"/>
    <w:rsid w:val="04CF8C29"/>
    <w:rsid w:val="04E1485D"/>
    <w:rsid w:val="04E5B094"/>
    <w:rsid w:val="04FB6B5F"/>
    <w:rsid w:val="0504E73E"/>
    <w:rsid w:val="05123D6F"/>
    <w:rsid w:val="052EB2FF"/>
    <w:rsid w:val="054A7BFE"/>
    <w:rsid w:val="054EC638"/>
    <w:rsid w:val="055B2404"/>
    <w:rsid w:val="05973CA9"/>
    <w:rsid w:val="05A0EA91"/>
    <w:rsid w:val="05A73495"/>
    <w:rsid w:val="05CDD007"/>
    <w:rsid w:val="05E65575"/>
    <w:rsid w:val="05E75165"/>
    <w:rsid w:val="06007C8F"/>
    <w:rsid w:val="0600DA62"/>
    <w:rsid w:val="061820C7"/>
    <w:rsid w:val="0632CD13"/>
    <w:rsid w:val="06381108"/>
    <w:rsid w:val="068D2D59"/>
    <w:rsid w:val="069BBF4A"/>
    <w:rsid w:val="06A4F730"/>
    <w:rsid w:val="06A803D7"/>
    <w:rsid w:val="06CA59F4"/>
    <w:rsid w:val="06E47847"/>
    <w:rsid w:val="070847A5"/>
    <w:rsid w:val="07141440"/>
    <w:rsid w:val="0718B2F5"/>
    <w:rsid w:val="0724A90C"/>
    <w:rsid w:val="0746C1E0"/>
    <w:rsid w:val="075F0B1A"/>
    <w:rsid w:val="07653801"/>
    <w:rsid w:val="07711EC4"/>
    <w:rsid w:val="0772EF56"/>
    <w:rsid w:val="07A0103C"/>
    <w:rsid w:val="07A51DF6"/>
    <w:rsid w:val="07BC3CC3"/>
    <w:rsid w:val="07C95F6E"/>
    <w:rsid w:val="07E86F16"/>
    <w:rsid w:val="07F77ADA"/>
    <w:rsid w:val="07FCB082"/>
    <w:rsid w:val="07FF67D2"/>
    <w:rsid w:val="080A9DAA"/>
    <w:rsid w:val="0826BD3E"/>
    <w:rsid w:val="0828AB3B"/>
    <w:rsid w:val="08668430"/>
    <w:rsid w:val="08718B37"/>
    <w:rsid w:val="08793E36"/>
    <w:rsid w:val="08811580"/>
    <w:rsid w:val="0884E731"/>
    <w:rsid w:val="088A14C5"/>
    <w:rsid w:val="088A74AC"/>
    <w:rsid w:val="088E3771"/>
    <w:rsid w:val="089CD204"/>
    <w:rsid w:val="08B24A0C"/>
    <w:rsid w:val="08C1A3EB"/>
    <w:rsid w:val="08EBFB01"/>
    <w:rsid w:val="08F7B885"/>
    <w:rsid w:val="0909278F"/>
    <w:rsid w:val="092E4874"/>
    <w:rsid w:val="093E252B"/>
    <w:rsid w:val="095C0992"/>
    <w:rsid w:val="0978AA15"/>
    <w:rsid w:val="097A1D13"/>
    <w:rsid w:val="09913D1C"/>
    <w:rsid w:val="099EC246"/>
    <w:rsid w:val="09AA74E9"/>
    <w:rsid w:val="09BDBF92"/>
    <w:rsid w:val="09CE9E72"/>
    <w:rsid w:val="09D0328F"/>
    <w:rsid w:val="09D7B589"/>
    <w:rsid w:val="09FC1571"/>
    <w:rsid w:val="0A022422"/>
    <w:rsid w:val="0A11B92A"/>
    <w:rsid w:val="0A213EB9"/>
    <w:rsid w:val="0A76FBCA"/>
    <w:rsid w:val="0A7A876F"/>
    <w:rsid w:val="0A7E8EE4"/>
    <w:rsid w:val="0A947FD8"/>
    <w:rsid w:val="0AB0E8C2"/>
    <w:rsid w:val="0AB63013"/>
    <w:rsid w:val="0AD9AF74"/>
    <w:rsid w:val="0ADCBEB8"/>
    <w:rsid w:val="0AEA0616"/>
    <w:rsid w:val="0B0DBADF"/>
    <w:rsid w:val="0B1C7921"/>
    <w:rsid w:val="0B1D772D"/>
    <w:rsid w:val="0B2A4030"/>
    <w:rsid w:val="0B31B095"/>
    <w:rsid w:val="0B35BC04"/>
    <w:rsid w:val="0B498D8F"/>
    <w:rsid w:val="0B4FDF38"/>
    <w:rsid w:val="0B59B3F1"/>
    <w:rsid w:val="0B5FFDDC"/>
    <w:rsid w:val="0B6D153A"/>
    <w:rsid w:val="0B74C4BA"/>
    <w:rsid w:val="0B775969"/>
    <w:rsid w:val="0B7C57D3"/>
    <w:rsid w:val="0B7E6384"/>
    <w:rsid w:val="0B9EB3EA"/>
    <w:rsid w:val="0BBDB972"/>
    <w:rsid w:val="0BDA4422"/>
    <w:rsid w:val="0BEA4C81"/>
    <w:rsid w:val="0BEEA24F"/>
    <w:rsid w:val="0C47CA4E"/>
    <w:rsid w:val="0C4A4DBE"/>
    <w:rsid w:val="0C4BBCC8"/>
    <w:rsid w:val="0C4F4260"/>
    <w:rsid w:val="0C57A601"/>
    <w:rsid w:val="0C5C0DE2"/>
    <w:rsid w:val="0C61EEC5"/>
    <w:rsid w:val="0C62EB11"/>
    <w:rsid w:val="0C63CB9C"/>
    <w:rsid w:val="0C81F184"/>
    <w:rsid w:val="0C825751"/>
    <w:rsid w:val="0C8F9D29"/>
    <w:rsid w:val="0C9024E8"/>
    <w:rsid w:val="0C954DB9"/>
    <w:rsid w:val="0C999746"/>
    <w:rsid w:val="0CA6EEA7"/>
    <w:rsid w:val="0CA8F32F"/>
    <w:rsid w:val="0CB706FF"/>
    <w:rsid w:val="0CC9CE28"/>
    <w:rsid w:val="0CF74FDC"/>
    <w:rsid w:val="0CF9561F"/>
    <w:rsid w:val="0CFAFE36"/>
    <w:rsid w:val="0CFC7B1A"/>
    <w:rsid w:val="0CFE9833"/>
    <w:rsid w:val="0D1C5E23"/>
    <w:rsid w:val="0D3992B3"/>
    <w:rsid w:val="0D3AE0A1"/>
    <w:rsid w:val="0D463564"/>
    <w:rsid w:val="0D530320"/>
    <w:rsid w:val="0D67C7A6"/>
    <w:rsid w:val="0D6A2475"/>
    <w:rsid w:val="0D781A52"/>
    <w:rsid w:val="0D7F322C"/>
    <w:rsid w:val="0D9D6C1A"/>
    <w:rsid w:val="0DA1BF55"/>
    <w:rsid w:val="0DAEAA38"/>
    <w:rsid w:val="0DB601EA"/>
    <w:rsid w:val="0DC0AA21"/>
    <w:rsid w:val="0DCB0207"/>
    <w:rsid w:val="0DDFE435"/>
    <w:rsid w:val="0DE4BFC4"/>
    <w:rsid w:val="0DEA2F9D"/>
    <w:rsid w:val="0DFA0087"/>
    <w:rsid w:val="0E0DC9E3"/>
    <w:rsid w:val="0E0FFA0F"/>
    <w:rsid w:val="0E29F8DF"/>
    <w:rsid w:val="0E3F151D"/>
    <w:rsid w:val="0E73EB5D"/>
    <w:rsid w:val="0E7E5FEA"/>
    <w:rsid w:val="0E806CC8"/>
    <w:rsid w:val="0E846858"/>
    <w:rsid w:val="0EA93045"/>
    <w:rsid w:val="0EBB5360"/>
    <w:rsid w:val="0ED59545"/>
    <w:rsid w:val="0EE4B17D"/>
    <w:rsid w:val="0EE80317"/>
    <w:rsid w:val="0EF5A594"/>
    <w:rsid w:val="0F51B588"/>
    <w:rsid w:val="0F5FB4F9"/>
    <w:rsid w:val="0F62682C"/>
    <w:rsid w:val="0F65C266"/>
    <w:rsid w:val="0F6826C0"/>
    <w:rsid w:val="0F809025"/>
    <w:rsid w:val="0F89C7FC"/>
    <w:rsid w:val="0FAE33D4"/>
    <w:rsid w:val="0FB22F18"/>
    <w:rsid w:val="0FB4BFDC"/>
    <w:rsid w:val="0FBCEC1A"/>
    <w:rsid w:val="0FBD4275"/>
    <w:rsid w:val="0FCBE468"/>
    <w:rsid w:val="0FD87F4B"/>
    <w:rsid w:val="0FE32A3B"/>
    <w:rsid w:val="100429F3"/>
    <w:rsid w:val="1004C66A"/>
    <w:rsid w:val="1011AF3E"/>
    <w:rsid w:val="101BF20D"/>
    <w:rsid w:val="101E25E6"/>
    <w:rsid w:val="1028D4C4"/>
    <w:rsid w:val="105CDD9C"/>
    <w:rsid w:val="105CFDD2"/>
    <w:rsid w:val="105D44E4"/>
    <w:rsid w:val="106301A2"/>
    <w:rsid w:val="10687CC7"/>
    <w:rsid w:val="1077207D"/>
    <w:rsid w:val="1080FAAE"/>
    <w:rsid w:val="108D3C4E"/>
    <w:rsid w:val="108EE700"/>
    <w:rsid w:val="10904643"/>
    <w:rsid w:val="1098A52A"/>
    <w:rsid w:val="10EFD8B2"/>
    <w:rsid w:val="10F130A2"/>
    <w:rsid w:val="11077286"/>
    <w:rsid w:val="11127912"/>
    <w:rsid w:val="1115B0CF"/>
    <w:rsid w:val="11227606"/>
    <w:rsid w:val="1132D7DF"/>
    <w:rsid w:val="11411E3D"/>
    <w:rsid w:val="1165835B"/>
    <w:rsid w:val="118A5FCA"/>
    <w:rsid w:val="118B1C8F"/>
    <w:rsid w:val="11A7B7D6"/>
    <w:rsid w:val="11BCC332"/>
    <w:rsid w:val="11C09F36"/>
    <w:rsid w:val="11C84BE4"/>
    <w:rsid w:val="11DBDB66"/>
    <w:rsid w:val="1204C661"/>
    <w:rsid w:val="1212E754"/>
    <w:rsid w:val="123B5AD9"/>
    <w:rsid w:val="12444DD7"/>
    <w:rsid w:val="126BC05A"/>
    <w:rsid w:val="1282D6C2"/>
    <w:rsid w:val="12893019"/>
    <w:rsid w:val="12AE3A1B"/>
    <w:rsid w:val="12BDD7BD"/>
    <w:rsid w:val="12C827B2"/>
    <w:rsid w:val="12D88E21"/>
    <w:rsid w:val="12E7D09D"/>
    <w:rsid w:val="12F2D063"/>
    <w:rsid w:val="130EDDEF"/>
    <w:rsid w:val="130F1624"/>
    <w:rsid w:val="130FE807"/>
    <w:rsid w:val="131C3F27"/>
    <w:rsid w:val="132F542D"/>
    <w:rsid w:val="13383820"/>
    <w:rsid w:val="134F7629"/>
    <w:rsid w:val="13607ACB"/>
    <w:rsid w:val="1371FC81"/>
    <w:rsid w:val="137A3ADE"/>
    <w:rsid w:val="139AC7FB"/>
    <w:rsid w:val="139B8DB5"/>
    <w:rsid w:val="13B32939"/>
    <w:rsid w:val="13C1D1DA"/>
    <w:rsid w:val="13D1807A"/>
    <w:rsid w:val="13D2E3E0"/>
    <w:rsid w:val="13D6755D"/>
    <w:rsid w:val="13DADB46"/>
    <w:rsid w:val="13FE3B68"/>
    <w:rsid w:val="13FEFDDD"/>
    <w:rsid w:val="1400B93C"/>
    <w:rsid w:val="1405D1C3"/>
    <w:rsid w:val="140D9DFD"/>
    <w:rsid w:val="1427F6C0"/>
    <w:rsid w:val="14298E2C"/>
    <w:rsid w:val="144DC15C"/>
    <w:rsid w:val="145B977C"/>
    <w:rsid w:val="146EA122"/>
    <w:rsid w:val="14728F24"/>
    <w:rsid w:val="14C1E967"/>
    <w:rsid w:val="14DA8BAB"/>
    <w:rsid w:val="14DC9AF5"/>
    <w:rsid w:val="14F200C1"/>
    <w:rsid w:val="14F463F4"/>
    <w:rsid w:val="14FAB95C"/>
    <w:rsid w:val="15111350"/>
    <w:rsid w:val="1520BB17"/>
    <w:rsid w:val="15375E16"/>
    <w:rsid w:val="154777F5"/>
    <w:rsid w:val="1548534A"/>
    <w:rsid w:val="15533566"/>
    <w:rsid w:val="15555F16"/>
    <w:rsid w:val="15727EF1"/>
    <w:rsid w:val="15730CAE"/>
    <w:rsid w:val="157EA486"/>
    <w:rsid w:val="158067AB"/>
    <w:rsid w:val="1584AB4F"/>
    <w:rsid w:val="1587253D"/>
    <w:rsid w:val="15AC40DB"/>
    <w:rsid w:val="15C6D20F"/>
    <w:rsid w:val="15D18956"/>
    <w:rsid w:val="15E53617"/>
    <w:rsid w:val="1606A829"/>
    <w:rsid w:val="164350CD"/>
    <w:rsid w:val="164813C8"/>
    <w:rsid w:val="164D4A3F"/>
    <w:rsid w:val="1651EBDA"/>
    <w:rsid w:val="165C57A8"/>
    <w:rsid w:val="1695CE13"/>
    <w:rsid w:val="16B0502F"/>
    <w:rsid w:val="16B2229A"/>
    <w:rsid w:val="16B7A67D"/>
    <w:rsid w:val="16C148D5"/>
    <w:rsid w:val="16EAC9FB"/>
    <w:rsid w:val="16F63DCD"/>
    <w:rsid w:val="1710250E"/>
    <w:rsid w:val="17126E38"/>
    <w:rsid w:val="1712CFF1"/>
    <w:rsid w:val="171ADBD4"/>
    <w:rsid w:val="17313521"/>
    <w:rsid w:val="17396CC3"/>
    <w:rsid w:val="173F9D24"/>
    <w:rsid w:val="17422047"/>
    <w:rsid w:val="1751CF35"/>
    <w:rsid w:val="17568572"/>
    <w:rsid w:val="175D8BAD"/>
    <w:rsid w:val="176E6A17"/>
    <w:rsid w:val="1782C1F5"/>
    <w:rsid w:val="178FA790"/>
    <w:rsid w:val="1792D8CF"/>
    <w:rsid w:val="17CC5A22"/>
    <w:rsid w:val="17D6922F"/>
    <w:rsid w:val="181662DB"/>
    <w:rsid w:val="18217790"/>
    <w:rsid w:val="183B04D7"/>
    <w:rsid w:val="183E4DE7"/>
    <w:rsid w:val="183F43E7"/>
    <w:rsid w:val="1846CDB3"/>
    <w:rsid w:val="185FDB77"/>
    <w:rsid w:val="1866D45E"/>
    <w:rsid w:val="18B21984"/>
    <w:rsid w:val="18C7676F"/>
    <w:rsid w:val="18C8FB02"/>
    <w:rsid w:val="18D4624A"/>
    <w:rsid w:val="18FC36A9"/>
    <w:rsid w:val="1900F571"/>
    <w:rsid w:val="190E132D"/>
    <w:rsid w:val="191621A6"/>
    <w:rsid w:val="192B5233"/>
    <w:rsid w:val="192FDEF6"/>
    <w:rsid w:val="193AA190"/>
    <w:rsid w:val="194A1A48"/>
    <w:rsid w:val="197E817B"/>
    <w:rsid w:val="19A648CB"/>
    <w:rsid w:val="19AC7D91"/>
    <w:rsid w:val="19AE15CB"/>
    <w:rsid w:val="19C85356"/>
    <w:rsid w:val="19D83A0B"/>
    <w:rsid w:val="19EAFECD"/>
    <w:rsid w:val="19EF980A"/>
    <w:rsid w:val="19EFB829"/>
    <w:rsid w:val="19F376BC"/>
    <w:rsid w:val="19FEDDDC"/>
    <w:rsid w:val="1A048B99"/>
    <w:rsid w:val="1A271D02"/>
    <w:rsid w:val="1A3078C8"/>
    <w:rsid w:val="1A34A2E8"/>
    <w:rsid w:val="1A4DD207"/>
    <w:rsid w:val="1A59AA29"/>
    <w:rsid w:val="1A5B9C84"/>
    <w:rsid w:val="1A67BD6D"/>
    <w:rsid w:val="1A8899FC"/>
    <w:rsid w:val="1A9B41D8"/>
    <w:rsid w:val="1AA6CC99"/>
    <w:rsid w:val="1AB37FE3"/>
    <w:rsid w:val="1AC7176E"/>
    <w:rsid w:val="1B3B9B7C"/>
    <w:rsid w:val="1B3E26A2"/>
    <w:rsid w:val="1B47C6D4"/>
    <w:rsid w:val="1B4849E9"/>
    <w:rsid w:val="1B536921"/>
    <w:rsid w:val="1B5605CD"/>
    <w:rsid w:val="1B63C217"/>
    <w:rsid w:val="1B759A54"/>
    <w:rsid w:val="1B8C67E7"/>
    <w:rsid w:val="1BA64ED8"/>
    <w:rsid w:val="1BAA3C79"/>
    <w:rsid w:val="1BAA5B89"/>
    <w:rsid w:val="1BBBB85E"/>
    <w:rsid w:val="1BC6E781"/>
    <w:rsid w:val="1BD2DF05"/>
    <w:rsid w:val="1BEF22B7"/>
    <w:rsid w:val="1C1BA565"/>
    <w:rsid w:val="1C1E6133"/>
    <w:rsid w:val="1C3B3C04"/>
    <w:rsid w:val="1C3F0FA8"/>
    <w:rsid w:val="1C639DA4"/>
    <w:rsid w:val="1C6B6336"/>
    <w:rsid w:val="1C6B7433"/>
    <w:rsid w:val="1C6ED37C"/>
    <w:rsid w:val="1C719AE2"/>
    <w:rsid w:val="1C7ACCB0"/>
    <w:rsid w:val="1CCD5C3B"/>
    <w:rsid w:val="1CD52CFC"/>
    <w:rsid w:val="1CF06447"/>
    <w:rsid w:val="1CFD12A6"/>
    <w:rsid w:val="1D303BA2"/>
    <w:rsid w:val="1D402B52"/>
    <w:rsid w:val="1D482DCE"/>
    <w:rsid w:val="1D503B1D"/>
    <w:rsid w:val="1D54DF20"/>
    <w:rsid w:val="1D79FB83"/>
    <w:rsid w:val="1D952A34"/>
    <w:rsid w:val="1D9606ED"/>
    <w:rsid w:val="1DAAF79C"/>
    <w:rsid w:val="1DB8A815"/>
    <w:rsid w:val="1DBAD2E0"/>
    <w:rsid w:val="1DE2BF36"/>
    <w:rsid w:val="1DFAC758"/>
    <w:rsid w:val="1E0285E4"/>
    <w:rsid w:val="1E0AEC65"/>
    <w:rsid w:val="1E16DBF9"/>
    <w:rsid w:val="1E1B4B48"/>
    <w:rsid w:val="1E1E689F"/>
    <w:rsid w:val="1E2E0874"/>
    <w:rsid w:val="1E2E1906"/>
    <w:rsid w:val="1E386497"/>
    <w:rsid w:val="1E3FB828"/>
    <w:rsid w:val="1E44D228"/>
    <w:rsid w:val="1E6443F6"/>
    <w:rsid w:val="1E77D73E"/>
    <w:rsid w:val="1E8A0BEC"/>
    <w:rsid w:val="1E9DB9D3"/>
    <w:rsid w:val="1EA6C1C4"/>
    <w:rsid w:val="1EABFBC9"/>
    <w:rsid w:val="1EACC62A"/>
    <w:rsid w:val="1EB6459D"/>
    <w:rsid w:val="1EEBD5B5"/>
    <w:rsid w:val="1EFBE185"/>
    <w:rsid w:val="1EFE1535"/>
    <w:rsid w:val="1F1EF33B"/>
    <w:rsid w:val="1F317BFF"/>
    <w:rsid w:val="1F3FB5F2"/>
    <w:rsid w:val="1F546B89"/>
    <w:rsid w:val="1F5A175B"/>
    <w:rsid w:val="1F5B789F"/>
    <w:rsid w:val="1F8787A9"/>
    <w:rsid w:val="1F8E08E7"/>
    <w:rsid w:val="1FB518CE"/>
    <w:rsid w:val="1FBA4047"/>
    <w:rsid w:val="1FC7B4E9"/>
    <w:rsid w:val="1FD1FC4C"/>
    <w:rsid w:val="1FE68E89"/>
    <w:rsid w:val="2002A5C3"/>
    <w:rsid w:val="200A565B"/>
    <w:rsid w:val="200F5E8D"/>
    <w:rsid w:val="201224B9"/>
    <w:rsid w:val="20469ED7"/>
    <w:rsid w:val="205D2F0E"/>
    <w:rsid w:val="206FC278"/>
    <w:rsid w:val="2075E54C"/>
    <w:rsid w:val="208575AC"/>
    <w:rsid w:val="209E9E09"/>
    <w:rsid w:val="20BC1A93"/>
    <w:rsid w:val="20C50579"/>
    <w:rsid w:val="20D85ED6"/>
    <w:rsid w:val="20F69C79"/>
    <w:rsid w:val="210807B8"/>
    <w:rsid w:val="210BF2C6"/>
    <w:rsid w:val="211238FC"/>
    <w:rsid w:val="21188105"/>
    <w:rsid w:val="2142252D"/>
    <w:rsid w:val="215A813D"/>
    <w:rsid w:val="21B3922E"/>
    <w:rsid w:val="21C71F28"/>
    <w:rsid w:val="21C99D6F"/>
    <w:rsid w:val="21C9E796"/>
    <w:rsid w:val="2207308B"/>
    <w:rsid w:val="2210658A"/>
    <w:rsid w:val="221DCEA4"/>
    <w:rsid w:val="2236056A"/>
    <w:rsid w:val="22362905"/>
    <w:rsid w:val="22395906"/>
    <w:rsid w:val="223BF2D1"/>
    <w:rsid w:val="223D6DD2"/>
    <w:rsid w:val="22443E84"/>
    <w:rsid w:val="2278934B"/>
    <w:rsid w:val="227F287C"/>
    <w:rsid w:val="228CB4CE"/>
    <w:rsid w:val="22A6F77C"/>
    <w:rsid w:val="22AB1E5F"/>
    <w:rsid w:val="22B1FE86"/>
    <w:rsid w:val="22BBBD95"/>
    <w:rsid w:val="22C08BF8"/>
    <w:rsid w:val="22C6B3BB"/>
    <w:rsid w:val="22CC7757"/>
    <w:rsid w:val="22F80639"/>
    <w:rsid w:val="22FD0AE2"/>
    <w:rsid w:val="2306CD37"/>
    <w:rsid w:val="230A7822"/>
    <w:rsid w:val="23285C31"/>
    <w:rsid w:val="232C2FCE"/>
    <w:rsid w:val="232E4261"/>
    <w:rsid w:val="2333F5E9"/>
    <w:rsid w:val="23497001"/>
    <w:rsid w:val="23560D3F"/>
    <w:rsid w:val="23635E6C"/>
    <w:rsid w:val="23847985"/>
    <w:rsid w:val="238A8618"/>
    <w:rsid w:val="23A9F34C"/>
    <w:rsid w:val="23C91347"/>
    <w:rsid w:val="23DD17DE"/>
    <w:rsid w:val="23DDF0EA"/>
    <w:rsid w:val="23F9403B"/>
    <w:rsid w:val="23F9E78C"/>
    <w:rsid w:val="23FD84BF"/>
    <w:rsid w:val="2400C403"/>
    <w:rsid w:val="24045BCD"/>
    <w:rsid w:val="240D07C9"/>
    <w:rsid w:val="241A06CA"/>
    <w:rsid w:val="2429D9EE"/>
    <w:rsid w:val="24376488"/>
    <w:rsid w:val="243DD269"/>
    <w:rsid w:val="243FAE58"/>
    <w:rsid w:val="246007BD"/>
    <w:rsid w:val="2467147F"/>
    <w:rsid w:val="2481F45A"/>
    <w:rsid w:val="24C20341"/>
    <w:rsid w:val="24C2B903"/>
    <w:rsid w:val="24C6B605"/>
    <w:rsid w:val="24DE45C7"/>
    <w:rsid w:val="24EEFC2E"/>
    <w:rsid w:val="2510849A"/>
    <w:rsid w:val="2511B52D"/>
    <w:rsid w:val="2514812E"/>
    <w:rsid w:val="2542C213"/>
    <w:rsid w:val="2576C195"/>
    <w:rsid w:val="25835381"/>
    <w:rsid w:val="259939B8"/>
    <w:rsid w:val="259F678E"/>
    <w:rsid w:val="25A7B5B6"/>
    <w:rsid w:val="25B974D5"/>
    <w:rsid w:val="25BBBBBD"/>
    <w:rsid w:val="25D29019"/>
    <w:rsid w:val="25D61517"/>
    <w:rsid w:val="25D7D977"/>
    <w:rsid w:val="25D82965"/>
    <w:rsid w:val="25F2392C"/>
    <w:rsid w:val="2602E4E0"/>
    <w:rsid w:val="26038743"/>
    <w:rsid w:val="261C0C37"/>
    <w:rsid w:val="261CCBF3"/>
    <w:rsid w:val="262CBDA3"/>
    <w:rsid w:val="2657DB7E"/>
    <w:rsid w:val="26634C10"/>
    <w:rsid w:val="2667AB72"/>
    <w:rsid w:val="2689FF84"/>
    <w:rsid w:val="268E251D"/>
    <w:rsid w:val="269863B2"/>
    <w:rsid w:val="26C9ABC6"/>
    <w:rsid w:val="26DA888F"/>
    <w:rsid w:val="26DF6EBB"/>
    <w:rsid w:val="26EC93B7"/>
    <w:rsid w:val="26ED379F"/>
    <w:rsid w:val="270BC769"/>
    <w:rsid w:val="270E30A3"/>
    <w:rsid w:val="27194FCC"/>
    <w:rsid w:val="271D9A91"/>
    <w:rsid w:val="272FC319"/>
    <w:rsid w:val="27439C36"/>
    <w:rsid w:val="2789A17C"/>
    <w:rsid w:val="27A978A6"/>
    <w:rsid w:val="27AECB19"/>
    <w:rsid w:val="27B6D101"/>
    <w:rsid w:val="27E987EF"/>
    <w:rsid w:val="27EA83DC"/>
    <w:rsid w:val="27FBA2E3"/>
    <w:rsid w:val="27FFE692"/>
    <w:rsid w:val="2810EA39"/>
    <w:rsid w:val="281BD745"/>
    <w:rsid w:val="281F35CC"/>
    <w:rsid w:val="2848ED38"/>
    <w:rsid w:val="2866DB9B"/>
    <w:rsid w:val="2878BB05"/>
    <w:rsid w:val="287E9A82"/>
    <w:rsid w:val="2881D043"/>
    <w:rsid w:val="288609D9"/>
    <w:rsid w:val="28A8B2ED"/>
    <w:rsid w:val="28BDA269"/>
    <w:rsid w:val="28D056AD"/>
    <w:rsid w:val="28DC73C1"/>
    <w:rsid w:val="28EBABEC"/>
    <w:rsid w:val="290A7774"/>
    <w:rsid w:val="291DDD00"/>
    <w:rsid w:val="292EB983"/>
    <w:rsid w:val="2930EAAF"/>
    <w:rsid w:val="2949D5DE"/>
    <w:rsid w:val="294B1B78"/>
    <w:rsid w:val="295531BE"/>
    <w:rsid w:val="29627EE8"/>
    <w:rsid w:val="296E15FC"/>
    <w:rsid w:val="29DDB365"/>
    <w:rsid w:val="29EE2928"/>
    <w:rsid w:val="29F2F269"/>
    <w:rsid w:val="2A0DF604"/>
    <w:rsid w:val="2A3288B1"/>
    <w:rsid w:val="2A374594"/>
    <w:rsid w:val="2A447063"/>
    <w:rsid w:val="2A53AF22"/>
    <w:rsid w:val="2A573FE3"/>
    <w:rsid w:val="2A8994B9"/>
    <w:rsid w:val="2A9D0862"/>
    <w:rsid w:val="2AA44E52"/>
    <w:rsid w:val="2AAA03C6"/>
    <w:rsid w:val="2AB4611C"/>
    <w:rsid w:val="2AC07AAF"/>
    <w:rsid w:val="2AC87247"/>
    <w:rsid w:val="2AD714B9"/>
    <w:rsid w:val="2AE7A907"/>
    <w:rsid w:val="2AEA81B9"/>
    <w:rsid w:val="2AEFDDEF"/>
    <w:rsid w:val="2AF3631F"/>
    <w:rsid w:val="2AF57B43"/>
    <w:rsid w:val="2AF6E018"/>
    <w:rsid w:val="2AF8B2C7"/>
    <w:rsid w:val="2AFAC868"/>
    <w:rsid w:val="2B189B54"/>
    <w:rsid w:val="2B18C14F"/>
    <w:rsid w:val="2B19A228"/>
    <w:rsid w:val="2B1CB8C5"/>
    <w:rsid w:val="2B2A9A54"/>
    <w:rsid w:val="2B3B1C95"/>
    <w:rsid w:val="2B46583B"/>
    <w:rsid w:val="2B660ADA"/>
    <w:rsid w:val="2B6765C3"/>
    <w:rsid w:val="2B72E8D4"/>
    <w:rsid w:val="2B7B83DB"/>
    <w:rsid w:val="2B8F9B2B"/>
    <w:rsid w:val="2B921D4F"/>
    <w:rsid w:val="2BB4EC22"/>
    <w:rsid w:val="2BB671FE"/>
    <w:rsid w:val="2BC1DA10"/>
    <w:rsid w:val="2BCC380C"/>
    <w:rsid w:val="2BD4DEC0"/>
    <w:rsid w:val="2BD6508A"/>
    <w:rsid w:val="2BD7A2E0"/>
    <w:rsid w:val="2BEB8E68"/>
    <w:rsid w:val="2BF24502"/>
    <w:rsid w:val="2BF8CD30"/>
    <w:rsid w:val="2C005F82"/>
    <w:rsid w:val="2C08B5F6"/>
    <w:rsid w:val="2C0DFA35"/>
    <w:rsid w:val="2C199FB2"/>
    <w:rsid w:val="2C3AD7FC"/>
    <w:rsid w:val="2C5463D8"/>
    <w:rsid w:val="2C58C7B8"/>
    <w:rsid w:val="2C5BB895"/>
    <w:rsid w:val="2C70895F"/>
    <w:rsid w:val="2C70CE99"/>
    <w:rsid w:val="2C70D156"/>
    <w:rsid w:val="2C7EAB28"/>
    <w:rsid w:val="2C8CE046"/>
    <w:rsid w:val="2C8F3380"/>
    <w:rsid w:val="2C8FEC86"/>
    <w:rsid w:val="2CBCE953"/>
    <w:rsid w:val="2CBE3B78"/>
    <w:rsid w:val="2CC0F103"/>
    <w:rsid w:val="2CC1D081"/>
    <w:rsid w:val="2CEFAC5D"/>
    <w:rsid w:val="2CF03FC8"/>
    <w:rsid w:val="2D01FB99"/>
    <w:rsid w:val="2D022FA3"/>
    <w:rsid w:val="2D09E20A"/>
    <w:rsid w:val="2D0F1F93"/>
    <w:rsid w:val="2D194062"/>
    <w:rsid w:val="2D3DB24F"/>
    <w:rsid w:val="2D442728"/>
    <w:rsid w:val="2D50B6C7"/>
    <w:rsid w:val="2DA852DA"/>
    <w:rsid w:val="2DC06242"/>
    <w:rsid w:val="2DC34302"/>
    <w:rsid w:val="2DF8162C"/>
    <w:rsid w:val="2E0A9866"/>
    <w:rsid w:val="2E1725B4"/>
    <w:rsid w:val="2E2B045D"/>
    <w:rsid w:val="2E2FC9DD"/>
    <w:rsid w:val="2E4AC9DF"/>
    <w:rsid w:val="2E548105"/>
    <w:rsid w:val="2E564632"/>
    <w:rsid w:val="2E69D435"/>
    <w:rsid w:val="2E870759"/>
    <w:rsid w:val="2E8C57B3"/>
    <w:rsid w:val="2E8DE01B"/>
    <w:rsid w:val="2EA4309A"/>
    <w:rsid w:val="2EA4EB54"/>
    <w:rsid w:val="2EA6A0AD"/>
    <w:rsid w:val="2ECAF44B"/>
    <w:rsid w:val="2EDFC4D1"/>
    <w:rsid w:val="2F123E97"/>
    <w:rsid w:val="2F12CD51"/>
    <w:rsid w:val="2F1E060D"/>
    <w:rsid w:val="2F26B076"/>
    <w:rsid w:val="2F32D227"/>
    <w:rsid w:val="2F364DBD"/>
    <w:rsid w:val="2F67C731"/>
    <w:rsid w:val="2F70790A"/>
    <w:rsid w:val="2F76CBE2"/>
    <w:rsid w:val="2F78FE2F"/>
    <w:rsid w:val="2F79D749"/>
    <w:rsid w:val="2F90E855"/>
    <w:rsid w:val="2F98B501"/>
    <w:rsid w:val="2F99CEF3"/>
    <w:rsid w:val="2FAA85DC"/>
    <w:rsid w:val="2FCF5C02"/>
    <w:rsid w:val="2FE0FDD3"/>
    <w:rsid w:val="2FE2D897"/>
    <w:rsid w:val="2FE59FB6"/>
    <w:rsid w:val="2FEE4DDB"/>
    <w:rsid w:val="2FF0FAA8"/>
    <w:rsid w:val="2FF21693"/>
    <w:rsid w:val="3022A588"/>
    <w:rsid w:val="305021F9"/>
    <w:rsid w:val="305E3D88"/>
    <w:rsid w:val="30650A68"/>
    <w:rsid w:val="308C5CE7"/>
    <w:rsid w:val="309B9976"/>
    <w:rsid w:val="30A185A2"/>
    <w:rsid w:val="30A42450"/>
    <w:rsid w:val="30A709B5"/>
    <w:rsid w:val="30B8513F"/>
    <w:rsid w:val="30BE8855"/>
    <w:rsid w:val="30C5A960"/>
    <w:rsid w:val="3103FA11"/>
    <w:rsid w:val="311A3550"/>
    <w:rsid w:val="311D981A"/>
    <w:rsid w:val="31265508"/>
    <w:rsid w:val="312726D3"/>
    <w:rsid w:val="315F7DFB"/>
    <w:rsid w:val="316963BF"/>
    <w:rsid w:val="3179D041"/>
    <w:rsid w:val="317F5DD0"/>
    <w:rsid w:val="31814AC2"/>
    <w:rsid w:val="3188B22E"/>
    <w:rsid w:val="318F1D73"/>
    <w:rsid w:val="319DBBEE"/>
    <w:rsid w:val="31C7C05B"/>
    <w:rsid w:val="31D10D69"/>
    <w:rsid w:val="31FBAD2D"/>
    <w:rsid w:val="320558FD"/>
    <w:rsid w:val="3205E661"/>
    <w:rsid w:val="321767F1"/>
    <w:rsid w:val="322446B5"/>
    <w:rsid w:val="322D03AD"/>
    <w:rsid w:val="3236F0DD"/>
    <w:rsid w:val="323F575D"/>
    <w:rsid w:val="3248D428"/>
    <w:rsid w:val="3262094A"/>
    <w:rsid w:val="326FA1B6"/>
    <w:rsid w:val="329422F1"/>
    <w:rsid w:val="3295BFC7"/>
    <w:rsid w:val="32A3A803"/>
    <w:rsid w:val="32C83F8B"/>
    <w:rsid w:val="32CD88AC"/>
    <w:rsid w:val="32D9440C"/>
    <w:rsid w:val="32E16584"/>
    <w:rsid w:val="3301AB5D"/>
    <w:rsid w:val="330926BD"/>
    <w:rsid w:val="330E8B2A"/>
    <w:rsid w:val="330FF259"/>
    <w:rsid w:val="3311CA5A"/>
    <w:rsid w:val="33331B09"/>
    <w:rsid w:val="333366A0"/>
    <w:rsid w:val="335C886C"/>
    <w:rsid w:val="3393D5D7"/>
    <w:rsid w:val="33A599B0"/>
    <w:rsid w:val="33B5BE63"/>
    <w:rsid w:val="33B72BFE"/>
    <w:rsid w:val="33BA9FE5"/>
    <w:rsid w:val="33C16D39"/>
    <w:rsid w:val="33C44DAA"/>
    <w:rsid w:val="33D92F7A"/>
    <w:rsid w:val="33EEB2C7"/>
    <w:rsid w:val="33FBC7C6"/>
    <w:rsid w:val="3401ECF6"/>
    <w:rsid w:val="342D3937"/>
    <w:rsid w:val="3442DC3E"/>
    <w:rsid w:val="3443EA2D"/>
    <w:rsid w:val="3446B8A0"/>
    <w:rsid w:val="344EFC27"/>
    <w:rsid w:val="34599003"/>
    <w:rsid w:val="345B385D"/>
    <w:rsid w:val="3483A874"/>
    <w:rsid w:val="34AC87EE"/>
    <w:rsid w:val="34D35A3C"/>
    <w:rsid w:val="34F004B4"/>
    <w:rsid w:val="3502918A"/>
    <w:rsid w:val="35097DE6"/>
    <w:rsid w:val="350A6FED"/>
    <w:rsid w:val="3516FF3D"/>
    <w:rsid w:val="351C9E29"/>
    <w:rsid w:val="3522C9B5"/>
    <w:rsid w:val="3547D08F"/>
    <w:rsid w:val="355BCE68"/>
    <w:rsid w:val="35642391"/>
    <w:rsid w:val="3571B9F2"/>
    <w:rsid w:val="357D3D46"/>
    <w:rsid w:val="35840A8A"/>
    <w:rsid w:val="358D07BD"/>
    <w:rsid w:val="359DBD57"/>
    <w:rsid w:val="35D8F35E"/>
    <w:rsid w:val="35EDC22B"/>
    <w:rsid w:val="35F338FA"/>
    <w:rsid w:val="35F9F4AF"/>
    <w:rsid w:val="35FC711E"/>
    <w:rsid w:val="361E088C"/>
    <w:rsid w:val="3643F799"/>
    <w:rsid w:val="364AD843"/>
    <w:rsid w:val="364AFB13"/>
    <w:rsid w:val="365C41C7"/>
    <w:rsid w:val="366A7FAB"/>
    <w:rsid w:val="3688BEFA"/>
    <w:rsid w:val="368B9719"/>
    <w:rsid w:val="36C735C6"/>
    <w:rsid w:val="36D2B67E"/>
    <w:rsid w:val="36DBC530"/>
    <w:rsid w:val="36E43AE4"/>
    <w:rsid w:val="36F333BB"/>
    <w:rsid w:val="37067EBA"/>
    <w:rsid w:val="370A6177"/>
    <w:rsid w:val="372A7693"/>
    <w:rsid w:val="373EA047"/>
    <w:rsid w:val="37507A55"/>
    <w:rsid w:val="375689FE"/>
    <w:rsid w:val="376B1670"/>
    <w:rsid w:val="37872255"/>
    <w:rsid w:val="378762B3"/>
    <w:rsid w:val="3789ED71"/>
    <w:rsid w:val="378ECF0C"/>
    <w:rsid w:val="37ABD8FD"/>
    <w:rsid w:val="37B0E155"/>
    <w:rsid w:val="37B58966"/>
    <w:rsid w:val="37D7893E"/>
    <w:rsid w:val="37E428B0"/>
    <w:rsid w:val="37E7DBC3"/>
    <w:rsid w:val="37EA0B84"/>
    <w:rsid w:val="3801B2CC"/>
    <w:rsid w:val="3806500C"/>
    <w:rsid w:val="38181985"/>
    <w:rsid w:val="381856B6"/>
    <w:rsid w:val="383BA8B7"/>
    <w:rsid w:val="38427556"/>
    <w:rsid w:val="384E7871"/>
    <w:rsid w:val="3852772E"/>
    <w:rsid w:val="38528CFD"/>
    <w:rsid w:val="3859C248"/>
    <w:rsid w:val="3866D02F"/>
    <w:rsid w:val="388E5DFA"/>
    <w:rsid w:val="3895F270"/>
    <w:rsid w:val="38B2CD63"/>
    <w:rsid w:val="38CA732F"/>
    <w:rsid w:val="38D84332"/>
    <w:rsid w:val="38F34975"/>
    <w:rsid w:val="390097B3"/>
    <w:rsid w:val="3909E575"/>
    <w:rsid w:val="393153D2"/>
    <w:rsid w:val="393B5C31"/>
    <w:rsid w:val="3947C1E6"/>
    <w:rsid w:val="3988A5EB"/>
    <w:rsid w:val="39A0F5FC"/>
    <w:rsid w:val="39B2E6AD"/>
    <w:rsid w:val="39BA6C7C"/>
    <w:rsid w:val="39CFA19C"/>
    <w:rsid w:val="39D7739A"/>
    <w:rsid w:val="39DC36EB"/>
    <w:rsid w:val="39DDE110"/>
    <w:rsid w:val="39DE33E9"/>
    <w:rsid w:val="39E6BEC4"/>
    <w:rsid w:val="39F63AD8"/>
    <w:rsid w:val="39F9F184"/>
    <w:rsid w:val="39FB1E3F"/>
    <w:rsid w:val="3A09DC9F"/>
    <w:rsid w:val="3A0B1E43"/>
    <w:rsid w:val="3A1A4D39"/>
    <w:rsid w:val="3A1E460D"/>
    <w:rsid w:val="3A23A363"/>
    <w:rsid w:val="3A51E0ED"/>
    <w:rsid w:val="3A58FBCF"/>
    <w:rsid w:val="3A5F10D4"/>
    <w:rsid w:val="3A5FCB3B"/>
    <w:rsid w:val="3A69A21A"/>
    <w:rsid w:val="3AA27DBA"/>
    <w:rsid w:val="3AAACEAE"/>
    <w:rsid w:val="3AB32BB1"/>
    <w:rsid w:val="3AB7322E"/>
    <w:rsid w:val="3AF0F738"/>
    <w:rsid w:val="3AF407DA"/>
    <w:rsid w:val="3B041B51"/>
    <w:rsid w:val="3B37702E"/>
    <w:rsid w:val="3B605B5E"/>
    <w:rsid w:val="3B6956E2"/>
    <w:rsid w:val="3B717CB0"/>
    <w:rsid w:val="3B7D36E1"/>
    <w:rsid w:val="3B7D5533"/>
    <w:rsid w:val="3B87B7C3"/>
    <w:rsid w:val="3B88AD31"/>
    <w:rsid w:val="3B8CEBCD"/>
    <w:rsid w:val="3B904540"/>
    <w:rsid w:val="3B9C8C0E"/>
    <w:rsid w:val="3B9FB557"/>
    <w:rsid w:val="3BA3DB0A"/>
    <w:rsid w:val="3BB3BA0D"/>
    <w:rsid w:val="3BBB727E"/>
    <w:rsid w:val="3BC6BEE1"/>
    <w:rsid w:val="3BC71463"/>
    <w:rsid w:val="3BCD1146"/>
    <w:rsid w:val="3BEDB14E"/>
    <w:rsid w:val="3BF5C89D"/>
    <w:rsid w:val="3C0F769B"/>
    <w:rsid w:val="3C1042AB"/>
    <w:rsid w:val="3C422CFE"/>
    <w:rsid w:val="3C6DFB5B"/>
    <w:rsid w:val="3C990A56"/>
    <w:rsid w:val="3CAABBE4"/>
    <w:rsid w:val="3CB3F55C"/>
    <w:rsid w:val="3CC6CD8C"/>
    <w:rsid w:val="3CE701B1"/>
    <w:rsid w:val="3D12F09F"/>
    <w:rsid w:val="3D41FB40"/>
    <w:rsid w:val="3DA0679C"/>
    <w:rsid w:val="3DA5C09A"/>
    <w:rsid w:val="3DC98BE1"/>
    <w:rsid w:val="3DCD3C3B"/>
    <w:rsid w:val="3DCE4252"/>
    <w:rsid w:val="3DE284A1"/>
    <w:rsid w:val="3DE3AFD8"/>
    <w:rsid w:val="3DFFE07B"/>
    <w:rsid w:val="3E0E31B5"/>
    <w:rsid w:val="3E4955A0"/>
    <w:rsid w:val="3E52A500"/>
    <w:rsid w:val="3E5E0ED9"/>
    <w:rsid w:val="3E5FCDCA"/>
    <w:rsid w:val="3E645603"/>
    <w:rsid w:val="3E6C8A6C"/>
    <w:rsid w:val="3E702FA3"/>
    <w:rsid w:val="3E9721EC"/>
    <w:rsid w:val="3EA7589E"/>
    <w:rsid w:val="3EA84648"/>
    <w:rsid w:val="3EB82D9F"/>
    <w:rsid w:val="3EBC386B"/>
    <w:rsid w:val="3EE8D812"/>
    <w:rsid w:val="3F04B208"/>
    <w:rsid w:val="3F0C9F8E"/>
    <w:rsid w:val="3F0F2317"/>
    <w:rsid w:val="3F28F11B"/>
    <w:rsid w:val="3F2E5549"/>
    <w:rsid w:val="3F5E2C18"/>
    <w:rsid w:val="3F5E6808"/>
    <w:rsid w:val="3F5EE4DC"/>
    <w:rsid w:val="3F70F467"/>
    <w:rsid w:val="3F7A89C4"/>
    <w:rsid w:val="3F999C54"/>
    <w:rsid w:val="3FBB140F"/>
    <w:rsid w:val="3FC7724E"/>
    <w:rsid w:val="3FC877E1"/>
    <w:rsid w:val="3FD33BA7"/>
    <w:rsid w:val="3FED100C"/>
    <w:rsid w:val="400A2846"/>
    <w:rsid w:val="4019DA37"/>
    <w:rsid w:val="401D4AE7"/>
    <w:rsid w:val="401FD879"/>
    <w:rsid w:val="4022EB1A"/>
    <w:rsid w:val="402F9E83"/>
    <w:rsid w:val="40658C68"/>
    <w:rsid w:val="40711CB8"/>
    <w:rsid w:val="40742F12"/>
    <w:rsid w:val="408AA236"/>
    <w:rsid w:val="40912C11"/>
    <w:rsid w:val="409FCCA2"/>
    <w:rsid w:val="40A73D37"/>
    <w:rsid w:val="40A86FEF"/>
    <w:rsid w:val="40B56561"/>
    <w:rsid w:val="40BAA4D0"/>
    <w:rsid w:val="40C15CE5"/>
    <w:rsid w:val="40D486C9"/>
    <w:rsid w:val="40D8085E"/>
    <w:rsid w:val="40E3C760"/>
    <w:rsid w:val="40F073C4"/>
    <w:rsid w:val="40FF353A"/>
    <w:rsid w:val="41139C16"/>
    <w:rsid w:val="411853F8"/>
    <w:rsid w:val="411EFD66"/>
    <w:rsid w:val="41287FF6"/>
    <w:rsid w:val="4129DC73"/>
    <w:rsid w:val="41438B95"/>
    <w:rsid w:val="4147033C"/>
    <w:rsid w:val="415161D5"/>
    <w:rsid w:val="416A3D6C"/>
    <w:rsid w:val="41707DE0"/>
    <w:rsid w:val="419BA520"/>
    <w:rsid w:val="41BAF508"/>
    <w:rsid w:val="41C87B8B"/>
    <w:rsid w:val="41DC74C1"/>
    <w:rsid w:val="41EE98C7"/>
    <w:rsid w:val="41EF1EB9"/>
    <w:rsid w:val="41F10AB1"/>
    <w:rsid w:val="41F3A9CA"/>
    <w:rsid w:val="41F926A5"/>
    <w:rsid w:val="421174DD"/>
    <w:rsid w:val="4242B078"/>
    <w:rsid w:val="426091DD"/>
    <w:rsid w:val="42732901"/>
    <w:rsid w:val="42D92761"/>
    <w:rsid w:val="42DAF426"/>
    <w:rsid w:val="42FF9578"/>
    <w:rsid w:val="4305C156"/>
    <w:rsid w:val="4322B7AE"/>
    <w:rsid w:val="4329E28B"/>
    <w:rsid w:val="432FDEF4"/>
    <w:rsid w:val="43377581"/>
    <w:rsid w:val="43388DCC"/>
    <w:rsid w:val="4385734B"/>
    <w:rsid w:val="43AD3B7D"/>
    <w:rsid w:val="43BA66DB"/>
    <w:rsid w:val="43CBBBAC"/>
    <w:rsid w:val="43D02944"/>
    <w:rsid w:val="43DD9103"/>
    <w:rsid w:val="43FC623E"/>
    <w:rsid w:val="440E208F"/>
    <w:rsid w:val="441A8102"/>
    <w:rsid w:val="44245B79"/>
    <w:rsid w:val="44270831"/>
    <w:rsid w:val="443255FF"/>
    <w:rsid w:val="444716B6"/>
    <w:rsid w:val="444B3C69"/>
    <w:rsid w:val="4458E18F"/>
    <w:rsid w:val="4470780E"/>
    <w:rsid w:val="4480763C"/>
    <w:rsid w:val="44851599"/>
    <w:rsid w:val="44BFBB75"/>
    <w:rsid w:val="44C0812F"/>
    <w:rsid w:val="44E21133"/>
    <w:rsid w:val="44E86AF0"/>
    <w:rsid w:val="4506FA42"/>
    <w:rsid w:val="450F4BFB"/>
    <w:rsid w:val="4523D074"/>
    <w:rsid w:val="45287FD2"/>
    <w:rsid w:val="45415830"/>
    <w:rsid w:val="456EB55F"/>
    <w:rsid w:val="456EF3CD"/>
    <w:rsid w:val="45715504"/>
    <w:rsid w:val="457CC58A"/>
    <w:rsid w:val="4594CE08"/>
    <w:rsid w:val="459F6FF8"/>
    <w:rsid w:val="45E7073D"/>
    <w:rsid w:val="45F6BCB7"/>
    <w:rsid w:val="460103FD"/>
    <w:rsid w:val="46072093"/>
    <w:rsid w:val="4608DDD8"/>
    <w:rsid w:val="46426402"/>
    <w:rsid w:val="46467553"/>
    <w:rsid w:val="4650A1E6"/>
    <w:rsid w:val="465489B8"/>
    <w:rsid w:val="46771608"/>
    <w:rsid w:val="46842257"/>
    <w:rsid w:val="46A9D93A"/>
    <w:rsid w:val="46AB898D"/>
    <w:rsid w:val="46DE0B1D"/>
    <w:rsid w:val="46E5D80D"/>
    <w:rsid w:val="46F50243"/>
    <w:rsid w:val="46FE6A2B"/>
    <w:rsid w:val="470B41A2"/>
    <w:rsid w:val="4713D888"/>
    <w:rsid w:val="4727EF49"/>
    <w:rsid w:val="472C2E02"/>
    <w:rsid w:val="472E2185"/>
    <w:rsid w:val="472F96C0"/>
    <w:rsid w:val="473B552F"/>
    <w:rsid w:val="4743E932"/>
    <w:rsid w:val="475E32BC"/>
    <w:rsid w:val="47679DF6"/>
    <w:rsid w:val="477003A2"/>
    <w:rsid w:val="47705156"/>
    <w:rsid w:val="47B44D47"/>
    <w:rsid w:val="47C74792"/>
    <w:rsid w:val="47D000B5"/>
    <w:rsid w:val="47E34494"/>
    <w:rsid w:val="47E5D634"/>
    <w:rsid w:val="47E9B98F"/>
    <w:rsid w:val="47ED4D54"/>
    <w:rsid w:val="47F8BDFB"/>
    <w:rsid w:val="47FC074F"/>
    <w:rsid w:val="482EE2B3"/>
    <w:rsid w:val="48330A0C"/>
    <w:rsid w:val="4849DEAE"/>
    <w:rsid w:val="4856BC1D"/>
    <w:rsid w:val="48639650"/>
    <w:rsid w:val="4865CC72"/>
    <w:rsid w:val="4880CD12"/>
    <w:rsid w:val="4897D96D"/>
    <w:rsid w:val="48A1506F"/>
    <w:rsid w:val="48A4E354"/>
    <w:rsid w:val="48B1E5DE"/>
    <w:rsid w:val="48C910D8"/>
    <w:rsid w:val="48EC9EC5"/>
    <w:rsid w:val="49040F23"/>
    <w:rsid w:val="4906150C"/>
    <w:rsid w:val="490F0560"/>
    <w:rsid w:val="494254E6"/>
    <w:rsid w:val="494D3AEB"/>
    <w:rsid w:val="494FFF22"/>
    <w:rsid w:val="4957B541"/>
    <w:rsid w:val="495B0CCC"/>
    <w:rsid w:val="4981223F"/>
    <w:rsid w:val="498BF495"/>
    <w:rsid w:val="49B34171"/>
    <w:rsid w:val="49D8AB07"/>
    <w:rsid w:val="49EA83BD"/>
    <w:rsid w:val="4A29EA53"/>
    <w:rsid w:val="4A3BD48F"/>
    <w:rsid w:val="4A450F1B"/>
    <w:rsid w:val="4A5730E8"/>
    <w:rsid w:val="4A70B771"/>
    <w:rsid w:val="4A8A98D4"/>
    <w:rsid w:val="4ABBE7BA"/>
    <w:rsid w:val="4AD63AA6"/>
    <w:rsid w:val="4ADEE2F3"/>
    <w:rsid w:val="4B5181FE"/>
    <w:rsid w:val="4B57009B"/>
    <w:rsid w:val="4B573A87"/>
    <w:rsid w:val="4B676429"/>
    <w:rsid w:val="4B826634"/>
    <w:rsid w:val="4B8A0816"/>
    <w:rsid w:val="4B8BC981"/>
    <w:rsid w:val="4B8E5BEF"/>
    <w:rsid w:val="4B8F8B04"/>
    <w:rsid w:val="4B908EF2"/>
    <w:rsid w:val="4BB286D4"/>
    <w:rsid w:val="4BD39DA4"/>
    <w:rsid w:val="4BEA7093"/>
    <w:rsid w:val="4BEB2296"/>
    <w:rsid w:val="4C016134"/>
    <w:rsid w:val="4C0541E1"/>
    <w:rsid w:val="4C285645"/>
    <w:rsid w:val="4C2B102B"/>
    <w:rsid w:val="4C2CA8A1"/>
    <w:rsid w:val="4C2CCCFD"/>
    <w:rsid w:val="4C37E27A"/>
    <w:rsid w:val="4C3AD9C9"/>
    <w:rsid w:val="4C42F4D2"/>
    <w:rsid w:val="4C4F776F"/>
    <w:rsid w:val="4C5AD2FA"/>
    <w:rsid w:val="4C5C1F6E"/>
    <w:rsid w:val="4C61D969"/>
    <w:rsid w:val="4C6E3958"/>
    <w:rsid w:val="4CB65015"/>
    <w:rsid w:val="4CE17B20"/>
    <w:rsid w:val="4D0C4C0C"/>
    <w:rsid w:val="4D0E7DF8"/>
    <w:rsid w:val="4D121FF1"/>
    <w:rsid w:val="4D159BDA"/>
    <w:rsid w:val="4D161356"/>
    <w:rsid w:val="4D58EDDB"/>
    <w:rsid w:val="4D5F727D"/>
    <w:rsid w:val="4D83EA71"/>
    <w:rsid w:val="4D86F2F7"/>
    <w:rsid w:val="4D9352A9"/>
    <w:rsid w:val="4D9E0330"/>
    <w:rsid w:val="4DC6E08C"/>
    <w:rsid w:val="4DCF8D11"/>
    <w:rsid w:val="4DF913A5"/>
    <w:rsid w:val="4E1BFFC5"/>
    <w:rsid w:val="4E495042"/>
    <w:rsid w:val="4E4C639B"/>
    <w:rsid w:val="4E616EA2"/>
    <w:rsid w:val="4E64E064"/>
    <w:rsid w:val="4E8564FC"/>
    <w:rsid w:val="4E86536D"/>
    <w:rsid w:val="4EA6897B"/>
    <w:rsid w:val="4EAEFE17"/>
    <w:rsid w:val="4EAF8BB3"/>
    <w:rsid w:val="4EB6D4E1"/>
    <w:rsid w:val="4EE70228"/>
    <w:rsid w:val="4EEA517A"/>
    <w:rsid w:val="4F15B37A"/>
    <w:rsid w:val="4F27DF43"/>
    <w:rsid w:val="4F47A5DE"/>
    <w:rsid w:val="4F49404C"/>
    <w:rsid w:val="4F657491"/>
    <w:rsid w:val="4F792B93"/>
    <w:rsid w:val="4F7AAA42"/>
    <w:rsid w:val="4F92B232"/>
    <w:rsid w:val="4FA0E11A"/>
    <w:rsid w:val="4FEFA383"/>
    <w:rsid w:val="5008344E"/>
    <w:rsid w:val="500A8870"/>
    <w:rsid w:val="5019EEE6"/>
    <w:rsid w:val="5021355D"/>
    <w:rsid w:val="5034D05F"/>
    <w:rsid w:val="503A2A07"/>
    <w:rsid w:val="50736FE8"/>
    <w:rsid w:val="50A11A39"/>
    <w:rsid w:val="50B62D39"/>
    <w:rsid w:val="50C356FD"/>
    <w:rsid w:val="50D18E8A"/>
    <w:rsid w:val="50DFBE25"/>
    <w:rsid w:val="50E12F18"/>
    <w:rsid w:val="50F3E26D"/>
    <w:rsid w:val="512AF710"/>
    <w:rsid w:val="51328EEC"/>
    <w:rsid w:val="5134D597"/>
    <w:rsid w:val="5139EA4E"/>
    <w:rsid w:val="513A6263"/>
    <w:rsid w:val="515002E8"/>
    <w:rsid w:val="51518442"/>
    <w:rsid w:val="516407C4"/>
    <w:rsid w:val="51660483"/>
    <w:rsid w:val="516CD4E0"/>
    <w:rsid w:val="5185DBDA"/>
    <w:rsid w:val="518B0D97"/>
    <w:rsid w:val="51967020"/>
    <w:rsid w:val="5196DF02"/>
    <w:rsid w:val="51B79EDB"/>
    <w:rsid w:val="51D01F6F"/>
    <w:rsid w:val="51E9F372"/>
    <w:rsid w:val="51EE04C4"/>
    <w:rsid w:val="5206C8E3"/>
    <w:rsid w:val="521D7CD7"/>
    <w:rsid w:val="5252A43F"/>
    <w:rsid w:val="52803E14"/>
    <w:rsid w:val="52812952"/>
    <w:rsid w:val="529D59FA"/>
    <w:rsid w:val="529E1C36"/>
    <w:rsid w:val="52A5678B"/>
    <w:rsid w:val="52A91E2D"/>
    <w:rsid w:val="52AE5704"/>
    <w:rsid w:val="52B243CA"/>
    <w:rsid w:val="52CA8E0E"/>
    <w:rsid w:val="52CFDDE0"/>
    <w:rsid w:val="52E30F63"/>
    <w:rsid w:val="52E95895"/>
    <w:rsid w:val="5312FD92"/>
    <w:rsid w:val="531D28A4"/>
    <w:rsid w:val="532D3ADF"/>
    <w:rsid w:val="532EC0A3"/>
    <w:rsid w:val="533258E8"/>
    <w:rsid w:val="5334C9C4"/>
    <w:rsid w:val="5334FEB0"/>
    <w:rsid w:val="533EB9F6"/>
    <w:rsid w:val="5344CDD5"/>
    <w:rsid w:val="534889B9"/>
    <w:rsid w:val="536F3B45"/>
    <w:rsid w:val="53860A33"/>
    <w:rsid w:val="538C8A6A"/>
    <w:rsid w:val="53968F00"/>
    <w:rsid w:val="53A50336"/>
    <w:rsid w:val="53BEA860"/>
    <w:rsid w:val="53D82DE9"/>
    <w:rsid w:val="53E77566"/>
    <w:rsid w:val="53EC5D26"/>
    <w:rsid w:val="540CC80A"/>
    <w:rsid w:val="54267ED4"/>
    <w:rsid w:val="544224A8"/>
    <w:rsid w:val="54763BB3"/>
    <w:rsid w:val="54A6088B"/>
    <w:rsid w:val="54A89582"/>
    <w:rsid w:val="54CB11F5"/>
    <w:rsid w:val="54D3F841"/>
    <w:rsid w:val="54E1DC56"/>
    <w:rsid w:val="54FD8277"/>
    <w:rsid w:val="54FE2931"/>
    <w:rsid w:val="5508A8B9"/>
    <w:rsid w:val="550E731E"/>
    <w:rsid w:val="554CB91C"/>
    <w:rsid w:val="555B3DDC"/>
    <w:rsid w:val="555F0B99"/>
    <w:rsid w:val="557B2AC8"/>
    <w:rsid w:val="55832703"/>
    <w:rsid w:val="55B07A5E"/>
    <w:rsid w:val="55C4521E"/>
    <w:rsid w:val="55C75390"/>
    <w:rsid w:val="55D4DEFA"/>
    <w:rsid w:val="55D8F222"/>
    <w:rsid w:val="55DDAC93"/>
    <w:rsid w:val="55DE3D2A"/>
    <w:rsid w:val="55F2BC91"/>
    <w:rsid w:val="5603B7C8"/>
    <w:rsid w:val="5608BC9B"/>
    <w:rsid w:val="5609BEFD"/>
    <w:rsid w:val="561D7284"/>
    <w:rsid w:val="5630EF7E"/>
    <w:rsid w:val="563311B5"/>
    <w:rsid w:val="565428EE"/>
    <w:rsid w:val="565F835E"/>
    <w:rsid w:val="5668A8BA"/>
    <w:rsid w:val="5688F0FF"/>
    <w:rsid w:val="56906E57"/>
    <w:rsid w:val="56A1CB31"/>
    <w:rsid w:val="56AECABD"/>
    <w:rsid w:val="56CB6E11"/>
    <w:rsid w:val="56CEA871"/>
    <w:rsid w:val="56ED87DD"/>
    <w:rsid w:val="56F1753C"/>
    <w:rsid w:val="56F31B91"/>
    <w:rsid w:val="56F47E4C"/>
    <w:rsid w:val="570E79AE"/>
    <w:rsid w:val="572A2081"/>
    <w:rsid w:val="572BBD19"/>
    <w:rsid w:val="572C5EFB"/>
    <w:rsid w:val="574D4B1F"/>
    <w:rsid w:val="575874DF"/>
    <w:rsid w:val="575E1F96"/>
    <w:rsid w:val="5766384D"/>
    <w:rsid w:val="577A0D8B"/>
    <w:rsid w:val="578F681A"/>
    <w:rsid w:val="57B2F6DB"/>
    <w:rsid w:val="57B57DB7"/>
    <w:rsid w:val="57C0F911"/>
    <w:rsid w:val="57DA932B"/>
    <w:rsid w:val="57F92341"/>
    <w:rsid w:val="58156545"/>
    <w:rsid w:val="582CD0E2"/>
    <w:rsid w:val="58323E6F"/>
    <w:rsid w:val="583E8DF7"/>
    <w:rsid w:val="5857D1A9"/>
    <w:rsid w:val="585C6A01"/>
    <w:rsid w:val="58677FC4"/>
    <w:rsid w:val="58940DAF"/>
    <w:rsid w:val="589DE674"/>
    <w:rsid w:val="589E8987"/>
    <w:rsid w:val="58A6E70D"/>
    <w:rsid w:val="58B8D092"/>
    <w:rsid w:val="58C8DD66"/>
    <w:rsid w:val="58C9A59E"/>
    <w:rsid w:val="59023E27"/>
    <w:rsid w:val="59058017"/>
    <w:rsid w:val="5913AEEA"/>
    <w:rsid w:val="591EEFF2"/>
    <w:rsid w:val="5941517D"/>
    <w:rsid w:val="59470D98"/>
    <w:rsid w:val="59593CF1"/>
    <w:rsid w:val="595A003A"/>
    <w:rsid w:val="595BEB85"/>
    <w:rsid w:val="59826284"/>
    <w:rsid w:val="59A76964"/>
    <w:rsid w:val="59ABB2C5"/>
    <w:rsid w:val="59BFE1C0"/>
    <w:rsid w:val="59C4C855"/>
    <w:rsid w:val="59C817A3"/>
    <w:rsid w:val="59CD8FCA"/>
    <w:rsid w:val="59DFEFAA"/>
    <w:rsid w:val="59E6090F"/>
    <w:rsid w:val="59F68582"/>
    <w:rsid w:val="5A046011"/>
    <w:rsid w:val="5A2A8C49"/>
    <w:rsid w:val="5A51D7B0"/>
    <w:rsid w:val="5A6DB2DE"/>
    <w:rsid w:val="5A790108"/>
    <w:rsid w:val="5A7DDF4A"/>
    <w:rsid w:val="5A83081B"/>
    <w:rsid w:val="5A946B04"/>
    <w:rsid w:val="5AA01259"/>
    <w:rsid w:val="5AA62FCB"/>
    <w:rsid w:val="5AB096F4"/>
    <w:rsid w:val="5AB0C13D"/>
    <w:rsid w:val="5AB812CC"/>
    <w:rsid w:val="5AB9506E"/>
    <w:rsid w:val="5AEAB4B5"/>
    <w:rsid w:val="5B0DD239"/>
    <w:rsid w:val="5B198D9C"/>
    <w:rsid w:val="5B1C4AD8"/>
    <w:rsid w:val="5B235ECD"/>
    <w:rsid w:val="5B294D2F"/>
    <w:rsid w:val="5B30A37E"/>
    <w:rsid w:val="5B378FDC"/>
    <w:rsid w:val="5B43AE59"/>
    <w:rsid w:val="5B4ADDA9"/>
    <w:rsid w:val="5B50E179"/>
    <w:rsid w:val="5B514B6C"/>
    <w:rsid w:val="5B655088"/>
    <w:rsid w:val="5B9CEC9E"/>
    <w:rsid w:val="5B9D02F0"/>
    <w:rsid w:val="5BCA8655"/>
    <w:rsid w:val="5BCBC4D1"/>
    <w:rsid w:val="5BCD0D5B"/>
    <w:rsid w:val="5BDF271A"/>
    <w:rsid w:val="5BE9027B"/>
    <w:rsid w:val="5BEAA2C7"/>
    <w:rsid w:val="5BFFAB6C"/>
    <w:rsid w:val="5C014660"/>
    <w:rsid w:val="5C263884"/>
    <w:rsid w:val="5C282204"/>
    <w:rsid w:val="5C36F6E6"/>
    <w:rsid w:val="5C4E0E69"/>
    <w:rsid w:val="5C5FA0FA"/>
    <w:rsid w:val="5C6C0EAD"/>
    <w:rsid w:val="5C778E06"/>
    <w:rsid w:val="5C78BCC9"/>
    <w:rsid w:val="5C7C1696"/>
    <w:rsid w:val="5C910FE9"/>
    <w:rsid w:val="5CA56797"/>
    <w:rsid w:val="5CBF14C6"/>
    <w:rsid w:val="5CC29F7A"/>
    <w:rsid w:val="5CC49E46"/>
    <w:rsid w:val="5CC9DBDF"/>
    <w:rsid w:val="5CCC73DF"/>
    <w:rsid w:val="5CDF0A26"/>
    <w:rsid w:val="5CE4D8E1"/>
    <w:rsid w:val="5D00A6D6"/>
    <w:rsid w:val="5D21E8F1"/>
    <w:rsid w:val="5D29643B"/>
    <w:rsid w:val="5D38100C"/>
    <w:rsid w:val="5D38D351"/>
    <w:rsid w:val="5D3BA0FA"/>
    <w:rsid w:val="5D4BFB67"/>
    <w:rsid w:val="5D57276F"/>
    <w:rsid w:val="5D61B3FD"/>
    <w:rsid w:val="5D74568E"/>
    <w:rsid w:val="5D84D2DC"/>
    <w:rsid w:val="5D9B472A"/>
    <w:rsid w:val="5D9C0AC3"/>
    <w:rsid w:val="5DA88260"/>
    <w:rsid w:val="5DC0F6A5"/>
    <w:rsid w:val="5DCAA7CB"/>
    <w:rsid w:val="5DCD46A8"/>
    <w:rsid w:val="5DCF31AB"/>
    <w:rsid w:val="5DD72434"/>
    <w:rsid w:val="5DD7B500"/>
    <w:rsid w:val="5DF60F12"/>
    <w:rsid w:val="5DF96C9D"/>
    <w:rsid w:val="5DFF5442"/>
    <w:rsid w:val="5E0777D4"/>
    <w:rsid w:val="5E0843A4"/>
    <w:rsid w:val="5E370C69"/>
    <w:rsid w:val="5E394284"/>
    <w:rsid w:val="5E49EA31"/>
    <w:rsid w:val="5E57786A"/>
    <w:rsid w:val="5E5E2959"/>
    <w:rsid w:val="5E7DCE85"/>
    <w:rsid w:val="5E8908F0"/>
    <w:rsid w:val="5EC865EB"/>
    <w:rsid w:val="5EE82CBC"/>
    <w:rsid w:val="5EECA1FA"/>
    <w:rsid w:val="5EFC8721"/>
    <w:rsid w:val="5F1B26A8"/>
    <w:rsid w:val="5F36C415"/>
    <w:rsid w:val="5F382491"/>
    <w:rsid w:val="5F434478"/>
    <w:rsid w:val="5F434DD7"/>
    <w:rsid w:val="5F505434"/>
    <w:rsid w:val="5F51127E"/>
    <w:rsid w:val="5F5C8747"/>
    <w:rsid w:val="5F5E6CB0"/>
    <w:rsid w:val="5F6D438E"/>
    <w:rsid w:val="5F926C2D"/>
    <w:rsid w:val="5FAE1183"/>
    <w:rsid w:val="5FB1F5C5"/>
    <w:rsid w:val="5FD582D1"/>
    <w:rsid w:val="5FEFBA3C"/>
    <w:rsid w:val="5FFA45CB"/>
    <w:rsid w:val="6014538C"/>
    <w:rsid w:val="6016AAE8"/>
    <w:rsid w:val="6017ED62"/>
    <w:rsid w:val="6029700C"/>
    <w:rsid w:val="6029A316"/>
    <w:rsid w:val="6043CB61"/>
    <w:rsid w:val="604D5EE2"/>
    <w:rsid w:val="6077D691"/>
    <w:rsid w:val="6079EEDF"/>
    <w:rsid w:val="60985782"/>
    <w:rsid w:val="60A7AE87"/>
    <w:rsid w:val="60AC5288"/>
    <w:rsid w:val="60B25990"/>
    <w:rsid w:val="60BD4FD1"/>
    <w:rsid w:val="60DC2F2E"/>
    <w:rsid w:val="60E4467D"/>
    <w:rsid w:val="60E5DC4C"/>
    <w:rsid w:val="60E69D1D"/>
    <w:rsid w:val="60EE70D1"/>
    <w:rsid w:val="610A0D0E"/>
    <w:rsid w:val="611A64FB"/>
    <w:rsid w:val="611D71A7"/>
    <w:rsid w:val="61229B7C"/>
    <w:rsid w:val="612A6CA8"/>
    <w:rsid w:val="614A6D85"/>
    <w:rsid w:val="614BE9C2"/>
    <w:rsid w:val="61536569"/>
    <w:rsid w:val="615A3082"/>
    <w:rsid w:val="61688194"/>
    <w:rsid w:val="61791A42"/>
    <w:rsid w:val="617DA700"/>
    <w:rsid w:val="61821656"/>
    <w:rsid w:val="61ECDDE7"/>
    <w:rsid w:val="6202DEB0"/>
    <w:rsid w:val="6206A521"/>
    <w:rsid w:val="621C0232"/>
    <w:rsid w:val="621E63A8"/>
    <w:rsid w:val="62437EE8"/>
    <w:rsid w:val="625BB107"/>
    <w:rsid w:val="62759461"/>
    <w:rsid w:val="627AE53A"/>
    <w:rsid w:val="6283640A"/>
    <w:rsid w:val="62A2163B"/>
    <w:rsid w:val="62D07576"/>
    <w:rsid w:val="62DCD886"/>
    <w:rsid w:val="62F9187B"/>
    <w:rsid w:val="63007289"/>
    <w:rsid w:val="630E723E"/>
    <w:rsid w:val="631B2730"/>
    <w:rsid w:val="6321C1B0"/>
    <w:rsid w:val="632B9614"/>
    <w:rsid w:val="6334AD8A"/>
    <w:rsid w:val="63622704"/>
    <w:rsid w:val="638FCEF1"/>
    <w:rsid w:val="639473D4"/>
    <w:rsid w:val="63B18F97"/>
    <w:rsid w:val="63EAA7E6"/>
    <w:rsid w:val="63FDE329"/>
    <w:rsid w:val="640C5C06"/>
    <w:rsid w:val="6416C4CA"/>
    <w:rsid w:val="6421FEC1"/>
    <w:rsid w:val="642A3BE5"/>
    <w:rsid w:val="64354CA1"/>
    <w:rsid w:val="645FB7D4"/>
    <w:rsid w:val="6478A8E7"/>
    <w:rsid w:val="64A0FA6B"/>
    <w:rsid w:val="64A71383"/>
    <w:rsid w:val="64D53244"/>
    <w:rsid w:val="64D88DFF"/>
    <w:rsid w:val="64EC4D7C"/>
    <w:rsid w:val="650BD61C"/>
    <w:rsid w:val="650F1BEF"/>
    <w:rsid w:val="653569EC"/>
    <w:rsid w:val="654A0231"/>
    <w:rsid w:val="655F347A"/>
    <w:rsid w:val="6568DDA7"/>
    <w:rsid w:val="656ADF02"/>
    <w:rsid w:val="65702A56"/>
    <w:rsid w:val="6582D629"/>
    <w:rsid w:val="6599F769"/>
    <w:rsid w:val="65B36CB9"/>
    <w:rsid w:val="65C16E86"/>
    <w:rsid w:val="65DC4C52"/>
    <w:rsid w:val="65DDE54F"/>
    <w:rsid w:val="65E15769"/>
    <w:rsid w:val="65E9331D"/>
    <w:rsid w:val="65F6F1AC"/>
    <w:rsid w:val="65FEBE5D"/>
    <w:rsid w:val="6611AE34"/>
    <w:rsid w:val="66258344"/>
    <w:rsid w:val="66366B8E"/>
    <w:rsid w:val="66398BDA"/>
    <w:rsid w:val="664E8A37"/>
    <w:rsid w:val="66636103"/>
    <w:rsid w:val="66697BFF"/>
    <w:rsid w:val="6669C71C"/>
    <w:rsid w:val="666E18D7"/>
    <w:rsid w:val="66768F23"/>
    <w:rsid w:val="668287D5"/>
    <w:rsid w:val="6690AE15"/>
    <w:rsid w:val="669AE5C2"/>
    <w:rsid w:val="669D1E4A"/>
    <w:rsid w:val="66A82F26"/>
    <w:rsid w:val="66B0E33F"/>
    <w:rsid w:val="66B19EB4"/>
    <w:rsid w:val="66B1FBC4"/>
    <w:rsid w:val="66CB87F7"/>
    <w:rsid w:val="66EF59BC"/>
    <w:rsid w:val="670BFAB7"/>
    <w:rsid w:val="671A0BAE"/>
    <w:rsid w:val="671A658D"/>
    <w:rsid w:val="671B7833"/>
    <w:rsid w:val="67298819"/>
    <w:rsid w:val="672A2F15"/>
    <w:rsid w:val="672B20AD"/>
    <w:rsid w:val="672BF089"/>
    <w:rsid w:val="672D85B6"/>
    <w:rsid w:val="6747D56B"/>
    <w:rsid w:val="674945A3"/>
    <w:rsid w:val="67565348"/>
    <w:rsid w:val="6758A425"/>
    <w:rsid w:val="67671918"/>
    <w:rsid w:val="676C6332"/>
    <w:rsid w:val="6782F758"/>
    <w:rsid w:val="678DE634"/>
    <w:rsid w:val="67A3E699"/>
    <w:rsid w:val="67A73D5F"/>
    <w:rsid w:val="67B4A8FC"/>
    <w:rsid w:val="67B5A0D4"/>
    <w:rsid w:val="67DFDB59"/>
    <w:rsid w:val="67E7DB95"/>
    <w:rsid w:val="6804314E"/>
    <w:rsid w:val="68184B9A"/>
    <w:rsid w:val="681C9243"/>
    <w:rsid w:val="682BB35C"/>
    <w:rsid w:val="683780FE"/>
    <w:rsid w:val="68407AC6"/>
    <w:rsid w:val="6843C919"/>
    <w:rsid w:val="685F1FE4"/>
    <w:rsid w:val="68603467"/>
    <w:rsid w:val="687180E2"/>
    <w:rsid w:val="6875E6A5"/>
    <w:rsid w:val="687C3F55"/>
    <w:rsid w:val="689541F1"/>
    <w:rsid w:val="689AFBB9"/>
    <w:rsid w:val="68A3A4E8"/>
    <w:rsid w:val="68A84330"/>
    <w:rsid w:val="68BFB140"/>
    <w:rsid w:val="68CCD834"/>
    <w:rsid w:val="68DDB144"/>
    <w:rsid w:val="68F90F48"/>
    <w:rsid w:val="68FEEF29"/>
    <w:rsid w:val="69215C81"/>
    <w:rsid w:val="69235970"/>
    <w:rsid w:val="693F09F6"/>
    <w:rsid w:val="69408EC5"/>
    <w:rsid w:val="6942A360"/>
    <w:rsid w:val="69528594"/>
    <w:rsid w:val="695F7345"/>
    <w:rsid w:val="6976AB69"/>
    <w:rsid w:val="698FD371"/>
    <w:rsid w:val="6990FAD6"/>
    <w:rsid w:val="69AA063F"/>
    <w:rsid w:val="69AA065B"/>
    <w:rsid w:val="69B5D645"/>
    <w:rsid w:val="69DBA4A9"/>
    <w:rsid w:val="6A1D3AC9"/>
    <w:rsid w:val="6A2C84AC"/>
    <w:rsid w:val="6A39B139"/>
    <w:rsid w:val="6A55218E"/>
    <w:rsid w:val="6A580687"/>
    <w:rsid w:val="6A5DADF1"/>
    <w:rsid w:val="6A617251"/>
    <w:rsid w:val="6A67566C"/>
    <w:rsid w:val="6A6837BD"/>
    <w:rsid w:val="6A6EBE72"/>
    <w:rsid w:val="6A7E83DA"/>
    <w:rsid w:val="6A868F9E"/>
    <w:rsid w:val="6A89E46E"/>
    <w:rsid w:val="6A94DFA9"/>
    <w:rsid w:val="6AB3D1A8"/>
    <w:rsid w:val="6ABBD545"/>
    <w:rsid w:val="6ABEE8CE"/>
    <w:rsid w:val="6AC0D225"/>
    <w:rsid w:val="6AD552EB"/>
    <w:rsid w:val="6AF68EE4"/>
    <w:rsid w:val="6AF9CF05"/>
    <w:rsid w:val="6B084C86"/>
    <w:rsid w:val="6B0A48E7"/>
    <w:rsid w:val="6B11C6D6"/>
    <w:rsid w:val="6B1CAC16"/>
    <w:rsid w:val="6B529B64"/>
    <w:rsid w:val="6B543305"/>
    <w:rsid w:val="6B590CCB"/>
    <w:rsid w:val="6B5DE67E"/>
    <w:rsid w:val="6B689EF7"/>
    <w:rsid w:val="6B75E6DD"/>
    <w:rsid w:val="6B827FD9"/>
    <w:rsid w:val="6B849724"/>
    <w:rsid w:val="6BB96608"/>
    <w:rsid w:val="6BBAEA8E"/>
    <w:rsid w:val="6BCDDCF8"/>
    <w:rsid w:val="6BD6FFB8"/>
    <w:rsid w:val="6BD79F46"/>
    <w:rsid w:val="6BDBAD5E"/>
    <w:rsid w:val="6BEEB731"/>
    <w:rsid w:val="6BF8EEB2"/>
    <w:rsid w:val="6C005A4F"/>
    <w:rsid w:val="6C18A124"/>
    <w:rsid w:val="6C2C5548"/>
    <w:rsid w:val="6C2DB24C"/>
    <w:rsid w:val="6C49BBEB"/>
    <w:rsid w:val="6C4CD0D5"/>
    <w:rsid w:val="6C56ECC4"/>
    <w:rsid w:val="6C586A60"/>
    <w:rsid w:val="6C7C15BC"/>
    <w:rsid w:val="6C820536"/>
    <w:rsid w:val="6C96D6AF"/>
    <w:rsid w:val="6CA68976"/>
    <w:rsid w:val="6CB0B7D8"/>
    <w:rsid w:val="6CB96347"/>
    <w:rsid w:val="6CBDCBBB"/>
    <w:rsid w:val="6CCA12F6"/>
    <w:rsid w:val="6CD6A79E"/>
    <w:rsid w:val="6CD6AE09"/>
    <w:rsid w:val="6CE99E40"/>
    <w:rsid w:val="6CECC693"/>
    <w:rsid w:val="6CEFEC9C"/>
    <w:rsid w:val="6CF10E1E"/>
    <w:rsid w:val="6CFBF253"/>
    <w:rsid w:val="6D0914F9"/>
    <w:rsid w:val="6D289874"/>
    <w:rsid w:val="6D33CB65"/>
    <w:rsid w:val="6D4482A3"/>
    <w:rsid w:val="6D4C731F"/>
    <w:rsid w:val="6D7EC810"/>
    <w:rsid w:val="6D89A272"/>
    <w:rsid w:val="6D8CFF46"/>
    <w:rsid w:val="6D928F51"/>
    <w:rsid w:val="6DA8D7DA"/>
    <w:rsid w:val="6DB6AF12"/>
    <w:rsid w:val="6DB9D973"/>
    <w:rsid w:val="6DBB70D9"/>
    <w:rsid w:val="6DC31F24"/>
    <w:rsid w:val="6DD6B1BC"/>
    <w:rsid w:val="6DDB1CA5"/>
    <w:rsid w:val="6DDC980F"/>
    <w:rsid w:val="6DE5C7B3"/>
    <w:rsid w:val="6E145870"/>
    <w:rsid w:val="6E21767D"/>
    <w:rsid w:val="6E2C7F05"/>
    <w:rsid w:val="6E2FCBA8"/>
    <w:rsid w:val="6E35CCC3"/>
    <w:rsid w:val="6E51097D"/>
    <w:rsid w:val="6E8EFEB7"/>
    <w:rsid w:val="6E96ABF7"/>
    <w:rsid w:val="6EC79EB0"/>
    <w:rsid w:val="6ED0465F"/>
    <w:rsid w:val="6ED3E1C8"/>
    <w:rsid w:val="6ED92AD2"/>
    <w:rsid w:val="6EF50BB2"/>
    <w:rsid w:val="6F001280"/>
    <w:rsid w:val="6F35BD26"/>
    <w:rsid w:val="6F36FDCB"/>
    <w:rsid w:val="6F4F286F"/>
    <w:rsid w:val="6F54F358"/>
    <w:rsid w:val="6F58FE77"/>
    <w:rsid w:val="6F686FB7"/>
    <w:rsid w:val="6F7264FA"/>
    <w:rsid w:val="6F7CA0E8"/>
    <w:rsid w:val="6F80C287"/>
    <w:rsid w:val="6F88EA2F"/>
    <w:rsid w:val="6F95D021"/>
    <w:rsid w:val="6FB4E5A4"/>
    <w:rsid w:val="6FC87056"/>
    <w:rsid w:val="6FD65D27"/>
    <w:rsid w:val="6FE9E440"/>
    <w:rsid w:val="6FF2CF96"/>
    <w:rsid w:val="70191304"/>
    <w:rsid w:val="7029D222"/>
    <w:rsid w:val="703370FE"/>
    <w:rsid w:val="7033E3B5"/>
    <w:rsid w:val="704427DD"/>
    <w:rsid w:val="704F37F4"/>
    <w:rsid w:val="708C51C4"/>
    <w:rsid w:val="708EBB70"/>
    <w:rsid w:val="709ED4F6"/>
    <w:rsid w:val="70A73492"/>
    <w:rsid w:val="70AA84F1"/>
    <w:rsid w:val="70C0A1CE"/>
    <w:rsid w:val="70E22C22"/>
    <w:rsid w:val="70EE5968"/>
    <w:rsid w:val="70F0D3C1"/>
    <w:rsid w:val="710DFB5E"/>
    <w:rsid w:val="7123BE38"/>
    <w:rsid w:val="71281787"/>
    <w:rsid w:val="716800D5"/>
    <w:rsid w:val="716E0EF5"/>
    <w:rsid w:val="7181BD4E"/>
    <w:rsid w:val="71984CF9"/>
    <w:rsid w:val="719A0BD8"/>
    <w:rsid w:val="71A46875"/>
    <w:rsid w:val="71B8841B"/>
    <w:rsid w:val="71D8003A"/>
    <w:rsid w:val="71FDD8F3"/>
    <w:rsid w:val="72014DC7"/>
    <w:rsid w:val="72134EB7"/>
    <w:rsid w:val="7220230F"/>
    <w:rsid w:val="723C8BE8"/>
    <w:rsid w:val="72407A55"/>
    <w:rsid w:val="724137D2"/>
    <w:rsid w:val="725C68DC"/>
    <w:rsid w:val="726CF7AA"/>
    <w:rsid w:val="727C48FD"/>
    <w:rsid w:val="728F9C2B"/>
    <w:rsid w:val="729560D0"/>
    <w:rsid w:val="729610DF"/>
    <w:rsid w:val="72C01BF0"/>
    <w:rsid w:val="72EF4A45"/>
    <w:rsid w:val="72FCEC82"/>
    <w:rsid w:val="7302CB9E"/>
    <w:rsid w:val="73053A60"/>
    <w:rsid w:val="730558F8"/>
    <w:rsid w:val="7319DE79"/>
    <w:rsid w:val="7333E488"/>
    <w:rsid w:val="73384646"/>
    <w:rsid w:val="733A3163"/>
    <w:rsid w:val="73422104"/>
    <w:rsid w:val="73454F11"/>
    <w:rsid w:val="7361226E"/>
    <w:rsid w:val="73A0841B"/>
    <w:rsid w:val="73A9DBAA"/>
    <w:rsid w:val="73E2A17B"/>
    <w:rsid w:val="73E807DC"/>
    <w:rsid w:val="73F563BC"/>
    <w:rsid w:val="73F8FD53"/>
    <w:rsid w:val="7415CA82"/>
    <w:rsid w:val="741667C6"/>
    <w:rsid w:val="7418195E"/>
    <w:rsid w:val="7427E576"/>
    <w:rsid w:val="742F8DCE"/>
    <w:rsid w:val="74349C6D"/>
    <w:rsid w:val="74359799"/>
    <w:rsid w:val="743BE0DA"/>
    <w:rsid w:val="7482D85A"/>
    <w:rsid w:val="74932C04"/>
    <w:rsid w:val="74948F3E"/>
    <w:rsid w:val="74BBFC7E"/>
    <w:rsid w:val="74BE1A3B"/>
    <w:rsid w:val="74C3A50D"/>
    <w:rsid w:val="74D6946E"/>
    <w:rsid w:val="74DFB890"/>
    <w:rsid w:val="74F0A5DB"/>
    <w:rsid w:val="7502D50B"/>
    <w:rsid w:val="7506CF84"/>
    <w:rsid w:val="7508347F"/>
    <w:rsid w:val="7513A65A"/>
    <w:rsid w:val="751CC2D8"/>
    <w:rsid w:val="751FBF68"/>
    <w:rsid w:val="75264FC5"/>
    <w:rsid w:val="75432ED6"/>
    <w:rsid w:val="754B3712"/>
    <w:rsid w:val="757769DA"/>
    <w:rsid w:val="757A5411"/>
    <w:rsid w:val="758C4391"/>
    <w:rsid w:val="759412F1"/>
    <w:rsid w:val="75A6418C"/>
    <w:rsid w:val="75A8CC34"/>
    <w:rsid w:val="75AAF975"/>
    <w:rsid w:val="75B60DDA"/>
    <w:rsid w:val="75BFD2BC"/>
    <w:rsid w:val="75D1068B"/>
    <w:rsid w:val="75D7B13B"/>
    <w:rsid w:val="75F0D998"/>
    <w:rsid w:val="75F17352"/>
    <w:rsid w:val="75F5171B"/>
    <w:rsid w:val="76589311"/>
    <w:rsid w:val="7660C8AB"/>
    <w:rsid w:val="7664E1DE"/>
    <w:rsid w:val="768AD348"/>
    <w:rsid w:val="76AC720F"/>
    <w:rsid w:val="76B49883"/>
    <w:rsid w:val="76BBCFDA"/>
    <w:rsid w:val="76BC0717"/>
    <w:rsid w:val="76C1854E"/>
    <w:rsid w:val="76D48F21"/>
    <w:rsid w:val="76E4DDAB"/>
    <w:rsid w:val="76F747BF"/>
    <w:rsid w:val="77309E15"/>
    <w:rsid w:val="7736D160"/>
    <w:rsid w:val="773BD936"/>
    <w:rsid w:val="774AFB9B"/>
    <w:rsid w:val="7775171D"/>
    <w:rsid w:val="779626C4"/>
    <w:rsid w:val="77983A89"/>
    <w:rsid w:val="77A3BA32"/>
    <w:rsid w:val="77AA2EA4"/>
    <w:rsid w:val="77C00B58"/>
    <w:rsid w:val="77D93C96"/>
    <w:rsid w:val="77E10FDA"/>
    <w:rsid w:val="780E94C5"/>
    <w:rsid w:val="78202B4E"/>
    <w:rsid w:val="78272048"/>
    <w:rsid w:val="7833BA66"/>
    <w:rsid w:val="7834B767"/>
    <w:rsid w:val="7861B7DB"/>
    <w:rsid w:val="787C021F"/>
    <w:rsid w:val="789487AC"/>
    <w:rsid w:val="78A91F6D"/>
    <w:rsid w:val="78CAD6EA"/>
    <w:rsid w:val="78E637C5"/>
    <w:rsid w:val="78FD44FF"/>
    <w:rsid w:val="79233C2D"/>
    <w:rsid w:val="792E2809"/>
    <w:rsid w:val="7933AB17"/>
    <w:rsid w:val="7963211A"/>
    <w:rsid w:val="79649936"/>
    <w:rsid w:val="79760DA5"/>
    <w:rsid w:val="798AFC21"/>
    <w:rsid w:val="7991BD95"/>
    <w:rsid w:val="79B9E30E"/>
    <w:rsid w:val="79CB215B"/>
    <w:rsid w:val="79DB9E7E"/>
    <w:rsid w:val="79DBE2DE"/>
    <w:rsid w:val="79F9DA8A"/>
    <w:rsid w:val="79FAA111"/>
    <w:rsid w:val="7A13BA7E"/>
    <w:rsid w:val="7A1F1C35"/>
    <w:rsid w:val="7A227E9A"/>
    <w:rsid w:val="7A298019"/>
    <w:rsid w:val="7A2EB9F4"/>
    <w:rsid w:val="7A47BB02"/>
    <w:rsid w:val="7A4A31D6"/>
    <w:rsid w:val="7A577473"/>
    <w:rsid w:val="7A6008BB"/>
    <w:rsid w:val="7A7A1FB1"/>
    <w:rsid w:val="7A7DD71F"/>
    <w:rsid w:val="7A9DC44F"/>
    <w:rsid w:val="7AA4AA63"/>
    <w:rsid w:val="7AA90E9A"/>
    <w:rsid w:val="7AAB225E"/>
    <w:rsid w:val="7AB98FF7"/>
    <w:rsid w:val="7ABD02E1"/>
    <w:rsid w:val="7AC3CE94"/>
    <w:rsid w:val="7ADA6CD1"/>
    <w:rsid w:val="7ADB6C07"/>
    <w:rsid w:val="7B113EF1"/>
    <w:rsid w:val="7B116D40"/>
    <w:rsid w:val="7B187FDF"/>
    <w:rsid w:val="7B2B3E02"/>
    <w:rsid w:val="7B372D7E"/>
    <w:rsid w:val="7B4916F9"/>
    <w:rsid w:val="7B4CBB69"/>
    <w:rsid w:val="7B4E7F39"/>
    <w:rsid w:val="7B57C0CB"/>
    <w:rsid w:val="7B585992"/>
    <w:rsid w:val="7B7EEC7B"/>
    <w:rsid w:val="7BA18CAF"/>
    <w:rsid w:val="7BB76D83"/>
    <w:rsid w:val="7BBAE609"/>
    <w:rsid w:val="7BBE4885"/>
    <w:rsid w:val="7BCF637C"/>
    <w:rsid w:val="7BD0EC34"/>
    <w:rsid w:val="7BD2B15B"/>
    <w:rsid w:val="7BDE9D74"/>
    <w:rsid w:val="7BE60237"/>
    <w:rsid w:val="7BEC32C3"/>
    <w:rsid w:val="7BF86B10"/>
    <w:rsid w:val="7C0F6FA3"/>
    <w:rsid w:val="7C11F132"/>
    <w:rsid w:val="7C23BB1B"/>
    <w:rsid w:val="7C2BC908"/>
    <w:rsid w:val="7C432CED"/>
    <w:rsid w:val="7C46F2BF"/>
    <w:rsid w:val="7C4B1227"/>
    <w:rsid w:val="7C4BB7CE"/>
    <w:rsid w:val="7C645B35"/>
    <w:rsid w:val="7C6CC413"/>
    <w:rsid w:val="7C95665D"/>
    <w:rsid w:val="7C987E2C"/>
    <w:rsid w:val="7CB58970"/>
    <w:rsid w:val="7CC8DD8B"/>
    <w:rsid w:val="7CDBB8DD"/>
    <w:rsid w:val="7CDF9B56"/>
    <w:rsid w:val="7CF40E2C"/>
    <w:rsid w:val="7CF8260E"/>
    <w:rsid w:val="7D1992DB"/>
    <w:rsid w:val="7D23A119"/>
    <w:rsid w:val="7D2E4E5A"/>
    <w:rsid w:val="7D3843F0"/>
    <w:rsid w:val="7D727263"/>
    <w:rsid w:val="7DAB1DA3"/>
    <w:rsid w:val="7DAB4D6F"/>
    <w:rsid w:val="7DC6F4FB"/>
    <w:rsid w:val="7DD3DD76"/>
    <w:rsid w:val="7DDE052F"/>
    <w:rsid w:val="7DF7A618"/>
    <w:rsid w:val="7E032FE7"/>
    <w:rsid w:val="7E257F38"/>
    <w:rsid w:val="7E289EE3"/>
    <w:rsid w:val="7E28AAB4"/>
    <w:rsid w:val="7E554280"/>
    <w:rsid w:val="7E683EE7"/>
    <w:rsid w:val="7E6EF698"/>
    <w:rsid w:val="7E7C1940"/>
    <w:rsid w:val="7E9AE6AD"/>
    <w:rsid w:val="7EA2FBEA"/>
    <w:rsid w:val="7EA7A05F"/>
    <w:rsid w:val="7EBF717A"/>
    <w:rsid w:val="7EDAE36A"/>
    <w:rsid w:val="7F084E31"/>
    <w:rsid w:val="7F2E984A"/>
    <w:rsid w:val="7F30A29B"/>
    <w:rsid w:val="7F438D74"/>
    <w:rsid w:val="7F7713F0"/>
    <w:rsid w:val="7F85DC3E"/>
    <w:rsid w:val="7F926F4B"/>
    <w:rsid w:val="7F9BA9FC"/>
    <w:rsid w:val="7FB4FD71"/>
    <w:rsid w:val="7FBADBEF"/>
    <w:rsid w:val="7FBBD486"/>
    <w:rsid w:val="7FCDDBF9"/>
    <w:rsid w:val="7FCE9215"/>
    <w:rsid w:val="7FF694C5"/>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ECABB25"/>
  <w15:docId w15:val="{90A57FDC-F03D-460A-ABE4-7D7FC8B734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semiHidden="1" w:unhideWhenUsed="1"/>
    <w:lsdException w:name="footer" w:semiHidden="1" w:uiPriority="99" w:unhideWhenUsed="1" w:qFormat="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qFormat="1"/>
    <w:lsdException w:name="line number" w:semiHidden="1" w:unhideWhenUsed="1"/>
    <w:lsdException w:name="page number" w:semiHidden="1" w:uiPriority="99"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30"/>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045D"/>
    <w:pPr>
      <w:jc w:val="both"/>
    </w:pPr>
    <w:rPr>
      <w:szCs w:val="24"/>
    </w:rPr>
  </w:style>
  <w:style w:type="paragraph" w:styleId="Heading1">
    <w:name w:val="heading 1"/>
    <w:basedOn w:val="Normal"/>
    <w:next w:val="Normal"/>
    <w:link w:val="Heading1Char"/>
    <w:qFormat/>
    <w:rsid w:val="00901804"/>
    <w:pPr>
      <w:keepNext/>
      <w:numPr>
        <w:numId w:val="1"/>
      </w:numPr>
      <w:pBdr>
        <w:top w:val="single" w:sz="4" w:space="1" w:color="auto"/>
      </w:pBdr>
      <w:suppressAutoHyphens/>
      <w:spacing w:before="104" w:after="226"/>
      <w:outlineLvl w:val="0"/>
    </w:pPr>
    <w:rPr>
      <w:rFonts w:asciiTheme="majorHAnsi" w:hAnsiTheme="majorHAnsi"/>
      <w:b/>
      <w:smallCaps/>
      <w:spacing w:val="-2"/>
      <w:sz w:val="28"/>
      <w:szCs w:val="20"/>
    </w:rPr>
  </w:style>
  <w:style w:type="paragraph" w:styleId="Heading2">
    <w:name w:val="heading 2"/>
    <w:basedOn w:val="Normal"/>
    <w:next w:val="Normal"/>
    <w:link w:val="Heading2Char1"/>
    <w:uiPriority w:val="9"/>
    <w:qFormat/>
    <w:rsid w:val="00E93DC1"/>
    <w:pPr>
      <w:keepNext/>
      <w:ind w:left="720"/>
      <w:outlineLvl w:val="1"/>
    </w:pPr>
    <w:rPr>
      <w:rFonts w:ascii="Arial Narrow" w:hAnsi="Arial Narrow"/>
      <w:b/>
      <w:bCs/>
    </w:rPr>
  </w:style>
  <w:style w:type="paragraph" w:styleId="Heading3">
    <w:name w:val="heading 3"/>
    <w:basedOn w:val="Normal"/>
    <w:next w:val="Normal"/>
    <w:link w:val="Heading3Char"/>
    <w:qFormat/>
    <w:rsid w:val="00E93DC1"/>
    <w:pPr>
      <w:keepNext/>
      <w:widowControl w:val="0"/>
      <w:tabs>
        <w:tab w:val="left" w:pos="2160"/>
        <w:tab w:val="left" w:pos="9360"/>
      </w:tabs>
      <w:outlineLvl w:val="2"/>
    </w:pPr>
    <w:rPr>
      <w:rFonts w:ascii="Courier" w:hAnsi="Courier"/>
      <w:b/>
      <w:sz w:val="28"/>
      <w:szCs w:val="20"/>
    </w:rPr>
  </w:style>
  <w:style w:type="paragraph" w:styleId="Heading4">
    <w:name w:val="heading 4"/>
    <w:basedOn w:val="Normal"/>
    <w:next w:val="Normal"/>
    <w:link w:val="Heading4Char"/>
    <w:qFormat/>
    <w:rsid w:val="00E93DC1"/>
    <w:pPr>
      <w:keepNext/>
      <w:widowControl w:val="0"/>
      <w:spacing w:after="540"/>
      <w:ind w:left="116"/>
      <w:outlineLvl w:val="3"/>
    </w:pPr>
    <w:rPr>
      <w:b/>
      <w:spacing w:val="15"/>
      <w:sz w:val="28"/>
    </w:rPr>
  </w:style>
  <w:style w:type="paragraph" w:styleId="Heading5">
    <w:name w:val="heading 5"/>
    <w:basedOn w:val="Normal"/>
    <w:next w:val="Normal"/>
    <w:link w:val="Heading5Char"/>
    <w:qFormat/>
    <w:rsid w:val="00525831"/>
    <w:pPr>
      <w:keepNext/>
      <w:pBdr>
        <w:top w:val="single" w:sz="4" w:space="1" w:color="auto"/>
        <w:left w:val="single" w:sz="4" w:space="4" w:color="auto"/>
        <w:bottom w:val="single" w:sz="4" w:space="1" w:color="auto"/>
        <w:right w:val="single" w:sz="4" w:space="4" w:color="auto"/>
      </w:pBdr>
      <w:spacing w:before="120" w:after="120"/>
      <w:jc w:val="center"/>
      <w:outlineLvl w:val="4"/>
    </w:pPr>
    <w:rPr>
      <w:b/>
      <w:bCs/>
      <w:sz w:val="24"/>
    </w:rPr>
  </w:style>
  <w:style w:type="paragraph" w:styleId="Heading6">
    <w:name w:val="heading 6"/>
    <w:basedOn w:val="Normal"/>
    <w:next w:val="Normal"/>
    <w:link w:val="Heading6Char"/>
    <w:qFormat/>
    <w:rsid w:val="00281711"/>
    <w:pPr>
      <w:keepNext/>
      <w:ind w:left="360"/>
      <w:jc w:val="left"/>
      <w:outlineLvl w:val="5"/>
    </w:pPr>
    <w:rPr>
      <w:rFonts w:ascii="Times New Roman" w:eastAsia="Times New Roman" w:hAnsi="Times New Roman"/>
      <w:b/>
      <w:bCs/>
      <w:smallCaps/>
      <w:sz w:val="24"/>
    </w:rPr>
  </w:style>
  <w:style w:type="paragraph" w:styleId="Heading7">
    <w:name w:val="heading 7"/>
    <w:basedOn w:val="Normal"/>
    <w:next w:val="Normal"/>
    <w:link w:val="Heading7Char"/>
    <w:qFormat/>
    <w:rsid w:val="00281711"/>
    <w:pPr>
      <w:keepNext/>
      <w:jc w:val="left"/>
      <w:outlineLvl w:val="6"/>
    </w:pPr>
    <w:rPr>
      <w:rFonts w:ascii="Times New Roman" w:eastAsia="Times New Roman" w:hAnsi="Times New Roman"/>
      <w:b/>
      <w:bCs/>
    </w:rPr>
  </w:style>
  <w:style w:type="paragraph" w:styleId="Heading8">
    <w:name w:val="heading 8"/>
    <w:basedOn w:val="Normal"/>
    <w:next w:val="Normal"/>
    <w:link w:val="Heading8Char"/>
    <w:unhideWhenUsed/>
    <w:qFormat/>
    <w:rsid w:val="000923DC"/>
    <w:pPr>
      <w:spacing w:before="240"/>
      <w:outlineLvl w:val="7"/>
    </w:pPr>
    <w:rPr>
      <w:i/>
      <w:iCs/>
      <w:sz w:val="24"/>
    </w:rPr>
  </w:style>
  <w:style w:type="paragraph" w:styleId="Heading9">
    <w:name w:val="heading 9"/>
    <w:basedOn w:val="Normal"/>
    <w:next w:val="Normal"/>
    <w:link w:val="Heading9Char"/>
    <w:qFormat/>
    <w:rsid w:val="00281711"/>
    <w:pPr>
      <w:keepNext/>
      <w:framePr w:w="3801" w:h="4681" w:hSpace="180" w:wrap="around" w:vAnchor="text" w:hAnchor="page" w:x="7141" w:y="1441"/>
      <w:jc w:val="left"/>
      <w:outlineLvl w:val="8"/>
    </w:pPr>
    <w:rPr>
      <w:rFonts w:ascii="Times New Roman" w:eastAsia="Times New Roman" w:hAnsi="Times New Roman"/>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semiHidden/>
    <w:rsid w:val="00D260B0"/>
    <w:rPr>
      <w:rFonts w:ascii="Tahoma" w:hAnsi="Tahoma" w:cs="Tahoma"/>
      <w:sz w:val="16"/>
      <w:szCs w:val="16"/>
    </w:rPr>
  </w:style>
  <w:style w:type="character" w:customStyle="1" w:styleId="Heading1Char">
    <w:name w:val="Heading 1 Char"/>
    <w:link w:val="Heading1"/>
    <w:locked/>
    <w:rsid w:val="00901804"/>
    <w:rPr>
      <w:rFonts w:asciiTheme="majorHAnsi" w:hAnsiTheme="majorHAnsi"/>
      <w:b/>
      <w:smallCaps/>
      <w:spacing w:val="-2"/>
      <w:sz w:val="28"/>
    </w:rPr>
  </w:style>
  <w:style w:type="character" w:customStyle="1" w:styleId="Heading2Char1">
    <w:name w:val="Heading 2 Char1"/>
    <w:link w:val="Heading2"/>
    <w:locked/>
    <w:rsid w:val="00CB0802"/>
    <w:rPr>
      <w:rFonts w:ascii="Cambria" w:hAnsi="Cambria" w:cs="Times New Roman"/>
      <w:b/>
      <w:bCs/>
      <w:i/>
      <w:iCs/>
      <w:sz w:val="28"/>
      <w:szCs w:val="28"/>
      <w:lang w:val="en-GB"/>
    </w:rPr>
  </w:style>
  <w:style w:type="character" w:customStyle="1" w:styleId="Heading3Char">
    <w:name w:val="Heading 3 Char"/>
    <w:link w:val="Heading3"/>
    <w:locked/>
    <w:rsid w:val="00CB0802"/>
    <w:rPr>
      <w:rFonts w:ascii="Cambria" w:hAnsi="Cambria" w:cs="Times New Roman"/>
      <w:b/>
      <w:bCs/>
      <w:sz w:val="26"/>
      <w:szCs w:val="26"/>
      <w:lang w:val="en-GB"/>
    </w:rPr>
  </w:style>
  <w:style w:type="character" w:customStyle="1" w:styleId="Heading4Char">
    <w:name w:val="Heading 4 Char"/>
    <w:link w:val="Heading4"/>
    <w:locked/>
    <w:rsid w:val="00CB0802"/>
    <w:rPr>
      <w:rFonts w:ascii="Calibri" w:hAnsi="Calibri" w:cs="Times New Roman"/>
      <w:b/>
      <w:bCs/>
      <w:sz w:val="28"/>
      <w:szCs w:val="28"/>
      <w:lang w:val="en-GB"/>
    </w:rPr>
  </w:style>
  <w:style w:type="character" w:customStyle="1" w:styleId="Heading5Char">
    <w:name w:val="Heading 5 Char"/>
    <w:link w:val="Heading5"/>
    <w:locked/>
    <w:rsid w:val="00CB0802"/>
    <w:rPr>
      <w:rFonts w:ascii="Calibri" w:hAnsi="Calibri" w:cs="Times New Roman"/>
      <w:b/>
      <w:bCs/>
      <w:i/>
      <w:iCs/>
      <w:sz w:val="26"/>
      <w:szCs w:val="26"/>
      <w:lang w:val="en-GB"/>
    </w:rPr>
  </w:style>
  <w:style w:type="paragraph" w:styleId="Header">
    <w:name w:val="header"/>
    <w:basedOn w:val="Normal"/>
    <w:link w:val="HeaderChar"/>
    <w:rsid w:val="00E93DC1"/>
    <w:pPr>
      <w:tabs>
        <w:tab w:val="center" w:pos="4153"/>
        <w:tab w:val="right" w:pos="8306"/>
      </w:tabs>
    </w:pPr>
  </w:style>
  <w:style w:type="character" w:customStyle="1" w:styleId="HeaderChar">
    <w:name w:val="Header Char"/>
    <w:link w:val="Header"/>
    <w:uiPriority w:val="99"/>
    <w:locked/>
    <w:rsid w:val="00CB0802"/>
    <w:rPr>
      <w:rFonts w:ascii="Arial" w:hAnsi="Arial" w:cs="Times New Roman"/>
      <w:sz w:val="24"/>
      <w:szCs w:val="24"/>
      <w:lang w:val="en-GB"/>
    </w:rPr>
  </w:style>
  <w:style w:type="paragraph" w:styleId="Footer">
    <w:name w:val="footer"/>
    <w:basedOn w:val="Normal"/>
    <w:link w:val="FooterChar"/>
    <w:uiPriority w:val="99"/>
    <w:qFormat/>
    <w:rsid w:val="00E93DC1"/>
    <w:pPr>
      <w:tabs>
        <w:tab w:val="center" w:pos="4153"/>
        <w:tab w:val="right" w:pos="8306"/>
      </w:tabs>
    </w:pPr>
  </w:style>
  <w:style w:type="character" w:customStyle="1" w:styleId="FooterChar">
    <w:name w:val="Footer Char"/>
    <w:link w:val="Footer"/>
    <w:uiPriority w:val="99"/>
    <w:qFormat/>
    <w:locked/>
    <w:rsid w:val="00CB0802"/>
    <w:rPr>
      <w:rFonts w:ascii="Arial" w:hAnsi="Arial" w:cs="Times New Roman"/>
      <w:sz w:val="24"/>
      <w:szCs w:val="24"/>
      <w:lang w:val="en-GB"/>
    </w:rPr>
  </w:style>
  <w:style w:type="character" w:styleId="PageNumber">
    <w:name w:val="page number"/>
    <w:uiPriority w:val="99"/>
    <w:rsid w:val="00E93DC1"/>
    <w:rPr>
      <w:rFonts w:cs="Times New Roman"/>
    </w:rPr>
  </w:style>
  <w:style w:type="paragraph" w:styleId="FootnoteText">
    <w:name w:val="footnote text"/>
    <w:aliases w:val="Geneva 9,Font: Geneva 9,Boston 10,f,single space,footnote text,Footnote,otnote Text,Footnote Text Char Char Char,Footnote Text Char Char Char Char Char Char Char,Footnote Text Char Char Char Char Char,Footnotes,Footnote Text Char Char1,fn"/>
    <w:basedOn w:val="Normal"/>
    <w:link w:val="FootnoteTextChar1"/>
    <w:uiPriority w:val="99"/>
    <w:qFormat/>
    <w:rsid w:val="00281711"/>
    <w:pPr>
      <w:widowControl w:val="0"/>
      <w:spacing w:after="40"/>
      <w:jc w:val="left"/>
    </w:pPr>
    <w:rPr>
      <w:rFonts w:asciiTheme="minorHAnsi" w:hAnsiTheme="minorHAnsi"/>
      <w:sz w:val="18"/>
      <w:szCs w:val="20"/>
    </w:rPr>
  </w:style>
  <w:style w:type="character" w:customStyle="1" w:styleId="FootnoteTextChar1">
    <w:name w:val="Footnote Text Char1"/>
    <w:aliases w:val="Geneva 9 Char,Font: Geneva 9 Char,Boston 10 Char,f Char,single space Char,footnote text Char,Footnote Char,otnote Text Char,Footnote Text Char Char Char Char1,Footnote Text Char Char Char Char Char Char Char Char1,Footnotes Char"/>
    <w:link w:val="FootnoteText"/>
    <w:uiPriority w:val="99"/>
    <w:qFormat/>
    <w:locked/>
    <w:rsid w:val="00281711"/>
    <w:rPr>
      <w:rFonts w:asciiTheme="minorHAnsi" w:hAnsiTheme="minorHAnsi"/>
      <w:sz w:val="18"/>
      <w:lang w:val="en-GB"/>
    </w:rPr>
  </w:style>
  <w:style w:type="paragraph" w:styleId="BodyText3">
    <w:name w:val="Body Text 3"/>
    <w:basedOn w:val="Normal"/>
    <w:link w:val="BodyText3Char"/>
    <w:rsid w:val="00E93DC1"/>
    <w:rPr>
      <w:szCs w:val="20"/>
    </w:rPr>
  </w:style>
  <w:style w:type="character" w:customStyle="1" w:styleId="BodyText3Char">
    <w:name w:val="Body Text 3 Char"/>
    <w:link w:val="BodyText3"/>
    <w:locked/>
    <w:rsid w:val="00CB0802"/>
    <w:rPr>
      <w:rFonts w:ascii="Arial" w:hAnsi="Arial" w:cs="Times New Roman"/>
      <w:sz w:val="16"/>
      <w:szCs w:val="16"/>
      <w:lang w:val="en-GB"/>
    </w:rPr>
  </w:style>
  <w:style w:type="paragraph" w:styleId="BodyTextIndent">
    <w:name w:val="Body Text Indent"/>
    <w:basedOn w:val="Normal"/>
    <w:link w:val="BodyTextIndentChar"/>
    <w:rsid w:val="00E93DC1"/>
    <w:pPr>
      <w:tabs>
        <w:tab w:val="left" w:pos="360"/>
      </w:tabs>
    </w:pPr>
    <w:rPr>
      <w:b/>
      <w:i/>
      <w:sz w:val="28"/>
      <w:szCs w:val="20"/>
    </w:rPr>
  </w:style>
  <w:style w:type="character" w:customStyle="1" w:styleId="BodyTextIndentChar">
    <w:name w:val="Body Text Indent Char"/>
    <w:link w:val="BodyTextIndent"/>
    <w:locked/>
    <w:rsid w:val="00CB0802"/>
    <w:rPr>
      <w:rFonts w:ascii="Arial" w:hAnsi="Arial" w:cs="Times New Roman"/>
      <w:sz w:val="24"/>
      <w:szCs w:val="24"/>
      <w:lang w:val="en-GB"/>
    </w:rPr>
  </w:style>
  <w:style w:type="character" w:styleId="Hyperlink">
    <w:name w:val="Hyperlink"/>
    <w:uiPriority w:val="99"/>
    <w:rsid w:val="00E93DC1"/>
    <w:rPr>
      <w:rFonts w:cs="Times New Roman"/>
      <w:color w:val="0000FF"/>
      <w:u w:val="single"/>
    </w:rPr>
  </w:style>
  <w:style w:type="character" w:styleId="FollowedHyperlink">
    <w:name w:val="FollowedHyperlink"/>
    <w:uiPriority w:val="99"/>
    <w:rsid w:val="00E93DC1"/>
    <w:rPr>
      <w:rFonts w:cs="Times New Roman"/>
      <w:color w:val="800080"/>
      <w:u w:val="single"/>
    </w:rPr>
  </w:style>
  <w:style w:type="paragraph" w:styleId="BodyText">
    <w:name w:val="Body Text"/>
    <w:basedOn w:val="Normal"/>
    <w:link w:val="BodyTextChar"/>
    <w:rsid w:val="00E93DC1"/>
    <w:pPr>
      <w:pBdr>
        <w:bottom w:val="single" w:sz="4" w:space="1" w:color="auto"/>
      </w:pBdr>
    </w:pPr>
    <w:rPr>
      <w:rFonts w:ascii="Arial Narrow" w:hAnsi="Arial Narrow"/>
      <w:i/>
      <w:iCs/>
    </w:rPr>
  </w:style>
  <w:style w:type="character" w:customStyle="1" w:styleId="BodyTextChar">
    <w:name w:val="Body Text Char"/>
    <w:link w:val="BodyText"/>
    <w:locked/>
    <w:rsid w:val="00CB0802"/>
    <w:rPr>
      <w:rFonts w:ascii="Arial" w:hAnsi="Arial" w:cs="Times New Roman"/>
      <w:sz w:val="24"/>
      <w:szCs w:val="24"/>
      <w:lang w:val="en-GB"/>
    </w:rPr>
  </w:style>
  <w:style w:type="paragraph" w:styleId="BodyText2">
    <w:name w:val="Body Text 2"/>
    <w:basedOn w:val="Normal"/>
    <w:link w:val="BodyText2Char"/>
    <w:rsid w:val="00E93DC1"/>
    <w:pPr>
      <w:spacing w:before="120" w:after="120"/>
    </w:pPr>
    <w:rPr>
      <w:rFonts w:ascii="Arial Narrow" w:hAnsi="Arial Narrow"/>
    </w:rPr>
  </w:style>
  <w:style w:type="character" w:customStyle="1" w:styleId="BodyText2Char">
    <w:name w:val="Body Text 2 Char"/>
    <w:link w:val="BodyText2"/>
    <w:locked/>
    <w:rsid w:val="00CB0802"/>
    <w:rPr>
      <w:rFonts w:ascii="Arial" w:hAnsi="Arial" w:cs="Times New Roman"/>
      <w:sz w:val="24"/>
      <w:szCs w:val="24"/>
      <w:lang w:val="en-GB"/>
    </w:rPr>
  </w:style>
  <w:style w:type="character" w:customStyle="1" w:styleId="BalloonTextChar">
    <w:name w:val="Balloon Text Char"/>
    <w:link w:val="BalloonText"/>
    <w:uiPriority w:val="99"/>
    <w:semiHidden/>
    <w:locked/>
    <w:rsid w:val="00CB0802"/>
    <w:rPr>
      <w:rFonts w:cs="Times New Roman"/>
      <w:sz w:val="2"/>
      <w:lang w:val="en-GB"/>
    </w:rPr>
  </w:style>
  <w:style w:type="character" w:styleId="CommentReference">
    <w:name w:val="annotation reference"/>
    <w:qFormat/>
    <w:rsid w:val="00EF6275"/>
    <w:rPr>
      <w:rFonts w:cs="Times New Roman"/>
      <w:sz w:val="16"/>
      <w:szCs w:val="16"/>
    </w:rPr>
  </w:style>
  <w:style w:type="paragraph" w:styleId="CommentText">
    <w:name w:val="annotation text"/>
    <w:basedOn w:val="Normal"/>
    <w:link w:val="CommentTextChar"/>
    <w:uiPriority w:val="99"/>
    <w:qFormat/>
    <w:rsid w:val="00EF6275"/>
    <w:rPr>
      <w:szCs w:val="20"/>
    </w:rPr>
  </w:style>
  <w:style w:type="character" w:customStyle="1" w:styleId="CommentTextChar">
    <w:name w:val="Comment Text Char"/>
    <w:link w:val="CommentText"/>
    <w:uiPriority w:val="99"/>
    <w:qFormat/>
    <w:locked/>
    <w:rsid w:val="00CB0802"/>
    <w:rPr>
      <w:rFonts w:ascii="Arial" w:hAnsi="Arial" w:cs="Times New Roman"/>
      <w:lang w:val="en-GB"/>
    </w:rPr>
  </w:style>
  <w:style w:type="paragraph" w:styleId="CommentSubject">
    <w:name w:val="annotation subject"/>
    <w:basedOn w:val="CommentText"/>
    <w:next w:val="CommentText"/>
    <w:link w:val="CommentSubjectChar"/>
    <w:rsid w:val="00EF6275"/>
    <w:rPr>
      <w:b/>
      <w:bCs/>
    </w:rPr>
  </w:style>
  <w:style w:type="character" w:customStyle="1" w:styleId="CommentSubjectChar">
    <w:name w:val="Comment Subject Char"/>
    <w:link w:val="CommentSubject"/>
    <w:locked/>
    <w:rsid w:val="00CB0802"/>
    <w:rPr>
      <w:rFonts w:ascii="Arial" w:hAnsi="Arial" w:cs="Times New Roman"/>
      <w:b/>
      <w:bCs/>
      <w:lang w:val="en-GB"/>
    </w:rPr>
  </w:style>
  <w:style w:type="table" w:styleId="TableGrid">
    <w:name w:val="Table Grid"/>
    <w:basedOn w:val="TableNormal"/>
    <w:uiPriority w:val="39"/>
    <w:qFormat/>
    <w:rsid w:val="002333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 webb,webb"/>
    <w:basedOn w:val="Normal"/>
    <w:uiPriority w:val="99"/>
    <w:qFormat/>
    <w:rsid w:val="00E663CF"/>
    <w:pPr>
      <w:spacing w:before="100" w:beforeAutospacing="1" w:after="100" w:afterAutospacing="1"/>
    </w:pPr>
    <w:rPr>
      <w:rFonts w:ascii="Times New Roman" w:hAnsi="Times New Roman"/>
      <w:sz w:val="24"/>
    </w:rPr>
  </w:style>
  <w:style w:type="character" w:styleId="Emphasis">
    <w:name w:val="Emphasis"/>
    <w:qFormat/>
    <w:rsid w:val="00F30150"/>
    <w:rPr>
      <w:rFonts w:cs="Times New Roman"/>
      <w:i/>
      <w:iCs/>
    </w:rPr>
  </w:style>
  <w:style w:type="character" w:styleId="FootnoteReference">
    <w:name w:val="footnote reference"/>
    <w:aliases w:val="16 Point,Superscript 6 Point,Superscript 6 Point + 11 pt,ftref,Footnote Reference Number,SUPERS,SUPERS1,SUPERS2,SUPERS3,BVI fnr,BVI fnr Car Car,BVI fnr Car,BVI fnr Car Car Car Car,FNRefe Char Char Char,BVI fnr Char Char Char, BVI fnr"/>
    <w:link w:val="CharCharCharCharCarChar"/>
    <w:uiPriority w:val="99"/>
    <w:qFormat/>
    <w:rsid w:val="00BF50E7"/>
    <w:rPr>
      <w:rFonts w:ascii="Arial" w:hAnsi="Arial" w:cs="Times New Roman"/>
      <w:sz w:val="18"/>
      <w:vertAlign w:val="superscript"/>
    </w:rPr>
  </w:style>
  <w:style w:type="paragraph" w:customStyle="1" w:styleId="Char">
    <w:name w:val="Char"/>
    <w:basedOn w:val="Heading2"/>
    <w:rsid w:val="00912142"/>
    <w:pPr>
      <w:pageBreakBefore/>
      <w:tabs>
        <w:tab w:val="left" w:pos="850"/>
        <w:tab w:val="left" w:pos="1191"/>
        <w:tab w:val="left" w:pos="1531"/>
      </w:tabs>
      <w:ind w:left="0"/>
      <w:jc w:val="center"/>
    </w:pPr>
    <w:rPr>
      <w:rFonts w:ascii="Tahoma" w:hAnsi="Tahoma" w:cs="Tahoma"/>
      <w:bCs w:val="0"/>
      <w:color w:val="FFFFFF"/>
      <w:spacing w:val="20"/>
      <w:szCs w:val="22"/>
      <w:lang w:eastAsia="zh-CN"/>
    </w:rPr>
  </w:style>
  <w:style w:type="paragraph" w:styleId="ListParagraph">
    <w:name w:val="List Paragraph"/>
    <w:aliases w:val="List Paragraph1,Project Profile name,Paragraphe de liste1,Numbered paragraph,Paragraphe de liste,Medium Grid 1 - Accent 21,List Paragraph (numbered (a)),Numbered List Paragraph,References,ReferencesCxSpLast,Table/Figure Heading,En tête 1"/>
    <w:basedOn w:val="Normal"/>
    <w:link w:val="ListParagraphChar"/>
    <w:uiPriority w:val="1"/>
    <w:qFormat/>
    <w:rsid w:val="00743B17"/>
  </w:style>
  <w:style w:type="paragraph" w:styleId="Title">
    <w:name w:val="Title"/>
    <w:aliases w:val="Bullet 1"/>
    <w:basedOn w:val="Normal"/>
    <w:link w:val="TitleChar"/>
    <w:qFormat/>
    <w:rsid w:val="00700D7C"/>
    <w:pPr>
      <w:pBdr>
        <w:top w:val="single" w:sz="4" w:space="1" w:color="auto"/>
        <w:left w:val="single" w:sz="4" w:space="4" w:color="auto"/>
        <w:bottom w:val="single" w:sz="4" w:space="1" w:color="auto"/>
        <w:right w:val="single" w:sz="4" w:space="4" w:color="auto"/>
      </w:pBdr>
      <w:spacing w:before="240"/>
      <w:jc w:val="center"/>
      <w:outlineLvl w:val="0"/>
    </w:pPr>
    <w:rPr>
      <w:rFonts w:cs="Arial"/>
      <w:b/>
      <w:bCs/>
      <w:kern w:val="28"/>
      <w:sz w:val="32"/>
      <w:szCs w:val="32"/>
    </w:rPr>
  </w:style>
  <w:style w:type="character" w:customStyle="1" w:styleId="TitleChar">
    <w:name w:val="Title Char"/>
    <w:aliases w:val="Bullet 1 Char"/>
    <w:link w:val="Title"/>
    <w:locked/>
    <w:rsid w:val="00CB0802"/>
    <w:rPr>
      <w:rFonts w:ascii="Cambria" w:hAnsi="Cambria" w:cs="Times New Roman"/>
      <w:b/>
      <w:bCs/>
      <w:kern w:val="28"/>
      <w:sz w:val="32"/>
      <w:szCs w:val="32"/>
      <w:lang w:val="en-GB"/>
    </w:rPr>
  </w:style>
  <w:style w:type="paragraph" w:customStyle="1" w:styleId="CharCharChar1">
    <w:name w:val="Char Char Char1"/>
    <w:basedOn w:val="Normal"/>
    <w:uiPriority w:val="99"/>
    <w:rsid w:val="00340E23"/>
    <w:pPr>
      <w:spacing w:after="160" w:line="240" w:lineRule="exact"/>
      <w:jc w:val="left"/>
    </w:pPr>
    <w:rPr>
      <w:rFonts w:cs="Arial"/>
      <w:szCs w:val="20"/>
    </w:rPr>
  </w:style>
  <w:style w:type="paragraph" w:customStyle="1" w:styleId="JFHeading3">
    <w:name w:val="JF Heading 3"/>
    <w:basedOn w:val="Heading3"/>
    <w:rsid w:val="0015737E"/>
    <w:pPr>
      <w:keepNext w:val="0"/>
      <w:widowControl/>
      <w:pBdr>
        <w:bottom w:val="dotted" w:sz="4" w:space="2" w:color="666666"/>
      </w:pBdr>
      <w:tabs>
        <w:tab w:val="clear" w:pos="2160"/>
        <w:tab w:val="clear" w:pos="9360"/>
      </w:tabs>
      <w:jc w:val="left"/>
    </w:pPr>
    <w:rPr>
      <w:rFonts w:ascii="Times New Roman" w:eastAsia="MS Mincho" w:hAnsi="Times New Roman"/>
      <w:b w:val="0"/>
      <w:i/>
      <w:sz w:val="22"/>
      <w:szCs w:val="22"/>
      <w:lang w:eastAsia="ja-JP"/>
    </w:rPr>
  </w:style>
  <w:style w:type="character" w:styleId="Strong">
    <w:name w:val="Strong"/>
    <w:qFormat/>
    <w:rsid w:val="00724288"/>
    <w:rPr>
      <w:rFonts w:cs="Times New Roman"/>
      <w:b/>
      <w:bCs/>
    </w:rPr>
  </w:style>
  <w:style w:type="paragraph" w:customStyle="1" w:styleId="Default">
    <w:name w:val="Default"/>
    <w:qFormat/>
    <w:rsid w:val="00724288"/>
    <w:pPr>
      <w:autoSpaceDE w:val="0"/>
      <w:autoSpaceDN w:val="0"/>
      <w:adjustRightInd w:val="0"/>
    </w:pPr>
    <w:rPr>
      <w:rFonts w:ascii="Arial" w:eastAsia="MS Mincho" w:hAnsi="Arial" w:cs="Arial"/>
      <w:color w:val="000000"/>
      <w:sz w:val="24"/>
      <w:szCs w:val="24"/>
      <w:lang w:eastAsia="ja-JP"/>
    </w:rPr>
  </w:style>
  <w:style w:type="paragraph" w:customStyle="1" w:styleId="bodyfont">
    <w:name w:val="bodyfont"/>
    <w:basedOn w:val="Normal"/>
    <w:rsid w:val="00724288"/>
    <w:pPr>
      <w:spacing w:before="100" w:beforeAutospacing="1" w:after="100" w:afterAutospacing="1"/>
      <w:jc w:val="left"/>
    </w:pPr>
    <w:rPr>
      <w:rFonts w:eastAsia="MS Mincho" w:cs="Arial"/>
      <w:sz w:val="12"/>
      <w:szCs w:val="12"/>
      <w:lang w:eastAsia="ja-JP"/>
    </w:rPr>
  </w:style>
  <w:style w:type="paragraph" w:customStyle="1" w:styleId="JFHeading1">
    <w:name w:val="JF Heading 1"/>
    <w:basedOn w:val="Heading1"/>
    <w:rsid w:val="00724288"/>
    <w:pPr>
      <w:pBdr>
        <w:top w:val="none" w:sz="0" w:space="0" w:color="auto"/>
      </w:pBdr>
      <w:suppressAutoHyphens w:val="0"/>
      <w:spacing w:before="240" w:after="60"/>
      <w:jc w:val="left"/>
    </w:pPr>
    <w:rPr>
      <w:rFonts w:ascii="Times New Roman" w:hAnsi="Times New Roman" w:cs="Arial"/>
      <w:bCs/>
      <w:smallCaps w:val="0"/>
      <w:spacing w:val="0"/>
      <w:kern w:val="32"/>
      <w:sz w:val="24"/>
      <w:szCs w:val="32"/>
      <w:u w:val="single"/>
    </w:rPr>
  </w:style>
  <w:style w:type="paragraph" w:customStyle="1" w:styleId="Pa2">
    <w:name w:val="Pa2"/>
    <w:basedOn w:val="Default"/>
    <w:next w:val="Default"/>
    <w:rsid w:val="00D37FAF"/>
    <w:pPr>
      <w:spacing w:line="191" w:lineRule="atLeast"/>
    </w:pPr>
    <w:rPr>
      <w:rFonts w:ascii="Adobe Garamond Pro" w:hAnsi="Adobe Garamond Pro" w:cs="Times New Roman"/>
      <w:color w:val="auto"/>
    </w:rPr>
  </w:style>
  <w:style w:type="character" w:customStyle="1" w:styleId="bodytag3">
    <w:name w:val="bodytag3"/>
    <w:rsid w:val="00D37FAF"/>
    <w:rPr>
      <w:rFonts w:ascii="Trebuchet MS" w:hAnsi="Trebuchet MS" w:cs="Times New Roman"/>
      <w:sz w:val="15"/>
      <w:szCs w:val="15"/>
    </w:rPr>
  </w:style>
  <w:style w:type="paragraph" w:styleId="EndnoteText">
    <w:name w:val="endnote text"/>
    <w:aliases w:val=" Char"/>
    <w:basedOn w:val="Normal"/>
    <w:link w:val="EndnoteTextChar"/>
    <w:uiPriority w:val="99"/>
    <w:rsid w:val="00D37FAF"/>
    <w:pPr>
      <w:jc w:val="left"/>
    </w:pPr>
    <w:rPr>
      <w:rFonts w:eastAsia="MS Mincho"/>
      <w:szCs w:val="20"/>
      <w:lang w:eastAsia="ja-JP"/>
    </w:rPr>
  </w:style>
  <w:style w:type="character" w:customStyle="1" w:styleId="EndnoteTextChar">
    <w:name w:val="Endnote Text Char"/>
    <w:aliases w:val=" Char Char"/>
    <w:link w:val="EndnoteText"/>
    <w:uiPriority w:val="99"/>
    <w:locked/>
    <w:rsid w:val="00CB0802"/>
    <w:rPr>
      <w:rFonts w:ascii="Arial" w:hAnsi="Arial" w:cs="Times New Roman"/>
      <w:lang w:val="en-GB"/>
    </w:rPr>
  </w:style>
  <w:style w:type="character" w:styleId="EndnoteReference">
    <w:name w:val="endnote reference"/>
    <w:uiPriority w:val="99"/>
    <w:rsid w:val="00D37FAF"/>
    <w:rPr>
      <w:rFonts w:cs="Times New Roman"/>
      <w:vertAlign w:val="superscript"/>
    </w:rPr>
  </w:style>
  <w:style w:type="character" w:customStyle="1" w:styleId="mw-headline">
    <w:name w:val="mw-headline"/>
    <w:rsid w:val="00AF7267"/>
    <w:rPr>
      <w:rFonts w:cs="Times New Roman"/>
    </w:rPr>
  </w:style>
  <w:style w:type="paragraph" w:customStyle="1" w:styleId="CharCharCharCharCharCharChar">
    <w:name w:val="Char Char Char Char Char Char Char"/>
    <w:basedOn w:val="Heading2"/>
    <w:rsid w:val="00BC22BB"/>
    <w:pPr>
      <w:pageBreakBefore/>
      <w:tabs>
        <w:tab w:val="left" w:pos="850"/>
        <w:tab w:val="left" w:pos="1191"/>
        <w:tab w:val="left" w:pos="1531"/>
      </w:tabs>
      <w:spacing w:before="120" w:after="120"/>
      <w:ind w:left="0"/>
      <w:jc w:val="center"/>
    </w:pPr>
    <w:rPr>
      <w:rFonts w:ascii="Tahoma" w:eastAsia="MS Mincho" w:hAnsi="Tahoma" w:cs="Tahoma"/>
      <w:bCs w:val="0"/>
      <w:color w:val="FFFFFF"/>
      <w:spacing w:val="20"/>
      <w:szCs w:val="22"/>
      <w:lang w:eastAsia="zh-CN"/>
    </w:rPr>
  </w:style>
  <w:style w:type="paragraph" w:customStyle="1" w:styleId="CarCar">
    <w:name w:val="Car Car"/>
    <w:basedOn w:val="Heading2"/>
    <w:rsid w:val="00AE562C"/>
    <w:pPr>
      <w:pageBreakBefore/>
      <w:tabs>
        <w:tab w:val="left" w:pos="850"/>
        <w:tab w:val="left" w:pos="1191"/>
        <w:tab w:val="left" w:pos="1531"/>
      </w:tabs>
      <w:spacing w:before="120" w:after="120"/>
      <w:ind w:left="0"/>
      <w:jc w:val="center"/>
    </w:pPr>
    <w:rPr>
      <w:rFonts w:ascii="Tahoma" w:eastAsia="MS Mincho" w:hAnsi="Tahoma" w:cs="Tahoma"/>
      <w:bCs w:val="0"/>
      <w:color w:val="FFFFFF"/>
      <w:spacing w:val="20"/>
      <w:szCs w:val="22"/>
      <w:lang w:eastAsia="zh-CN"/>
    </w:rPr>
  </w:style>
  <w:style w:type="paragraph" w:customStyle="1" w:styleId="Arial">
    <w:name w:val="Arial"/>
    <w:basedOn w:val="Normal"/>
    <w:rsid w:val="00544099"/>
    <w:rPr>
      <w:rFonts w:ascii="Arial Narrow" w:hAnsi="Arial Narrow" w:cs="Arial"/>
      <w:szCs w:val="20"/>
    </w:rPr>
  </w:style>
  <w:style w:type="paragraph" w:customStyle="1" w:styleId="Paragraph">
    <w:name w:val="Paragraph"/>
    <w:basedOn w:val="Normal"/>
    <w:link w:val="ParagraphChar"/>
    <w:qFormat/>
    <w:rsid w:val="000D00F9"/>
    <w:pPr>
      <w:numPr>
        <w:numId w:val="2"/>
      </w:numPr>
      <w:spacing w:after="240"/>
      <w:jc w:val="left"/>
    </w:pPr>
    <w:rPr>
      <w:rFonts w:ascii="Times New Roman" w:hAnsi="Times New Roman" w:cs="Angsana New"/>
      <w:noProof/>
      <w:szCs w:val="22"/>
    </w:rPr>
  </w:style>
  <w:style w:type="character" w:customStyle="1" w:styleId="ParagraphChar">
    <w:name w:val="Paragraph Char"/>
    <w:link w:val="Paragraph"/>
    <w:rsid w:val="000D00F9"/>
    <w:rPr>
      <w:rFonts w:ascii="Times New Roman" w:hAnsi="Times New Roman" w:cs="Angsana New"/>
      <w:noProof/>
      <w:szCs w:val="22"/>
    </w:rPr>
  </w:style>
  <w:style w:type="paragraph" w:customStyle="1" w:styleId="Bullets">
    <w:name w:val="Bullets"/>
    <w:basedOn w:val="Paragraph"/>
    <w:link w:val="BulletsChar"/>
    <w:qFormat/>
    <w:rsid w:val="000D00F9"/>
    <w:pPr>
      <w:numPr>
        <w:numId w:val="3"/>
      </w:numPr>
      <w:spacing w:before="60" w:after="0"/>
    </w:pPr>
  </w:style>
  <w:style w:type="character" w:customStyle="1" w:styleId="BulletsChar">
    <w:name w:val="Bullets Char"/>
    <w:aliases w:val="Light Grid - Accent 3 Char,Akapit z listą BS Char,Bullet1 Char,Citation List Char,Ha Char,List_Paragraph Char,Liste 1 Char,Main numbered paragraph Char,Multilevel para_II Char"/>
    <w:link w:val="Bullets"/>
    <w:qFormat/>
    <w:rsid w:val="000D00F9"/>
    <w:rPr>
      <w:rFonts w:ascii="Times New Roman" w:hAnsi="Times New Roman" w:cs="Angsana New"/>
      <w:noProof/>
      <w:szCs w:val="22"/>
    </w:rPr>
  </w:style>
  <w:style w:type="paragraph" w:styleId="TOC2">
    <w:name w:val="toc 2"/>
    <w:basedOn w:val="Normal"/>
    <w:next w:val="Normal"/>
    <w:autoRedefine/>
    <w:uiPriority w:val="39"/>
    <w:locked/>
    <w:rsid w:val="00564BF4"/>
    <w:pPr>
      <w:tabs>
        <w:tab w:val="right" w:leader="dot" w:pos="9016"/>
      </w:tabs>
      <w:ind w:left="220"/>
    </w:pPr>
  </w:style>
  <w:style w:type="paragraph" w:styleId="TOC1">
    <w:name w:val="toc 1"/>
    <w:basedOn w:val="Normal"/>
    <w:next w:val="Normal"/>
    <w:autoRedefine/>
    <w:uiPriority w:val="39"/>
    <w:locked/>
    <w:rsid w:val="00B46AF6"/>
    <w:pPr>
      <w:tabs>
        <w:tab w:val="left" w:pos="540"/>
        <w:tab w:val="right" w:leader="dot" w:pos="9304"/>
      </w:tabs>
    </w:pPr>
  </w:style>
  <w:style w:type="character" w:customStyle="1" w:styleId="Heading2Char">
    <w:name w:val="Heading 2 Char"/>
    <w:uiPriority w:val="9"/>
    <w:locked/>
    <w:rsid w:val="00720790"/>
    <w:rPr>
      <w:rFonts w:ascii="Cambria" w:hAnsi="Cambria" w:cs="Times New Roman"/>
      <w:b/>
      <w:bCs/>
      <w:i/>
      <w:iCs/>
      <w:sz w:val="28"/>
      <w:szCs w:val="28"/>
      <w:lang w:val="en-GB"/>
    </w:rPr>
  </w:style>
  <w:style w:type="character" w:customStyle="1" w:styleId="FootnoteTextChar">
    <w:name w:val="Footnote Text Char"/>
    <w:aliases w:val="Footnote Text Char Char Char Char,Footnote Text Char Char Char Char Char Char Char Char,Footnote Text Char Char Char Char Char Char1,Footnote Text Char Char Char Char Char Char Char1,Footnote Text Char Char Char Char Ch Char Char"/>
    <w:uiPriority w:val="99"/>
    <w:qFormat/>
    <w:locked/>
    <w:rsid w:val="00720790"/>
    <w:rPr>
      <w:rFonts w:ascii="Arial" w:hAnsi="Arial" w:cs="Times New Roman"/>
      <w:lang w:val="en-GB"/>
    </w:rPr>
  </w:style>
  <w:style w:type="paragraph" w:customStyle="1" w:styleId="Normalbullets">
    <w:name w:val="Normal bullets"/>
    <w:basedOn w:val="Normal"/>
    <w:rsid w:val="003847E4"/>
    <w:pPr>
      <w:numPr>
        <w:numId w:val="4"/>
      </w:numPr>
    </w:pPr>
  </w:style>
  <w:style w:type="paragraph" w:customStyle="1" w:styleId="Text">
    <w:name w:val="Text"/>
    <w:basedOn w:val="Normal"/>
    <w:rsid w:val="00C26FEC"/>
    <w:pPr>
      <w:spacing w:before="240" w:line="252" w:lineRule="auto"/>
    </w:pPr>
    <w:rPr>
      <w:rFonts w:ascii="Times New Roman" w:hAnsi="Times New Roman"/>
      <w:szCs w:val="20"/>
    </w:rPr>
  </w:style>
  <w:style w:type="paragraph" w:customStyle="1" w:styleId="CharCharChar11">
    <w:name w:val="Char Char Char11"/>
    <w:basedOn w:val="Normal"/>
    <w:rsid w:val="00B27E19"/>
    <w:pPr>
      <w:spacing w:after="160" w:line="240" w:lineRule="exact"/>
      <w:jc w:val="left"/>
    </w:pPr>
    <w:rPr>
      <w:rFonts w:cs="Arial"/>
      <w:szCs w:val="20"/>
    </w:rPr>
  </w:style>
  <w:style w:type="paragraph" w:customStyle="1" w:styleId="BodyText23">
    <w:name w:val="Body Text 23"/>
    <w:basedOn w:val="Normal"/>
    <w:rsid w:val="00B27E19"/>
    <w:pPr>
      <w:widowControl w:val="0"/>
      <w:tabs>
        <w:tab w:val="left" w:pos="547"/>
      </w:tabs>
      <w:jc w:val="left"/>
    </w:pPr>
    <w:rPr>
      <w:rFonts w:ascii="Times New Roman" w:hAnsi="Times New Roman"/>
      <w:snapToGrid w:val="0"/>
      <w:szCs w:val="20"/>
    </w:rPr>
  </w:style>
  <w:style w:type="paragraph" w:styleId="Caption">
    <w:name w:val="caption"/>
    <w:basedOn w:val="Normal"/>
    <w:next w:val="Normal"/>
    <w:link w:val="CaptionChar"/>
    <w:qFormat/>
    <w:rsid w:val="0072016A"/>
    <w:pPr>
      <w:spacing w:before="60" w:after="60"/>
      <w:jc w:val="center"/>
    </w:pPr>
    <w:rPr>
      <w:b/>
      <w:bCs/>
      <w:i/>
    </w:rPr>
  </w:style>
  <w:style w:type="paragraph" w:customStyle="1" w:styleId="TableT">
    <w:name w:val="TableT"/>
    <w:basedOn w:val="Normal"/>
    <w:autoRedefine/>
    <w:rsid w:val="00550BAE"/>
    <w:pPr>
      <w:jc w:val="left"/>
    </w:pPr>
    <w:rPr>
      <w:rFonts w:ascii="Times New Roman" w:hAnsi="Times New Roman"/>
      <w:noProof/>
      <w:szCs w:val="20"/>
    </w:rPr>
  </w:style>
  <w:style w:type="paragraph" w:customStyle="1" w:styleId="ParaCharChar">
    <w:name w:val="Para Char Char"/>
    <w:basedOn w:val="Normal"/>
    <w:link w:val="ParaCharCharChar"/>
    <w:autoRedefine/>
    <w:rsid w:val="00597DEC"/>
    <w:p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ind w:right="-7"/>
      <w:jc w:val="left"/>
    </w:pPr>
    <w:rPr>
      <w:rFonts w:eastAsia="Arial Unicode MS" w:cs="Arial"/>
      <w:szCs w:val="20"/>
    </w:rPr>
  </w:style>
  <w:style w:type="character" w:customStyle="1" w:styleId="ParaCharCharChar">
    <w:name w:val="Para Char Char Char"/>
    <w:link w:val="ParaCharChar"/>
    <w:rsid w:val="00597DEC"/>
    <w:rPr>
      <w:rFonts w:ascii="Calibri" w:eastAsia="Arial Unicode MS" w:hAnsi="Calibri" w:cs="Arial"/>
      <w:lang w:val="en-GB"/>
    </w:rPr>
  </w:style>
  <w:style w:type="paragraph" w:customStyle="1" w:styleId="TableHCharCharChar">
    <w:name w:val="TableH Char Char Char"/>
    <w:basedOn w:val="Normal"/>
    <w:link w:val="TableHCharCharCharChar"/>
    <w:autoRedefine/>
    <w:rsid w:val="00E43E88"/>
    <w:pPr>
      <w:spacing w:before="240"/>
      <w:jc w:val="left"/>
    </w:pPr>
    <w:rPr>
      <w:rFonts w:ascii="Times New Roman" w:hAnsi="Times New Roman"/>
      <w:b/>
      <w:sz w:val="21"/>
      <w:szCs w:val="22"/>
    </w:rPr>
  </w:style>
  <w:style w:type="character" w:customStyle="1" w:styleId="TableHCharCharCharChar">
    <w:name w:val="TableH Char Char Char Char"/>
    <w:link w:val="TableHCharCharChar"/>
    <w:rsid w:val="00E43E88"/>
    <w:rPr>
      <w:b/>
      <w:sz w:val="21"/>
      <w:szCs w:val="22"/>
    </w:rPr>
  </w:style>
  <w:style w:type="character" w:customStyle="1" w:styleId="Heading8Char">
    <w:name w:val="Heading 8 Char"/>
    <w:link w:val="Heading8"/>
    <w:rsid w:val="000923DC"/>
    <w:rPr>
      <w:rFonts w:ascii="Calibri" w:eastAsia="Times New Roman" w:hAnsi="Calibri" w:cs="Times New Roman"/>
      <w:i/>
      <w:iCs/>
      <w:sz w:val="24"/>
      <w:szCs w:val="24"/>
      <w:lang w:val="en-GB"/>
    </w:rPr>
  </w:style>
  <w:style w:type="character" w:customStyle="1" w:styleId="highlighttext">
    <w:name w:val="highlighttext"/>
    <w:rsid w:val="00CA725C"/>
    <w:rPr>
      <w:rFonts w:ascii="Times New Roman" w:hAnsi="Times New Roman"/>
      <w:sz w:val="22"/>
      <w:bdr w:val="none" w:sz="0" w:space="0" w:color="auto"/>
      <w:shd w:val="clear" w:color="auto" w:fill="B3B3B3"/>
    </w:rPr>
  </w:style>
  <w:style w:type="paragraph" w:customStyle="1" w:styleId="steptext">
    <w:name w:val="steptext"/>
    <w:basedOn w:val="Normal"/>
    <w:rsid w:val="00CA725C"/>
    <w:pPr>
      <w:jc w:val="left"/>
    </w:pPr>
    <w:rPr>
      <w:rFonts w:ascii="Times New Roman" w:hAnsi="Times New Roman"/>
    </w:rPr>
  </w:style>
  <w:style w:type="paragraph" w:customStyle="1" w:styleId="NumberedList2">
    <w:name w:val="Numbered List 2"/>
    <w:aliases w:val="nl2"/>
    <w:basedOn w:val="Normal"/>
    <w:rsid w:val="00CA725C"/>
    <w:pPr>
      <w:spacing w:line="240" w:lineRule="atLeast"/>
      <w:ind w:hanging="360"/>
      <w:jc w:val="left"/>
    </w:pPr>
    <w:rPr>
      <w:rFonts w:ascii="Arial Unicode MS" w:hAnsi="Arial Unicode MS"/>
      <w:szCs w:val="22"/>
    </w:rPr>
  </w:style>
  <w:style w:type="paragraph" w:customStyle="1" w:styleId="CharChar">
    <w:name w:val="Char Char Знак Знак"/>
    <w:basedOn w:val="Normal"/>
    <w:rsid w:val="00E61BB0"/>
    <w:pPr>
      <w:spacing w:after="160" w:line="240" w:lineRule="exact"/>
      <w:jc w:val="left"/>
    </w:pPr>
    <w:rPr>
      <w:rFonts w:ascii="Times New Roman" w:hAnsi="Times New Roman" w:cs="Arial"/>
      <w:szCs w:val="20"/>
      <w:lang w:val="de-CH" w:eastAsia="de-CH"/>
    </w:rPr>
  </w:style>
  <w:style w:type="paragraph" w:styleId="PlainText">
    <w:name w:val="Plain Text"/>
    <w:basedOn w:val="Normal"/>
    <w:link w:val="PlainTextChar"/>
    <w:uiPriority w:val="99"/>
    <w:unhideWhenUsed/>
    <w:rsid w:val="00FC1F80"/>
    <w:pPr>
      <w:jc w:val="left"/>
    </w:pPr>
    <w:rPr>
      <w:rFonts w:ascii="Consolas" w:eastAsia="Calibri" w:hAnsi="Consolas"/>
      <w:sz w:val="21"/>
      <w:szCs w:val="21"/>
    </w:rPr>
  </w:style>
  <w:style w:type="character" w:customStyle="1" w:styleId="PlainTextChar">
    <w:name w:val="Plain Text Char"/>
    <w:link w:val="PlainText"/>
    <w:uiPriority w:val="99"/>
    <w:rsid w:val="00FC1F80"/>
    <w:rPr>
      <w:rFonts w:ascii="Consolas" w:eastAsia="Calibri" w:hAnsi="Consolas"/>
      <w:sz w:val="21"/>
      <w:szCs w:val="21"/>
    </w:rPr>
  </w:style>
  <w:style w:type="paragraph" w:styleId="TOCHeading">
    <w:name w:val="TOC Heading"/>
    <w:basedOn w:val="Heading1"/>
    <w:next w:val="Normal"/>
    <w:uiPriority w:val="39"/>
    <w:unhideWhenUsed/>
    <w:qFormat/>
    <w:rsid w:val="006B67FA"/>
    <w:pPr>
      <w:keepLines/>
      <w:numPr>
        <w:numId w:val="0"/>
      </w:numPr>
      <w:pBdr>
        <w:top w:val="none" w:sz="0" w:space="0" w:color="auto"/>
      </w:pBdr>
      <w:suppressAutoHyphens w:val="0"/>
      <w:spacing w:before="480" w:after="0" w:line="276" w:lineRule="auto"/>
      <w:jc w:val="left"/>
      <w:outlineLvl w:val="9"/>
    </w:pPr>
    <w:rPr>
      <w:rFonts w:ascii="Cambria" w:hAnsi="Cambria"/>
      <w:bCs/>
      <w:smallCaps w:val="0"/>
      <w:color w:val="365F91"/>
      <w:spacing w:val="0"/>
      <w:szCs w:val="28"/>
    </w:rPr>
  </w:style>
  <w:style w:type="paragraph" w:styleId="NoSpacing">
    <w:name w:val="No Spacing"/>
    <w:link w:val="NoSpacingChar"/>
    <w:uiPriority w:val="1"/>
    <w:qFormat/>
    <w:rsid w:val="002E20A1"/>
    <w:rPr>
      <w:rFonts w:asciiTheme="minorHAnsi" w:eastAsia="Times" w:hAnsiTheme="minorHAnsi"/>
      <w:szCs w:val="24"/>
    </w:rPr>
  </w:style>
  <w:style w:type="character" w:customStyle="1" w:styleId="NoSpacingChar">
    <w:name w:val="No Spacing Char"/>
    <w:link w:val="NoSpacing"/>
    <w:uiPriority w:val="1"/>
    <w:rsid w:val="002E20A1"/>
    <w:rPr>
      <w:rFonts w:asciiTheme="minorHAnsi" w:eastAsia="Times" w:hAnsiTheme="minorHAnsi"/>
      <w:szCs w:val="24"/>
    </w:rPr>
  </w:style>
  <w:style w:type="character" w:customStyle="1" w:styleId="ListParagraphChar">
    <w:name w:val="List Paragraph Char"/>
    <w:aliases w:val="List Paragraph1 Char,Project Profile name Char,Paragraphe de liste1 Char,Numbered paragraph Char,Paragraphe de liste Char,Medium Grid 1 - Accent 21 Char,List Paragraph (numbered (a)) Char,Numbered List Paragraph Char,References Char"/>
    <w:link w:val="ListParagraph"/>
    <w:uiPriority w:val="34"/>
    <w:qFormat/>
    <w:rsid w:val="00743B17"/>
    <w:rPr>
      <w:szCs w:val="24"/>
      <w:lang w:val="en-GB"/>
    </w:rPr>
  </w:style>
  <w:style w:type="character" w:customStyle="1" w:styleId="PlainTextChar1">
    <w:name w:val="Plain Text Char1"/>
    <w:uiPriority w:val="99"/>
    <w:locked/>
    <w:rsid w:val="00666A76"/>
    <w:rPr>
      <w:rFonts w:ascii="Consolas" w:eastAsia="Times New Roman" w:hAnsi="Consolas" w:cs="Times New Roman"/>
      <w:sz w:val="20"/>
      <w:szCs w:val="20"/>
    </w:rPr>
  </w:style>
  <w:style w:type="character" w:styleId="IntenseReference">
    <w:name w:val="Intense Reference"/>
    <w:uiPriority w:val="32"/>
    <w:qFormat/>
    <w:rsid w:val="00DA4B58"/>
    <w:rPr>
      <w:b/>
      <w:bCs/>
      <w:smallCaps/>
      <w:color w:val="C0504D"/>
      <w:spacing w:val="5"/>
      <w:u w:val="single"/>
    </w:rPr>
  </w:style>
  <w:style w:type="character" w:customStyle="1" w:styleId="StyleHeading2NotBoldChar">
    <w:name w:val="Style Heading 2 + Not Bold Char"/>
    <w:rsid w:val="00DA4B58"/>
    <w:rPr>
      <w:rFonts w:ascii="Book Antiqua" w:hAnsi="Book Antiqua" w:cs="Arial"/>
      <w:b/>
      <w:i/>
      <w:sz w:val="22"/>
      <w:szCs w:val="28"/>
      <w:lang w:val="en-US" w:eastAsia="ar-SA"/>
    </w:rPr>
  </w:style>
  <w:style w:type="character" w:customStyle="1" w:styleId="apple-converted-space">
    <w:name w:val="apple-converted-space"/>
    <w:basedOn w:val="DefaultParagraphFont"/>
    <w:qFormat/>
    <w:rsid w:val="00655B9D"/>
  </w:style>
  <w:style w:type="paragraph" w:customStyle="1" w:styleId="Normal1">
    <w:name w:val="Normal1"/>
    <w:basedOn w:val="Normal"/>
    <w:next w:val="Normal"/>
    <w:rsid w:val="00901804"/>
    <w:pPr>
      <w:numPr>
        <w:numId w:val="6"/>
      </w:numPr>
      <w:jc w:val="left"/>
    </w:pPr>
    <w:rPr>
      <w:rFonts w:eastAsia="Times New Roman"/>
      <w:noProof/>
      <w:lang w:eastAsia="ja-JP"/>
    </w:rPr>
  </w:style>
  <w:style w:type="character" w:customStyle="1" w:styleId="ColorfulList-Accent1Char">
    <w:name w:val="Colorful List - Accent 1 Char"/>
    <w:link w:val="ColorfulList-Accent12"/>
    <w:uiPriority w:val="34"/>
    <w:locked/>
    <w:rsid w:val="00007B01"/>
  </w:style>
  <w:style w:type="paragraph" w:customStyle="1" w:styleId="ColorfulList-Accent12">
    <w:name w:val="Colorful List - Accent 12"/>
    <w:basedOn w:val="Normal"/>
    <w:link w:val="ColorfulList-Accent1Char"/>
    <w:uiPriority w:val="34"/>
    <w:rsid w:val="00007B01"/>
    <w:pPr>
      <w:ind w:left="720"/>
      <w:jc w:val="left"/>
    </w:pPr>
    <w:rPr>
      <w:szCs w:val="20"/>
    </w:rPr>
  </w:style>
  <w:style w:type="paragraph" w:styleId="TOC3">
    <w:name w:val="toc 3"/>
    <w:basedOn w:val="Normal"/>
    <w:next w:val="Normal"/>
    <w:autoRedefine/>
    <w:uiPriority w:val="39"/>
    <w:unhideWhenUsed/>
    <w:rsid w:val="006957EB"/>
    <w:pPr>
      <w:ind w:left="400"/>
    </w:pPr>
  </w:style>
  <w:style w:type="paragraph" w:customStyle="1" w:styleId="CharCharCharCharCarChar">
    <w:name w:val="Char Char Char Char Car Char"/>
    <w:aliases w:val="Char Char Char Char Car Char Char1 Char Char Char Char1 Char,Char Char Char1 Char Char Char Char1 Char,Char Char Char Char Car Char Char1 Char Char"/>
    <w:basedOn w:val="Normal"/>
    <w:link w:val="FootnoteReference"/>
    <w:uiPriority w:val="99"/>
    <w:qFormat/>
    <w:rsid w:val="00872F38"/>
    <w:pPr>
      <w:spacing w:after="160" w:line="240" w:lineRule="exact"/>
    </w:pPr>
    <w:rPr>
      <w:rFonts w:ascii="Arial" w:hAnsi="Arial"/>
      <w:sz w:val="18"/>
      <w:szCs w:val="20"/>
      <w:vertAlign w:val="superscript"/>
    </w:rPr>
  </w:style>
  <w:style w:type="character" w:customStyle="1" w:styleId="Mention1">
    <w:name w:val="Mention1"/>
    <w:uiPriority w:val="99"/>
    <w:semiHidden/>
    <w:unhideWhenUsed/>
    <w:rsid w:val="00254E0E"/>
    <w:rPr>
      <w:color w:val="2B579A"/>
      <w:shd w:val="clear" w:color="auto" w:fill="E6E6E6"/>
    </w:rPr>
  </w:style>
  <w:style w:type="paragraph" w:customStyle="1" w:styleId="xmsonormal">
    <w:name w:val="x_msonormal"/>
    <w:basedOn w:val="Normal"/>
    <w:rsid w:val="00564787"/>
    <w:pPr>
      <w:spacing w:before="100" w:beforeAutospacing="1" w:after="100" w:afterAutospacing="1"/>
      <w:jc w:val="left"/>
    </w:pPr>
    <w:rPr>
      <w:rFonts w:ascii="Times New Roman" w:eastAsia="Times New Roman" w:hAnsi="Times New Roman"/>
      <w:sz w:val="24"/>
      <w:lang w:val="es-ES" w:eastAsia="es-ES"/>
    </w:rPr>
  </w:style>
  <w:style w:type="character" w:customStyle="1" w:styleId="UnresolvedMention1">
    <w:name w:val="Unresolved Mention1"/>
    <w:uiPriority w:val="99"/>
    <w:semiHidden/>
    <w:unhideWhenUsed/>
    <w:rsid w:val="00871632"/>
    <w:rPr>
      <w:color w:val="605E5C"/>
      <w:shd w:val="clear" w:color="auto" w:fill="E1DFDD"/>
    </w:rPr>
  </w:style>
  <w:style w:type="paragraph" w:customStyle="1" w:styleId="GEFQuestion">
    <w:name w:val="GEF Question"/>
    <w:basedOn w:val="Normal"/>
    <w:next w:val="Normal"/>
    <w:qFormat/>
    <w:rsid w:val="00E349BA"/>
    <w:pPr>
      <w:ind w:left="-720"/>
      <w:jc w:val="left"/>
    </w:pPr>
    <w:rPr>
      <w:rFonts w:ascii="Times New Roman" w:eastAsia="Times New Roman" w:hAnsi="Times New Roman"/>
      <w:sz w:val="22"/>
    </w:rPr>
  </w:style>
  <w:style w:type="character" w:customStyle="1" w:styleId="GEFFieldtoFilloutChar">
    <w:name w:val="GEF Field to Fill out Char"/>
    <w:link w:val="GEFFieldtoFillout"/>
    <w:qFormat/>
    <w:locked/>
    <w:rsid w:val="00E349BA"/>
    <w:rPr>
      <w:rFonts w:ascii="Times New Roman" w:eastAsia="Times New Roman" w:hAnsi="Times New Roman"/>
      <w:color w:val="000000"/>
      <w:sz w:val="22"/>
      <w:szCs w:val="22"/>
    </w:rPr>
  </w:style>
  <w:style w:type="paragraph" w:customStyle="1" w:styleId="GEFFieldtoFillout">
    <w:name w:val="GEF Field to Fill out"/>
    <w:basedOn w:val="Normal"/>
    <w:link w:val="GEFFieldtoFilloutChar"/>
    <w:qFormat/>
    <w:rsid w:val="00E349BA"/>
    <w:pPr>
      <w:ind w:left="-720"/>
      <w:jc w:val="left"/>
    </w:pPr>
    <w:rPr>
      <w:rFonts w:ascii="Times New Roman" w:eastAsia="Times New Roman" w:hAnsi="Times New Roman"/>
      <w:color w:val="000000"/>
      <w:sz w:val="22"/>
      <w:szCs w:val="22"/>
    </w:rPr>
  </w:style>
  <w:style w:type="paragraph" w:customStyle="1" w:styleId="GEFTableHeading">
    <w:name w:val="GEF Table Heading"/>
    <w:basedOn w:val="Normal"/>
    <w:next w:val="Normal"/>
    <w:qFormat/>
    <w:rsid w:val="007F5638"/>
    <w:pPr>
      <w:ind w:left="-720"/>
      <w:jc w:val="left"/>
    </w:pPr>
    <w:rPr>
      <w:rFonts w:ascii="Times New Roman Bold" w:eastAsia="Times New Roman" w:hAnsi="Times New Roman Bold"/>
      <w:b/>
      <w:bCs/>
      <w:smallCaps/>
      <w:color w:val="000000"/>
      <w:sz w:val="22"/>
      <w:szCs w:val="22"/>
    </w:rPr>
  </w:style>
  <w:style w:type="paragraph" w:customStyle="1" w:styleId="GEFInstruction">
    <w:name w:val="GEF Instruction"/>
    <w:basedOn w:val="Normal"/>
    <w:next w:val="Normal"/>
    <w:qFormat/>
    <w:rsid w:val="007F5638"/>
    <w:pPr>
      <w:ind w:left="-540"/>
      <w:jc w:val="left"/>
    </w:pPr>
    <w:rPr>
      <w:rFonts w:ascii="Times New Roman" w:eastAsia="Times New Roman" w:hAnsi="Times New Roman"/>
    </w:rPr>
  </w:style>
  <w:style w:type="table" w:customStyle="1" w:styleId="TableGrid1">
    <w:name w:val="Table Grid1"/>
    <w:basedOn w:val="TableNormal"/>
    <w:next w:val="TableGrid"/>
    <w:uiPriority w:val="39"/>
    <w:rsid w:val="007F563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bullets">
    <w:name w:val="body bullets"/>
    <w:basedOn w:val="Normal"/>
    <w:next w:val="Normal"/>
    <w:qFormat/>
    <w:rsid w:val="00470E9A"/>
    <w:pPr>
      <w:spacing w:before="60" w:line="260" w:lineRule="exact"/>
      <w:ind w:left="720" w:hanging="360"/>
      <w:jc w:val="left"/>
    </w:pPr>
    <w:rPr>
      <w:rFonts w:eastAsia="Times New Roman"/>
      <w:lang w:eastAsia="ja-JP"/>
    </w:rPr>
  </w:style>
  <w:style w:type="paragraph" w:styleId="Revision">
    <w:name w:val="Revision"/>
    <w:hidden/>
    <w:uiPriority w:val="99"/>
    <w:semiHidden/>
    <w:rsid w:val="002024B4"/>
    <w:rPr>
      <w:szCs w:val="24"/>
    </w:rPr>
  </w:style>
  <w:style w:type="character" w:customStyle="1" w:styleId="CaptionChar">
    <w:name w:val="Caption Char"/>
    <w:basedOn w:val="DefaultParagraphFont"/>
    <w:link w:val="Caption"/>
    <w:rsid w:val="0072016A"/>
    <w:rPr>
      <w:b/>
      <w:bCs/>
      <w:i/>
      <w:szCs w:val="24"/>
    </w:rPr>
  </w:style>
  <w:style w:type="paragraph" w:customStyle="1" w:styleId="xl95">
    <w:name w:val="xl95"/>
    <w:basedOn w:val="Normal"/>
    <w:rsid w:val="00200CDF"/>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Times New Roman" w:eastAsia="Times New Roman" w:hAnsi="Times New Roman"/>
      <w:b/>
      <w:bCs/>
      <w:szCs w:val="20"/>
    </w:rPr>
  </w:style>
  <w:style w:type="paragraph" w:customStyle="1" w:styleId="msonormal0">
    <w:name w:val="msonormal"/>
    <w:basedOn w:val="Normal"/>
    <w:rsid w:val="001467FA"/>
    <w:pPr>
      <w:spacing w:before="100" w:beforeAutospacing="1" w:after="100" w:afterAutospacing="1"/>
      <w:jc w:val="left"/>
    </w:pPr>
    <w:rPr>
      <w:rFonts w:ascii="Times New Roman" w:eastAsia="Times New Roman" w:hAnsi="Times New Roman"/>
      <w:sz w:val="24"/>
    </w:rPr>
  </w:style>
  <w:style w:type="paragraph" w:customStyle="1" w:styleId="font5">
    <w:name w:val="font5"/>
    <w:basedOn w:val="Normal"/>
    <w:rsid w:val="001467FA"/>
    <w:pPr>
      <w:spacing w:before="100" w:beforeAutospacing="1" w:after="100" w:afterAutospacing="1"/>
      <w:jc w:val="left"/>
    </w:pPr>
    <w:rPr>
      <w:rFonts w:eastAsia="Times New Roman" w:cs="Calibri"/>
      <w:color w:val="000000"/>
      <w:sz w:val="16"/>
      <w:szCs w:val="16"/>
    </w:rPr>
  </w:style>
  <w:style w:type="paragraph" w:customStyle="1" w:styleId="xl68">
    <w:name w:val="xl68"/>
    <w:basedOn w:val="Normal"/>
    <w:rsid w:val="001467FA"/>
    <w:pPr>
      <w:spacing w:before="100" w:beforeAutospacing="1" w:after="100" w:afterAutospacing="1"/>
      <w:jc w:val="left"/>
      <w:textAlignment w:val="center"/>
    </w:pPr>
    <w:rPr>
      <w:rFonts w:ascii="Times New Roman" w:eastAsia="Times New Roman" w:hAnsi="Times New Roman"/>
      <w:sz w:val="16"/>
      <w:szCs w:val="16"/>
    </w:rPr>
  </w:style>
  <w:style w:type="paragraph" w:customStyle="1" w:styleId="xl69">
    <w:name w:val="xl69"/>
    <w:basedOn w:val="Normal"/>
    <w:rsid w:val="001467FA"/>
    <w:pPr>
      <w:spacing w:before="100" w:beforeAutospacing="1" w:after="100" w:afterAutospacing="1"/>
      <w:jc w:val="center"/>
      <w:textAlignment w:val="center"/>
    </w:pPr>
    <w:rPr>
      <w:rFonts w:ascii="Times New Roman" w:eastAsia="Times New Roman" w:hAnsi="Times New Roman"/>
      <w:sz w:val="16"/>
      <w:szCs w:val="16"/>
    </w:rPr>
  </w:style>
  <w:style w:type="paragraph" w:customStyle="1" w:styleId="xl70">
    <w:name w:val="xl70"/>
    <w:basedOn w:val="Normal"/>
    <w:rsid w:val="001467FA"/>
    <w:pPr>
      <w:spacing w:before="100" w:beforeAutospacing="1" w:after="100" w:afterAutospacing="1"/>
      <w:jc w:val="center"/>
      <w:textAlignment w:val="center"/>
    </w:pPr>
    <w:rPr>
      <w:rFonts w:ascii="Times New Roman" w:eastAsia="Times New Roman" w:hAnsi="Times New Roman"/>
      <w:sz w:val="16"/>
      <w:szCs w:val="16"/>
    </w:rPr>
  </w:style>
  <w:style w:type="paragraph" w:customStyle="1" w:styleId="xl71">
    <w:name w:val="xl71"/>
    <w:basedOn w:val="Normal"/>
    <w:rsid w:val="001467FA"/>
    <w:pPr>
      <w:spacing w:before="100" w:beforeAutospacing="1" w:after="100" w:afterAutospacing="1"/>
      <w:jc w:val="left"/>
    </w:pPr>
    <w:rPr>
      <w:rFonts w:ascii="Times New Roman" w:eastAsia="Times New Roman" w:hAnsi="Times New Roman"/>
      <w:szCs w:val="20"/>
    </w:rPr>
  </w:style>
  <w:style w:type="paragraph" w:customStyle="1" w:styleId="xl72">
    <w:name w:val="xl72"/>
    <w:basedOn w:val="Normal"/>
    <w:rsid w:val="001467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16"/>
      <w:szCs w:val="16"/>
    </w:rPr>
  </w:style>
  <w:style w:type="paragraph" w:customStyle="1" w:styleId="xl73">
    <w:name w:val="xl73"/>
    <w:basedOn w:val="Normal"/>
    <w:rsid w:val="001467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16"/>
      <w:szCs w:val="16"/>
    </w:rPr>
  </w:style>
  <w:style w:type="paragraph" w:customStyle="1" w:styleId="xl74">
    <w:name w:val="xl74"/>
    <w:basedOn w:val="Normal"/>
    <w:rsid w:val="001467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16"/>
      <w:szCs w:val="16"/>
    </w:rPr>
  </w:style>
  <w:style w:type="paragraph" w:customStyle="1" w:styleId="xl75">
    <w:name w:val="xl75"/>
    <w:basedOn w:val="Normal"/>
    <w:rsid w:val="001467F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sz w:val="16"/>
      <w:szCs w:val="16"/>
    </w:rPr>
  </w:style>
  <w:style w:type="paragraph" w:customStyle="1" w:styleId="xl76">
    <w:name w:val="xl76"/>
    <w:basedOn w:val="Normal"/>
    <w:rsid w:val="001467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16"/>
      <w:szCs w:val="16"/>
    </w:rPr>
  </w:style>
  <w:style w:type="paragraph" w:customStyle="1" w:styleId="xl77">
    <w:name w:val="xl77"/>
    <w:basedOn w:val="Normal"/>
    <w:rsid w:val="001467F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b/>
      <w:bCs/>
      <w:sz w:val="16"/>
      <w:szCs w:val="16"/>
    </w:rPr>
  </w:style>
  <w:style w:type="paragraph" w:customStyle="1" w:styleId="xl78">
    <w:name w:val="xl78"/>
    <w:basedOn w:val="Normal"/>
    <w:rsid w:val="001467F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b/>
      <w:bCs/>
      <w:sz w:val="16"/>
      <w:szCs w:val="16"/>
    </w:rPr>
  </w:style>
  <w:style w:type="paragraph" w:customStyle="1" w:styleId="xl79">
    <w:name w:val="xl79"/>
    <w:basedOn w:val="Normal"/>
    <w:rsid w:val="001467F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16"/>
      <w:szCs w:val="16"/>
    </w:rPr>
  </w:style>
  <w:style w:type="paragraph" w:customStyle="1" w:styleId="xl80">
    <w:name w:val="xl80"/>
    <w:basedOn w:val="Normal"/>
    <w:rsid w:val="001467F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imes New Roman" w:eastAsia="Times New Roman" w:hAnsi="Times New Roman"/>
      <w:b/>
      <w:bCs/>
      <w:sz w:val="16"/>
      <w:szCs w:val="16"/>
    </w:rPr>
  </w:style>
  <w:style w:type="paragraph" w:customStyle="1" w:styleId="xl81">
    <w:name w:val="xl81"/>
    <w:basedOn w:val="Normal"/>
    <w:rsid w:val="001467F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textAlignment w:val="center"/>
    </w:pPr>
    <w:rPr>
      <w:rFonts w:ascii="Times New Roman" w:eastAsia="Times New Roman" w:hAnsi="Times New Roman"/>
      <w:b/>
      <w:bCs/>
      <w:sz w:val="16"/>
      <w:szCs w:val="16"/>
    </w:rPr>
  </w:style>
  <w:style w:type="paragraph" w:customStyle="1" w:styleId="xl82">
    <w:name w:val="xl82"/>
    <w:basedOn w:val="Normal"/>
    <w:rsid w:val="001467F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sz w:val="16"/>
      <w:szCs w:val="16"/>
    </w:rPr>
  </w:style>
  <w:style w:type="paragraph" w:customStyle="1" w:styleId="xl83">
    <w:name w:val="xl83"/>
    <w:basedOn w:val="Normal"/>
    <w:rsid w:val="001467FA"/>
    <w:pPr>
      <w:pBdr>
        <w:top w:val="single" w:sz="4" w:space="0" w:color="auto"/>
        <w:left w:val="single" w:sz="4" w:space="0" w:color="auto"/>
        <w:right w:val="single" w:sz="4" w:space="0" w:color="auto"/>
      </w:pBdr>
      <w:shd w:val="clear" w:color="000000" w:fill="FFFF00"/>
      <w:spacing w:before="100" w:beforeAutospacing="1" w:after="100" w:afterAutospacing="1"/>
      <w:jc w:val="left"/>
      <w:textAlignment w:val="center"/>
    </w:pPr>
    <w:rPr>
      <w:rFonts w:ascii="Times New Roman" w:eastAsia="Times New Roman" w:hAnsi="Times New Roman"/>
      <w:b/>
      <w:bCs/>
      <w:sz w:val="16"/>
      <w:szCs w:val="16"/>
    </w:rPr>
  </w:style>
  <w:style w:type="paragraph" w:customStyle="1" w:styleId="xl84">
    <w:name w:val="xl84"/>
    <w:basedOn w:val="Normal"/>
    <w:rsid w:val="001467FA"/>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sz w:val="16"/>
      <w:szCs w:val="16"/>
    </w:rPr>
  </w:style>
  <w:style w:type="paragraph" w:customStyle="1" w:styleId="xl85">
    <w:name w:val="xl85"/>
    <w:basedOn w:val="Normal"/>
    <w:rsid w:val="001467FA"/>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b/>
      <w:bCs/>
      <w:sz w:val="16"/>
      <w:szCs w:val="16"/>
    </w:rPr>
  </w:style>
  <w:style w:type="paragraph" w:customStyle="1" w:styleId="xl86">
    <w:name w:val="xl86"/>
    <w:basedOn w:val="Normal"/>
    <w:rsid w:val="001467FA"/>
    <w:pPr>
      <w:pBdr>
        <w:top w:val="single" w:sz="4" w:space="0" w:color="auto"/>
        <w:bottom w:val="single" w:sz="4" w:space="0" w:color="auto"/>
      </w:pBdr>
      <w:spacing w:before="100" w:beforeAutospacing="1" w:after="100" w:afterAutospacing="1"/>
      <w:jc w:val="center"/>
      <w:textAlignment w:val="center"/>
    </w:pPr>
    <w:rPr>
      <w:rFonts w:ascii="Times New Roman" w:eastAsia="Times New Roman" w:hAnsi="Times New Roman"/>
      <w:b/>
      <w:bCs/>
      <w:sz w:val="16"/>
      <w:szCs w:val="16"/>
    </w:rPr>
  </w:style>
  <w:style w:type="paragraph" w:customStyle="1" w:styleId="xl87">
    <w:name w:val="xl87"/>
    <w:basedOn w:val="Normal"/>
    <w:rsid w:val="001467FA"/>
    <w:pPr>
      <w:pBdr>
        <w:top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16"/>
      <w:szCs w:val="16"/>
    </w:rPr>
  </w:style>
  <w:style w:type="paragraph" w:customStyle="1" w:styleId="xl88">
    <w:name w:val="xl88"/>
    <w:basedOn w:val="Normal"/>
    <w:rsid w:val="001467FA"/>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16"/>
      <w:szCs w:val="16"/>
    </w:rPr>
  </w:style>
  <w:style w:type="paragraph" w:customStyle="1" w:styleId="xl89">
    <w:name w:val="xl89"/>
    <w:basedOn w:val="Normal"/>
    <w:rsid w:val="001467FA"/>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16"/>
      <w:szCs w:val="16"/>
    </w:rPr>
  </w:style>
  <w:style w:type="paragraph" w:customStyle="1" w:styleId="xl90">
    <w:name w:val="xl90"/>
    <w:basedOn w:val="Normal"/>
    <w:rsid w:val="001467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16"/>
      <w:szCs w:val="16"/>
    </w:rPr>
  </w:style>
  <w:style w:type="paragraph" w:customStyle="1" w:styleId="xl91">
    <w:name w:val="xl91"/>
    <w:basedOn w:val="Normal"/>
    <w:rsid w:val="001467F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16"/>
      <w:szCs w:val="16"/>
    </w:rPr>
  </w:style>
  <w:style w:type="paragraph" w:customStyle="1" w:styleId="xl92">
    <w:name w:val="xl92"/>
    <w:basedOn w:val="Normal"/>
    <w:rsid w:val="001467F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left"/>
      <w:textAlignment w:val="center"/>
    </w:pPr>
    <w:rPr>
      <w:rFonts w:ascii="Times New Roman" w:eastAsia="Times New Roman" w:hAnsi="Times New Roman"/>
      <w:sz w:val="16"/>
      <w:szCs w:val="16"/>
    </w:rPr>
  </w:style>
  <w:style w:type="paragraph" w:customStyle="1" w:styleId="xl93">
    <w:name w:val="xl93"/>
    <w:basedOn w:val="Normal"/>
    <w:rsid w:val="001467F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left"/>
      <w:textAlignment w:val="center"/>
    </w:pPr>
    <w:rPr>
      <w:rFonts w:ascii="Times New Roman" w:eastAsia="Times New Roman" w:hAnsi="Times New Roman"/>
      <w:sz w:val="16"/>
      <w:szCs w:val="16"/>
    </w:rPr>
  </w:style>
  <w:style w:type="paragraph" w:customStyle="1" w:styleId="xl94">
    <w:name w:val="xl94"/>
    <w:basedOn w:val="Normal"/>
    <w:rsid w:val="001467FA"/>
    <w:pPr>
      <w:pBdr>
        <w:top w:val="single" w:sz="4" w:space="0" w:color="auto"/>
        <w:left w:val="single" w:sz="4" w:space="0" w:color="auto"/>
        <w:bottom w:val="single" w:sz="4" w:space="0" w:color="auto"/>
        <w:right w:val="single" w:sz="4" w:space="0" w:color="auto"/>
      </w:pBdr>
      <w:shd w:val="clear" w:color="000000" w:fill="FFF2CC"/>
      <w:spacing w:before="100" w:beforeAutospacing="1" w:after="100" w:afterAutospacing="1"/>
      <w:jc w:val="center"/>
      <w:textAlignment w:val="center"/>
    </w:pPr>
    <w:rPr>
      <w:rFonts w:ascii="Times New Roman" w:eastAsia="Times New Roman" w:hAnsi="Times New Roman"/>
      <w:sz w:val="16"/>
      <w:szCs w:val="16"/>
    </w:rPr>
  </w:style>
  <w:style w:type="paragraph" w:customStyle="1" w:styleId="xl96">
    <w:name w:val="xl96"/>
    <w:basedOn w:val="Normal"/>
    <w:rsid w:val="001467FA"/>
    <w:pPr>
      <w:pBdr>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16"/>
      <w:szCs w:val="16"/>
    </w:rPr>
  </w:style>
  <w:style w:type="paragraph" w:customStyle="1" w:styleId="xl97">
    <w:name w:val="xl97"/>
    <w:basedOn w:val="Normal"/>
    <w:rsid w:val="001467FA"/>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16"/>
      <w:szCs w:val="16"/>
    </w:rPr>
  </w:style>
  <w:style w:type="paragraph" w:customStyle="1" w:styleId="xl98">
    <w:name w:val="xl98"/>
    <w:basedOn w:val="Normal"/>
    <w:rsid w:val="00D41FA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Times New Roman" w:eastAsia="Times New Roman" w:hAnsi="Times New Roman"/>
      <w:b/>
      <w:bCs/>
      <w:sz w:val="16"/>
      <w:szCs w:val="16"/>
    </w:rPr>
  </w:style>
  <w:style w:type="paragraph" w:customStyle="1" w:styleId="xl99">
    <w:name w:val="xl99"/>
    <w:basedOn w:val="Normal"/>
    <w:rsid w:val="00D41FA6"/>
    <w:pPr>
      <w:pBdr>
        <w:top w:val="single" w:sz="4" w:space="0" w:color="auto"/>
        <w:left w:val="single" w:sz="4" w:space="0" w:color="auto"/>
        <w:right w:val="single" w:sz="4" w:space="0" w:color="auto"/>
      </w:pBdr>
      <w:shd w:val="clear" w:color="000000" w:fill="FFFF00"/>
      <w:spacing w:before="100" w:beforeAutospacing="1" w:after="100" w:afterAutospacing="1"/>
      <w:jc w:val="right"/>
      <w:textAlignment w:val="center"/>
    </w:pPr>
    <w:rPr>
      <w:rFonts w:ascii="Times New Roman" w:eastAsia="Times New Roman" w:hAnsi="Times New Roman"/>
      <w:b/>
      <w:bCs/>
      <w:sz w:val="16"/>
      <w:szCs w:val="16"/>
    </w:rPr>
  </w:style>
  <w:style w:type="paragraph" w:styleId="TableofFigures">
    <w:name w:val="table of figures"/>
    <w:basedOn w:val="Normal"/>
    <w:next w:val="Normal"/>
    <w:uiPriority w:val="99"/>
    <w:unhideWhenUsed/>
    <w:rsid w:val="00AF7EFB"/>
  </w:style>
  <w:style w:type="character" w:customStyle="1" w:styleId="Heading6Char">
    <w:name w:val="Heading 6 Char"/>
    <w:basedOn w:val="DefaultParagraphFont"/>
    <w:link w:val="Heading6"/>
    <w:rsid w:val="00281711"/>
    <w:rPr>
      <w:rFonts w:ascii="Times New Roman" w:eastAsia="Times New Roman" w:hAnsi="Times New Roman"/>
      <w:b/>
      <w:bCs/>
      <w:smallCaps/>
      <w:sz w:val="24"/>
      <w:szCs w:val="24"/>
    </w:rPr>
  </w:style>
  <w:style w:type="character" w:customStyle="1" w:styleId="Heading7Char">
    <w:name w:val="Heading 7 Char"/>
    <w:basedOn w:val="DefaultParagraphFont"/>
    <w:link w:val="Heading7"/>
    <w:rsid w:val="00281711"/>
    <w:rPr>
      <w:rFonts w:ascii="Times New Roman" w:eastAsia="Times New Roman" w:hAnsi="Times New Roman"/>
      <w:b/>
      <w:bCs/>
      <w:szCs w:val="24"/>
    </w:rPr>
  </w:style>
  <w:style w:type="character" w:customStyle="1" w:styleId="Heading9Char">
    <w:name w:val="Heading 9 Char"/>
    <w:basedOn w:val="DefaultParagraphFont"/>
    <w:link w:val="Heading9"/>
    <w:rsid w:val="00281711"/>
    <w:rPr>
      <w:rFonts w:ascii="Times New Roman" w:eastAsia="Times New Roman" w:hAnsi="Times New Roman"/>
      <w:b/>
      <w:bCs/>
      <w:sz w:val="24"/>
      <w:szCs w:val="24"/>
    </w:rPr>
  </w:style>
  <w:style w:type="paragraph" w:customStyle="1" w:styleId="Outline">
    <w:name w:val="Outline"/>
    <w:basedOn w:val="Normal"/>
    <w:rsid w:val="00281711"/>
    <w:pPr>
      <w:spacing w:before="240"/>
      <w:jc w:val="left"/>
    </w:pPr>
    <w:rPr>
      <w:rFonts w:ascii="Times New Roman" w:eastAsia="Times New Roman" w:hAnsi="Times New Roman"/>
      <w:kern w:val="28"/>
      <w:sz w:val="24"/>
      <w:szCs w:val="20"/>
    </w:rPr>
  </w:style>
  <w:style w:type="paragraph" w:styleId="BodyTextIndent2">
    <w:name w:val="Body Text Indent 2"/>
    <w:basedOn w:val="Normal"/>
    <w:link w:val="BodyTextIndent2Char"/>
    <w:rsid w:val="00281711"/>
    <w:pPr>
      <w:ind w:left="360"/>
      <w:jc w:val="left"/>
    </w:pPr>
    <w:rPr>
      <w:rFonts w:ascii="Times New Roman" w:eastAsia="Times New Roman" w:hAnsi="Times New Roman"/>
      <w:i/>
      <w:iCs/>
      <w:sz w:val="22"/>
    </w:rPr>
  </w:style>
  <w:style w:type="character" w:customStyle="1" w:styleId="BodyTextIndent2Char">
    <w:name w:val="Body Text Indent 2 Char"/>
    <w:basedOn w:val="DefaultParagraphFont"/>
    <w:link w:val="BodyTextIndent2"/>
    <w:rsid w:val="00281711"/>
    <w:rPr>
      <w:rFonts w:ascii="Times New Roman" w:eastAsia="Times New Roman" w:hAnsi="Times New Roman"/>
      <w:i/>
      <w:iCs/>
      <w:sz w:val="22"/>
      <w:szCs w:val="24"/>
    </w:rPr>
  </w:style>
  <w:style w:type="paragraph" w:styleId="BodyTextIndent3">
    <w:name w:val="Body Text Indent 3"/>
    <w:basedOn w:val="Normal"/>
    <w:link w:val="BodyTextIndent3Char"/>
    <w:rsid w:val="00281711"/>
    <w:pPr>
      <w:ind w:left="540"/>
      <w:jc w:val="left"/>
    </w:pPr>
    <w:rPr>
      <w:rFonts w:ascii="Times New Roman" w:eastAsia="Times New Roman" w:hAnsi="Times New Roman"/>
      <w:sz w:val="24"/>
    </w:rPr>
  </w:style>
  <w:style w:type="character" w:customStyle="1" w:styleId="BodyTextIndent3Char">
    <w:name w:val="Body Text Indent 3 Char"/>
    <w:basedOn w:val="DefaultParagraphFont"/>
    <w:link w:val="BodyTextIndent3"/>
    <w:rsid w:val="00281711"/>
    <w:rPr>
      <w:rFonts w:ascii="Times New Roman" w:eastAsia="Times New Roman" w:hAnsi="Times New Roman"/>
      <w:sz w:val="24"/>
      <w:szCs w:val="24"/>
    </w:rPr>
  </w:style>
  <w:style w:type="paragraph" w:styleId="DocumentMap">
    <w:name w:val="Document Map"/>
    <w:basedOn w:val="Normal"/>
    <w:link w:val="DocumentMapChar"/>
    <w:semiHidden/>
    <w:rsid w:val="00281711"/>
    <w:pPr>
      <w:shd w:val="clear" w:color="auto" w:fill="000080"/>
      <w:jc w:val="left"/>
    </w:pPr>
    <w:rPr>
      <w:rFonts w:ascii="Tahoma" w:eastAsia="Times New Roman" w:hAnsi="Tahoma" w:cs="Tahoma"/>
      <w:szCs w:val="20"/>
    </w:rPr>
  </w:style>
  <w:style w:type="character" w:customStyle="1" w:styleId="DocumentMapChar">
    <w:name w:val="Document Map Char"/>
    <w:basedOn w:val="DefaultParagraphFont"/>
    <w:link w:val="DocumentMap"/>
    <w:semiHidden/>
    <w:rsid w:val="00281711"/>
    <w:rPr>
      <w:rFonts w:ascii="Tahoma" w:eastAsia="Times New Roman" w:hAnsi="Tahoma" w:cs="Tahoma"/>
      <w:shd w:val="clear" w:color="auto" w:fill="000080"/>
    </w:rPr>
  </w:style>
  <w:style w:type="paragraph" w:customStyle="1" w:styleId="MainParanoChapter">
    <w:name w:val="Main Para no Chapter #"/>
    <w:basedOn w:val="Normal"/>
    <w:link w:val="MainParanoChapterChar"/>
    <w:autoRedefine/>
    <w:uiPriority w:val="99"/>
    <w:qFormat/>
    <w:rsid w:val="00281711"/>
    <w:pPr>
      <w:numPr>
        <w:numId w:val="9"/>
      </w:numPr>
      <w:spacing w:before="120" w:after="240"/>
      <w:ind w:left="0" w:firstLine="0"/>
      <w:jc w:val="left"/>
      <w:outlineLvl w:val="1"/>
    </w:pPr>
    <w:rPr>
      <w:rFonts w:ascii="Times New Roman" w:eastAsia="Times New Roman" w:hAnsi="Times New Roman"/>
      <w:color w:val="000000"/>
      <w:sz w:val="24"/>
      <w:lang w:val="x-none" w:eastAsia="x-none"/>
    </w:rPr>
  </w:style>
  <w:style w:type="character" w:customStyle="1" w:styleId="MainParanoChapterChar">
    <w:name w:val="Main Para no Chapter # Char"/>
    <w:link w:val="MainParanoChapter"/>
    <w:uiPriority w:val="99"/>
    <w:locked/>
    <w:rsid w:val="00281711"/>
    <w:rPr>
      <w:rFonts w:ascii="Times New Roman" w:eastAsia="Times New Roman" w:hAnsi="Times New Roman"/>
      <w:color w:val="000000"/>
      <w:sz w:val="24"/>
      <w:szCs w:val="24"/>
      <w:lang w:val="x-none" w:eastAsia="x-none"/>
    </w:rPr>
  </w:style>
  <w:style w:type="character" w:styleId="PlaceholderText">
    <w:name w:val="Placeholder Text"/>
    <w:uiPriority w:val="99"/>
    <w:semiHidden/>
    <w:rsid w:val="00281711"/>
    <w:rPr>
      <w:color w:val="808080"/>
    </w:rPr>
  </w:style>
  <w:style w:type="paragraph" w:customStyle="1" w:styleId="GEFPartHeading">
    <w:name w:val="GEF Part Heading"/>
    <w:basedOn w:val="ListParagraph"/>
    <w:qFormat/>
    <w:rsid w:val="00281711"/>
    <w:pPr>
      <w:snapToGrid w:val="0"/>
      <w:spacing w:before="120" w:after="120"/>
      <w:ind w:left="-634" w:hanging="14"/>
      <w:outlineLvl w:val="0"/>
    </w:pPr>
    <w:rPr>
      <w:rFonts w:ascii="Times New Roman" w:eastAsia="Times New Roman" w:hAnsi="Times New Roman"/>
      <w:b/>
      <w:caps/>
      <w:smallCaps/>
      <w:noProof/>
      <w:color w:val="000000"/>
      <w:sz w:val="22"/>
      <w:szCs w:val="22"/>
      <w:u w:val="single"/>
    </w:rPr>
  </w:style>
  <w:style w:type="character" w:customStyle="1" w:styleId="UnresolvedMention11">
    <w:name w:val="Unresolved Mention11"/>
    <w:uiPriority w:val="99"/>
    <w:semiHidden/>
    <w:unhideWhenUsed/>
    <w:rsid w:val="00281711"/>
    <w:rPr>
      <w:color w:val="808080"/>
      <w:shd w:val="clear" w:color="auto" w:fill="E6E6E6"/>
    </w:rPr>
  </w:style>
  <w:style w:type="character" w:customStyle="1" w:styleId="e24kjd">
    <w:name w:val="e24kjd"/>
    <w:rsid w:val="00281711"/>
  </w:style>
  <w:style w:type="character" w:customStyle="1" w:styleId="Hyperlink1">
    <w:name w:val="Hyperlink.1"/>
    <w:rsid w:val="00281711"/>
    <w:rPr>
      <w:lang w:val="en-US"/>
    </w:rPr>
  </w:style>
  <w:style w:type="table" w:customStyle="1" w:styleId="TableGrid0">
    <w:name w:val="TableGrid"/>
    <w:rsid w:val="00281711"/>
    <w:rPr>
      <w:rFonts w:eastAsia="Times New Roman"/>
      <w:sz w:val="22"/>
      <w:szCs w:val="22"/>
    </w:rPr>
    <w:tblPr>
      <w:tblCellMar>
        <w:top w:w="0" w:type="dxa"/>
        <w:left w:w="0" w:type="dxa"/>
        <w:bottom w:w="0" w:type="dxa"/>
        <w:right w:w="0" w:type="dxa"/>
      </w:tblCellMar>
    </w:tblPr>
  </w:style>
  <w:style w:type="paragraph" w:customStyle="1" w:styleId="Body">
    <w:name w:val="Body"/>
    <w:rsid w:val="00281711"/>
    <w:pPr>
      <w:pBdr>
        <w:top w:val="nil"/>
        <w:left w:val="nil"/>
        <w:bottom w:val="nil"/>
        <w:right w:val="nil"/>
        <w:between w:val="nil"/>
        <w:bar w:val="nil"/>
      </w:pBdr>
      <w:spacing w:after="60"/>
      <w:jc w:val="both"/>
    </w:pPr>
    <w:rPr>
      <w:rFonts w:eastAsia="Calibri" w:cs="Calibri"/>
      <w:color w:val="000000"/>
      <w:u w:color="000000"/>
      <w:bdr w:val="nil"/>
      <w:lang w:val="en-GB" w:eastAsia="en-GB"/>
    </w:rPr>
  </w:style>
  <w:style w:type="numbering" w:customStyle="1" w:styleId="ImportedStyle8">
    <w:name w:val="Imported Style 8"/>
    <w:rsid w:val="00281711"/>
    <w:pPr>
      <w:numPr>
        <w:numId w:val="10"/>
      </w:numPr>
    </w:pPr>
  </w:style>
  <w:style w:type="paragraph" w:customStyle="1" w:styleId="TableParagraph">
    <w:name w:val="Table Paragraph"/>
    <w:basedOn w:val="Normal"/>
    <w:uiPriority w:val="1"/>
    <w:qFormat/>
    <w:rsid w:val="00281711"/>
    <w:pPr>
      <w:ind w:left="107"/>
      <w:jc w:val="left"/>
    </w:pPr>
    <w:rPr>
      <w:rFonts w:ascii="Times New Roman" w:eastAsia="Times New Roman" w:hAnsi="Times New Roman"/>
      <w:sz w:val="24"/>
      <w:lang w:val="en-ZA"/>
    </w:rPr>
  </w:style>
  <w:style w:type="paragraph" w:customStyle="1" w:styleId="Char2">
    <w:name w:val="Char2"/>
    <w:basedOn w:val="Normal"/>
    <w:uiPriority w:val="99"/>
    <w:rsid w:val="0036091F"/>
    <w:pPr>
      <w:spacing w:after="120" w:line="240" w:lineRule="exact"/>
      <w:jc w:val="left"/>
    </w:pPr>
    <w:rPr>
      <w:rFonts w:asciiTheme="minorHAnsi" w:eastAsiaTheme="minorEastAsia" w:hAnsiTheme="minorHAnsi" w:cstheme="minorBidi"/>
      <w:sz w:val="22"/>
      <w:szCs w:val="22"/>
      <w:vertAlign w:val="superscript"/>
    </w:rPr>
  </w:style>
  <w:style w:type="paragraph" w:customStyle="1" w:styleId="ColorfulList-Accent11">
    <w:name w:val="Colorful List - Accent 11"/>
    <w:basedOn w:val="Normal"/>
    <w:qFormat/>
    <w:rsid w:val="00C349C4"/>
    <w:pPr>
      <w:ind w:left="720"/>
      <w:contextualSpacing/>
      <w:jc w:val="left"/>
    </w:pPr>
    <w:rPr>
      <w:rFonts w:eastAsia="MS Mincho"/>
      <w:lang w:eastAsia="ja-JP"/>
    </w:rPr>
  </w:style>
  <w:style w:type="table" w:customStyle="1" w:styleId="TableGrid8">
    <w:name w:val="Table Grid8"/>
    <w:basedOn w:val="TableNormal"/>
    <w:next w:val="TableGrid"/>
    <w:uiPriority w:val="39"/>
    <w:rsid w:val="00A877FB"/>
    <w:rPr>
      <w:rFonts w:asciiTheme="minorHAnsi" w:eastAsiaTheme="minorEastAsia" w:hAnsiTheme="minorHAnsi" w:cstheme="minorBidi"/>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A"/>
    <w:basedOn w:val="Normal"/>
    <w:rsid w:val="001415CA"/>
    <w:pPr>
      <w:tabs>
        <w:tab w:val="num" w:pos="360"/>
      </w:tabs>
      <w:spacing w:after="100"/>
    </w:pPr>
    <w:rPr>
      <w:rFonts w:ascii="Times New Roman" w:hAnsi="Times New Roman"/>
      <w:sz w:val="22"/>
      <w:szCs w:val="22"/>
    </w:rPr>
  </w:style>
  <w:style w:type="paragraph" w:customStyle="1" w:styleId="TableText">
    <w:name w:val="TableText"/>
    <w:autoRedefine/>
    <w:rsid w:val="00C2611F"/>
    <w:pPr>
      <w:tabs>
        <w:tab w:val="left" w:pos="-164"/>
      </w:tabs>
      <w:suppressAutoHyphens/>
    </w:pPr>
    <w:rPr>
      <w:rFonts w:ascii="Times New Roman" w:hAnsi="Times New Roman"/>
      <w:lang w:val="en-GB" w:eastAsia="zh-CN"/>
    </w:rPr>
  </w:style>
  <w:style w:type="paragraph" w:customStyle="1" w:styleId="fn1">
    <w:name w:val="fn1"/>
    <w:basedOn w:val="Normal"/>
    <w:next w:val="FootnoteText"/>
    <w:uiPriority w:val="99"/>
    <w:qFormat/>
    <w:rsid w:val="00BD3DEE"/>
    <w:pPr>
      <w:widowControl w:val="0"/>
    </w:pPr>
    <w:rPr>
      <w:rFonts w:eastAsiaTheme="minorHAnsi" w:cstheme="minorBidi"/>
      <w:sz w:val="18"/>
      <w:szCs w:val="22"/>
    </w:rPr>
  </w:style>
  <w:style w:type="character" w:customStyle="1" w:styleId="UnresolvedMention10">
    <w:name w:val="Unresolved Mention10"/>
    <w:uiPriority w:val="99"/>
    <w:semiHidden/>
    <w:unhideWhenUsed/>
    <w:rsid w:val="00AA53D6"/>
    <w:rPr>
      <w:color w:val="808080"/>
      <w:shd w:val="clear" w:color="auto" w:fill="E6E6E6"/>
    </w:rPr>
  </w:style>
  <w:style w:type="character" w:customStyle="1" w:styleId="UnresolvedMention100">
    <w:name w:val="Unresolved Mention100"/>
    <w:uiPriority w:val="99"/>
    <w:semiHidden/>
    <w:unhideWhenUsed/>
    <w:rsid w:val="00224086"/>
    <w:rPr>
      <w:color w:val="808080"/>
      <w:shd w:val="clear" w:color="auto" w:fill="E6E6E6"/>
    </w:rPr>
  </w:style>
  <w:style w:type="paragraph" w:customStyle="1" w:styleId="1">
    <w:name w:val="列出段落1"/>
    <w:basedOn w:val="Normal"/>
    <w:qFormat/>
    <w:rsid w:val="00840500"/>
    <w:pPr>
      <w:spacing w:before="100" w:beforeAutospacing="1" w:after="120"/>
      <w:ind w:left="720" w:hanging="360"/>
      <w:contextualSpacing/>
      <w:jc w:val="left"/>
    </w:pPr>
    <w:rPr>
      <w:rFonts w:eastAsia="Times New Roman"/>
      <w:sz w:val="22"/>
      <w:szCs w:val="22"/>
      <w:lang w:eastAsia="zh-CN"/>
    </w:rPr>
  </w:style>
  <w:style w:type="paragraph" w:customStyle="1" w:styleId="NumberedParagraph">
    <w:name w:val="Numbered Paragraph"/>
    <w:basedOn w:val="Normal"/>
    <w:uiPriority w:val="99"/>
    <w:qFormat/>
    <w:rsid w:val="00CB6C67"/>
    <w:pPr>
      <w:numPr>
        <w:numId w:val="19"/>
      </w:numPr>
      <w:spacing w:after="60"/>
      <w:ind w:left="360" w:hanging="360"/>
    </w:pPr>
    <w:rPr>
      <w:rFonts w:ascii="Cambria" w:eastAsiaTheme="minorEastAsia" w:hAnsi="Cambria"/>
      <w:sz w:val="22"/>
      <w:szCs w:val="22"/>
    </w:rPr>
  </w:style>
  <w:style w:type="character" w:customStyle="1" w:styleId="xbe">
    <w:name w:val="_xbe"/>
    <w:basedOn w:val="DefaultParagraphFont"/>
    <w:rsid w:val="00664F24"/>
  </w:style>
  <w:style w:type="paragraph" w:customStyle="1" w:styleId="BVIfnrCarCar1CarCarCarCar">
    <w:name w:val="BVI fnr Car Car1 Car Car Car Car"/>
    <w:aliases w:val="BVI fnr Car Car Car Car1 Car Car Car Car,BVI fnr Car Car Car Car1 Car1 Car Car,BVI fnr Car Car Car Car Car Car Car Car Car Car"/>
    <w:basedOn w:val="Normal"/>
    <w:uiPriority w:val="99"/>
    <w:rsid w:val="00EF2461"/>
    <w:pPr>
      <w:spacing w:after="160" w:line="240" w:lineRule="exact"/>
    </w:pPr>
    <w:rPr>
      <w:rFonts w:ascii="Times New Roman" w:eastAsia="Times New Roman" w:hAnsi="Times New Roman"/>
      <w:szCs w:val="20"/>
      <w:vertAlign w:val="superscript"/>
      <w:lang w:eastAsia="en-GB"/>
    </w:rPr>
  </w:style>
  <w:style w:type="character" w:customStyle="1" w:styleId="normaltextrun">
    <w:name w:val="normaltextrun"/>
    <w:rsid w:val="00EF2461"/>
  </w:style>
  <w:style w:type="character" w:styleId="UnresolvedMention">
    <w:name w:val="Unresolved Mention"/>
    <w:basedOn w:val="DefaultParagraphFont"/>
    <w:uiPriority w:val="99"/>
    <w:unhideWhenUsed/>
    <w:rsid w:val="00ED66C4"/>
    <w:rPr>
      <w:color w:val="605E5C"/>
      <w:shd w:val="clear" w:color="auto" w:fill="E1DFDD"/>
    </w:rPr>
  </w:style>
  <w:style w:type="paragraph" w:styleId="TOC4">
    <w:name w:val="toc 4"/>
    <w:basedOn w:val="Normal"/>
    <w:next w:val="Normal"/>
    <w:autoRedefine/>
    <w:uiPriority w:val="39"/>
    <w:unhideWhenUsed/>
    <w:rsid w:val="00F13C38"/>
    <w:pPr>
      <w:spacing w:after="100" w:line="259" w:lineRule="auto"/>
      <w:ind w:left="660"/>
      <w:jc w:val="left"/>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F13C38"/>
    <w:pPr>
      <w:spacing w:after="100" w:line="259" w:lineRule="auto"/>
      <w:ind w:left="88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F13C38"/>
    <w:pPr>
      <w:spacing w:after="100" w:line="259" w:lineRule="auto"/>
      <w:ind w:left="110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F13C38"/>
    <w:pPr>
      <w:spacing w:after="100" w:line="259" w:lineRule="auto"/>
      <w:ind w:left="132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F13C38"/>
    <w:pPr>
      <w:spacing w:after="100" w:line="259" w:lineRule="auto"/>
      <w:ind w:left="154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F13C38"/>
    <w:pPr>
      <w:spacing w:after="100" w:line="259" w:lineRule="auto"/>
      <w:ind w:left="1760"/>
      <w:jc w:val="left"/>
    </w:pPr>
    <w:rPr>
      <w:rFonts w:asciiTheme="minorHAnsi" w:eastAsiaTheme="minorEastAsia" w:hAnsiTheme="minorHAnsi" w:cstheme="minorBidi"/>
      <w:sz w:val="22"/>
      <w:szCs w:val="22"/>
    </w:rPr>
  </w:style>
  <w:style w:type="paragraph" w:customStyle="1" w:styleId="SESPbodynumbered">
    <w:name w:val="SESP body numbered"/>
    <w:basedOn w:val="Normal"/>
    <w:qFormat/>
    <w:rsid w:val="00522450"/>
    <w:pPr>
      <w:numPr>
        <w:numId w:val="20"/>
      </w:numPr>
      <w:tabs>
        <w:tab w:val="left" w:pos="360"/>
      </w:tabs>
      <w:spacing w:before="120" w:after="120" w:line="264" w:lineRule="auto"/>
      <w:jc w:val="left"/>
    </w:pPr>
    <w:rPr>
      <w:rFonts w:eastAsia="MS Mincho"/>
      <w:szCs w:val="20"/>
      <w:lang w:eastAsia="ja-JP"/>
    </w:rPr>
  </w:style>
  <w:style w:type="paragraph" w:customStyle="1" w:styleId="Outcome">
    <w:name w:val="Outcome"/>
    <w:basedOn w:val="Normal"/>
    <w:link w:val="OutcomeChar"/>
    <w:rsid w:val="00522450"/>
    <w:pPr>
      <w:spacing w:before="120" w:after="120"/>
    </w:pPr>
    <w:rPr>
      <w:rFonts w:ascii="Times New Roman" w:eastAsia="Times New Roman" w:hAnsi="Times New Roman"/>
      <w:bCs/>
      <w:sz w:val="22"/>
      <w:szCs w:val="22"/>
    </w:rPr>
  </w:style>
  <w:style w:type="character" w:customStyle="1" w:styleId="OutcomeChar">
    <w:name w:val="Outcome Char"/>
    <w:link w:val="Outcome"/>
    <w:rsid w:val="00522450"/>
    <w:rPr>
      <w:rFonts w:ascii="Times New Roman" w:eastAsia="Times New Roman" w:hAnsi="Times New Roman"/>
      <w:bCs/>
      <w:sz w:val="22"/>
      <w:szCs w:val="22"/>
      <w:lang w:val="en-GB"/>
    </w:rPr>
  </w:style>
  <w:style w:type="paragraph" w:customStyle="1" w:styleId="TableStyle2">
    <w:name w:val="Table Style 2"/>
    <w:rsid w:val="00FC428D"/>
    <w:pPr>
      <w:pBdr>
        <w:top w:val="nil"/>
        <w:left w:val="nil"/>
        <w:bottom w:val="nil"/>
        <w:right w:val="nil"/>
        <w:between w:val="nil"/>
        <w:bar w:val="nil"/>
      </w:pBdr>
    </w:pPr>
    <w:rPr>
      <w:rFonts w:ascii="Helvetica" w:eastAsia="Arial Unicode MS" w:hAnsi="Helvetica" w:cs="Arial Unicode MS"/>
      <w:color w:val="000000"/>
      <w:bdr w:val="nil"/>
      <w:lang w:bidi="th-TH"/>
    </w:rPr>
  </w:style>
  <w:style w:type="paragraph" w:customStyle="1" w:styleId="bodytext0">
    <w:name w:val="bodytext"/>
    <w:basedOn w:val="Normal"/>
    <w:rsid w:val="00FC428D"/>
    <w:pPr>
      <w:spacing w:before="100" w:beforeAutospacing="1" w:after="100" w:afterAutospacing="1"/>
      <w:jc w:val="left"/>
    </w:pPr>
    <w:rPr>
      <w:rFonts w:ascii="Times New Roman" w:eastAsia="Times New Roman" w:hAnsi="Times New Roman"/>
      <w:sz w:val="24"/>
      <w:lang w:eastAsia="zh-CN"/>
    </w:rPr>
  </w:style>
  <w:style w:type="character" w:customStyle="1" w:styleId="fontstyle01">
    <w:name w:val="fontstyle01"/>
    <w:rsid w:val="00FC428D"/>
    <w:rPr>
      <w:rFonts w:ascii="Arial" w:hAnsi="Arial" w:cs="Arial" w:hint="default"/>
      <w:b w:val="0"/>
      <w:bCs w:val="0"/>
      <w:i w:val="0"/>
      <w:iCs w:val="0"/>
      <w:color w:val="000000"/>
      <w:sz w:val="44"/>
      <w:szCs w:val="44"/>
    </w:rPr>
  </w:style>
  <w:style w:type="character" w:customStyle="1" w:styleId="fontstyle21">
    <w:name w:val="fontstyle21"/>
    <w:rsid w:val="00FC428D"/>
    <w:rPr>
      <w:rFonts w:ascii="Wingdings" w:hAnsi="Wingdings" w:hint="default"/>
      <w:b w:val="0"/>
      <w:bCs w:val="0"/>
      <w:i w:val="0"/>
      <w:iCs w:val="0"/>
      <w:color w:val="000000"/>
      <w:sz w:val="34"/>
      <w:szCs w:val="34"/>
    </w:rPr>
  </w:style>
  <w:style w:type="character" w:customStyle="1" w:styleId="fontstyle31">
    <w:name w:val="fontstyle31"/>
    <w:rsid w:val="00FC428D"/>
    <w:rPr>
      <w:rFonts w:ascii="Arial" w:hAnsi="Arial" w:cs="Arial" w:hint="default"/>
      <w:b w:val="0"/>
      <w:bCs w:val="0"/>
      <w:i/>
      <w:iCs/>
      <w:color w:val="000000"/>
      <w:sz w:val="44"/>
      <w:szCs w:val="44"/>
    </w:rPr>
  </w:style>
  <w:style w:type="character" w:customStyle="1" w:styleId="st">
    <w:name w:val="st"/>
    <w:rsid w:val="00FC428D"/>
  </w:style>
  <w:style w:type="table" w:customStyle="1" w:styleId="TableGrid2">
    <w:name w:val="Table Grid2"/>
    <w:basedOn w:val="TableNormal"/>
    <w:next w:val="TableGrid"/>
    <w:uiPriority w:val="39"/>
    <w:rsid w:val="00FC428D"/>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FC428D"/>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FC428D"/>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FC428D"/>
    <w:rPr>
      <w:rFonts w:ascii="Times New Roman" w:eastAsia="Times New Roman" w:hAnsi="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C428D"/>
    <w:rPr>
      <w:rFonts w:ascii="Times New Roman" w:eastAsia="Times New Roman" w:hAnsi="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FC428D"/>
    <w:rPr>
      <w:rFonts w:ascii="Times New Roman" w:eastAsia="Times New Roman" w:hAnsi="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uiPriority w:val="99"/>
    <w:unhideWhenUsed/>
    <w:rsid w:val="00FC428D"/>
    <w:rPr>
      <w:i/>
      <w:iCs/>
    </w:rPr>
  </w:style>
  <w:style w:type="character" w:customStyle="1" w:styleId="EndnoteTextChar1">
    <w:name w:val="Endnote Text Char1"/>
    <w:aliases w:val="Char Char1"/>
    <w:basedOn w:val="DefaultParagraphFont"/>
    <w:uiPriority w:val="99"/>
    <w:rsid w:val="00FC428D"/>
    <w:rPr>
      <w:rFonts w:ascii="Tahoma" w:eastAsia="SimSun" w:hAnsi="Tahoma" w:cs="Tahoma"/>
      <w:b/>
      <w:color w:val="FFFFFF"/>
      <w:spacing w:val="20"/>
      <w:sz w:val="20"/>
      <w:lang w:eastAsia="zh-CN"/>
    </w:rPr>
  </w:style>
  <w:style w:type="character" w:customStyle="1" w:styleId="CommentTextChar1">
    <w:name w:val="Comment Text Char1"/>
    <w:semiHidden/>
    <w:rsid w:val="00FC428D"/>
    <w:rPr>
      <w:rFonts w:ascii="Calibri" w:eastAsia="SimSun" w:hAnsi="Calibri"/>
    </w:rPr>
  </w:style>
  <w:style w:type="character" w:customStyle="1" w:styleId="Heading8Char1">
    <w:name w:val="Heading 8 Char1"/>
    <w:semiHidden/>
    <w:rsid w:val="00FC428D"/>
    <w:rPr>
      <w:rFonts w:ascii="Calibri" w:eastAsia="Times New Roman" w:hAnsi="Calibri" w:cs="Times New Roman"/>
      <w:color w:val="272727"/>
      <w:sz w:val="21"/>
      <w:szCs w:val="21"/>
    </w:rPr>
  </w:style>
  <w:style w:type="character" w:customStyle="1" w:styleId="BalloonTextChar1">
    <w:name w:val="Balloon Text Char1"/>
    <w:uiPriority w:val="99"/>
    <w:semiHidden/>
    <w:rsid w:val="00FC428D"/>
    <w:rPr>
      <w:rFonts w:ascii="Segoe UI" w:eastAsia="SimSun" w:hAnsi="Segoe UI" w:cs="Segoe UI"/>
      <w:sz w:val="18"/>
      <w:szCs w:val="18"/>
    </w:rPr>
  </w:style>
  <w:style w:type="character" w:customStyle="1" w:styleId="HeaderChar1">
    <w:name w:val="Header Char1"/>
    <w:uiPriority w:val="99"/>
    <w:semiHidden/>
    <w:rsid w:val="00FC428D"/>
    <w:rPr>
      <w:rFonts w:ascii="Calibri" w:eastAsia="SimSun" w:hAnsi="Calibri"/>
      <w:szCs w:val="24"/>
    </w:rPr>
  </w:style>
  <w:style w:type="character" w:customStyle="1" w:styleId="FooterChar1">
    <w:name w:val="Footer Char1"/>
    <w:uiPriority w:val="99"/>
    <w:semiHidden/>
    <w:rsid w:val="00FC428D"/>
    <w:rPr>
      <w:rFonts w:ascii="Calibri" w:eastAsia="SimSun" w:hAnsi="Calibri"/>
      <w:szCs w:val="24"/>
    </w:rPr>
  </w:style>
  <w:style w:type="character" w:customStyle="1" w:styleId="BodyText3Char1">
    <w:name w:val="Body Text 3 Char1"/>
    <w:basedOn w:val="DefaultParagraphFont"/>
    <w:rsid w:val="00FC428D"/>
    <w:rPr>
      <w:sz w:val="16"/>
      <w:szCs w:val="16"/>
    </w:rPr>
  </w:style>
  <w:style w:type="character" w:customStyle="1" w:styleId="BodyTextIndentChar1">
    <w:name w:val="Body Text Indent Char1"/>
    <w:semiHidden/>
    <w:rsid w:val="00FC428D"/>
    <w:rPr>
      <w:rFonts w:ascii="Calibri" w:eastAsia="SimSun" w:hAnsi="Calibri"/>
      <w:szCs w:val="24"/>
    </w:rPr>
  </w:style>
  <w:style w:type="character" w:customStyle="1" w:styleId="BodyTextChar1">
    <w:name w:val="Body Text Char1"/>
    <w:semiHidden/>
    <w:rsid w:val="00FC428D"/>
    <w:rPr>
      <w:rFonts w:ascii="Calibri" w:eastAsia="SimSun" w:hAnsi="Calibri"/>
      <w:szCs w:val="24"/>
    </w:rPr>
  </w:style>
  <w:style w:type="character" w:customStyle="1" w:styleId="BodyText2Char1">
    <w:name w:val="Body Text 2 Char1"/>
    <w:semiHidden/>
    <w:rsid w:val="00FC428D"/>
    <w:rPr>
      <w:rFonts w:ascii="Calibri" w:eastAsia="SimSun" w:hAnsi="Calibri"/>
      <w:szCs w:val="24"/>
    </w:rPr>
  </w:style>
  <w:style w:type="character" w:customStyle="1" w:styleId="CommentSubjectChar1">
    <w:name w:val="Comment Subject Char1"/>
    <w:uiPriority w:val="99"/>
    <w:semiHidden/>
    <w:rsid w:val="00FC428D"/>
    <w:rPr>
      <w:rFonts w:ascii="Calibri" w:eastAsia="SimSun" w:hAnsi="Calibri"/>
      <w:b/>
      <w:bCs/>
    </w:rPr>
  </w:style>
  <w:style w:type="character" w:customStyle="1" w:styleId="TitleChar1">
    <w:name w:val="Title Char1"/>
    <w:basedOn w:val="DefaultParagraphFont"/>
    <w:rsid w:val="00FC428D"/>
    <w:rPr>
      <w:rFonts w:asciiTheme="majorHAnsi" w:eastAsiaTheme="majorEastAsia" w:hAnsiTheme="majorHAnsi" w:cstheme="majorBidi"/>
      <w:spacing w:val="-10"/>
      <w:kern w:val="28"/>
      <w:sz w:val="56"/>
      <w:szCs w:val="56"/>
    </w:rPr>
  </w:style>
  <w:style w:type="table" w:customStyle="1" w:styleId="TableGrid11">
    <w:name w:val="Table Grid11"/>
    <w:basedOn w:val="TableNormal"/>
    <w:uiPriority w:val="39"/>
    <w:rsid w:val="00FC428D"/>
    <w:rPr>
      <w:rFonts w:eastAsia="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aracteresdenotaalpie">
    <w:name w:val="Caracteres de nota al pie"/>
    <w:rsid w:val="00FC428D"/>
  </w:style>
  <w:style w:type="paragraph" w:customStyle="1" w:styleId="m6424146228263277324yiv0260199941msonormal">
    <w:name w:val="m_6424146228263277324yiv0260199941msonormal"/>
    <w:basedOn w:val="Normal"/>
    <w:rsid w:val="00FC428D"/>
    <w:pPr>
      <w:spacing w:before="100" w:beforeAutospacing="1" w:after="100" w:afterAutospacing="1"/>
      <w:jc w:val="left"/>
    </w:pPr>
    <w:rPr>
      <w:rFonts w:ascii="Times New Roman" w:eastAsia="Times New Roman" w:hAnsi="Times New Roman"/>
      <w:sz w:val="24"/>
      <w:lang w:eastAsia="en-GB"/>
    </w:rPr>
  </w:style>
  <w:style w:type="table" w:customStyle="1" w:styleId="TableGrid9">
    <w:name w:val="Table Grid9"/>
    <w:basedOn w:val="TableNormal"/>
    <w:next w:val="TableGrid"/>
    <w:uiPriority w:val="39"/>
    <w:rsid w:val="00FC428D"/>
    <w:rPr>
      <w:rFonts w:ascii="Arial" w:eastAsia="Calibri"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FC428D"/>
    <w:rPr>
      <w:rFonts w:ascii="Arial" w:eastAsia="Calibri"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diumGrid21">
    <w:name w:val="Medium Grid 21"/>
    <w:link w:val="MediumGrid2Char"/>
    <w:uiPriority w:val="1"/>
    <w:qFormat/>
    <w:rsid w:val="00FC428D"/>
    <w:rPr>
      <w:rFonts w:eastAsia="Times New Roman"/>
      <w:sz w:val="22"/>
      <w:szCs w:val="22"/>
    </w:rPr>
  </w:style>
  <w:style w:type="character" w:customStyle="1" w:styleId="MediumGrid11">
    <w:name w:val="Medium Grid 11"/>
    <w:uiPriority w:val="99"/>
    <w:semiHidden/>
    <w:rsid w:val="00FC428D"/>
    <w:rPr>
      <w:color w:val="808080"/>
    </w:rPr>
  </w:style>
  <w:style w:type="paragraph" w:customStyle="1" w:styleId="ColorfulShading-Accent11">
    <w:name w:val="Colorful Shading - Accent 11"/>
    <w:hidden/>
    <w:uiPriority w:val="99"/>
    <w:semiHidden/>
    <w:rsid w:val="00FC428D"/>
    <w:rPr>
      <w:rFonts w:ascii="Times New Roman" w:eastAsia="Times New Roman" w:hAnsi="Times New Roman"/>
      <w:sz w:val="24"/>
      <w:szCs w:val="24"/>
    </w:rPr>
  </w:style>
  <w:style w:type="paragraph" w:customStyle="1" w:styleId="LightGrid-Accent31">
    <w:name w:val="Light Grid - Accent 31"/>
    <w:basedOn w:val="Normal"/>
    <w:qFormat/>
    <w:rsid w:val="00FC428D"/>
    <w:pPr>
      <w:ind w:left="720"/>
      <w:jc w:val="left"/>
    </w:pPr>
    <w:rPr>
      <w:rFonts w:ascii="Times New Roman" w:hAnsi="Times New Roman"/>
      <w:sz w:val="24"/>
    </w:rPr>
  </w:style>
  <w:style w:type="character" w:customStyle="1" w:styleId="MediumShading2-Accent3Char">
    <w:name w:val="Medium Shading 2 - Accent 3 Char"/>
    <w:link w:val="ColorfulGrid-Accent3"/>
    <w:uiPriority w:val="30"/>
    <w:rsid w:val="00FC428D"/>
    <w:rPr>
      <w:b/>
      <w:bCs/>
      <w:i/>
      <w:iCs/>
      <w:color w:val="4F81BD"/>
      <w:sz w:val="24"/>
      <w:szCs w:val="24"/>
    </w:rPr>
  </w:style>
  <w:style w:type="paragraph" w:customStyle="1" w:styleId="yiv7288185750msonormal">
    <w:name w:val="yiv7288185750msonormal"/>
    <w:basedOn w:val="Normal"/>
    <w:rsid w:val="00FC428D"/>
    <w:pPr>
      <w:spacing w:before="100" w:beforeAutospacing="1" w:after="100" w:afterAutospacing="1"/>
      <w:jc w:val="left"/>
    </w:pPr>
    <w:rPr>
      <w:rFonts w:ascii="Times" w:eastAsia="MS Mincho" w:hAnsi="Times"/>
      <w:szCs w:val="20"/>
    </w:rPr>
  </w:style>
  <w:style w:type="character" w:customStyle="1" w:styleId="DocumentMapChar1">
    <w:name w:val="Document Map Char1"/>
    <w:uiPriority w:val="99"/>
    <w:semiHidden/>
    <w:rsid w:val="00FC428D"/>
    <w:rPr>
      <w:rFonts w:ascii="Lucida Grande" w:eastAsia="Times New Roman" w:hAnsi="Lucida Grande" w:cs="Lucida Grande"/>
    </w:rPr>
  </w:style>
  <w:style w:type="paragraph" w:customStyle="1" w:styleId="Tabletext0">
    <w:name w:val="Tabletext"/>
    <w:basedOn w:val="Normal"/>
    <w:autoRedefine/>
    <w:qFormat/>
    <w:rsid w:val="00FC428D"/>
    <w:pPr>
      <w:jc w:val="left"/>
    </w:pPr>
    <w:rPr>
      <w:rFonts w:eastAsia="Calibri"/>
      <w:sz w:val="18"/>
      <w:szCs w:val="18"/>
    </w:rPr>
  </w:style>
  <w:style w:type="paragraph" w:customStyle="1" w:styleId="ProDocbodytext">
    <w:name w:val="ProDoc body text"/>
    <w:basedOn w:val="Normal"/>
    <w:qFormat/>
    <w:rsid w:val="00FC428D"/>
    <w:pPr>
      <w:autoSpaceDE w:val="0"/>
      <w:autoSpaceDN w:val="0"/>
      <w:jc w:val="left"/>
    </w:pPr>
    <w:rPr>
      <w:rFonts w:eastAsia="Calibri" w:cs="Arial"/>
      <w:color w:val="000000"/>
      <w:sz w:val="22"/>
      <w:szCs w:val="20"/>
      <w:lang w:val="de-DE" w:eastAsia="de-DE"/>
    </w:rPr>
  </w:style>
  <w:style w:type="paragraph" w:styleId="Subtitle">
    <w:name w:val="Subtitle"/>
    <w:basedOn w:val="Normal"/>
    <w:next w:val="Normal"/>
    <w:link w:val="SubtitleChar"/>
    <w:uiPriority w:val="11"/>
    <w:qFormat/>
    <w:rsid w:val="00FC428D"/>
    <w:pPr>
      <w:numPr>
        <w:ilvl w:val="1"/>
      </w:numPr>
      <w:spacing w:after="160"/>
    </w:pPr>
    <w:rPr>
      <w:rFonts w:ascii="Arial" w:eastAsia="Times New Roman" w:hAnsi="Arial"/>
      <w:color w:val="000000"/>
      <w:szCs w:val="20"/>
    </w:rPr>
  </w:style>
  <w:style w:type="character" w:customStyle="1" w:styleId="SubtitleChar">
    <w:name w:val="Subtitle Char"/>
    <w:basedOn w:val="DefaultParagraphFont"/>
    <w:link w:val="Subtitle"/>
    <w:uiPriority w:val="11"/>
    <w:rsid w:val="00FC428D"/>
    <w:rPr>
      <w:rFonts w:ascii="Arial" w:eastAsia="Times New Roman" w:hAnsi="Arial"/>
      <w:color w:val="000000"/>
    </w:rPr>
  </w:style>
  <w:style w:type="character" w:customStyle="1" w:styleId="MediumGrid2Char">
    <w:name w:val="Medium Grid 2 Char"/>
    <w:link w:val="MediumGrid21"/>
    <w:uiPriority w:val="1"/>
    <w:rsid w:val="00FC428D"/>
    <w:rPr>
      <w:rFonts w:eastAsia="Times New Roman"/>
      <w:sz w:val="22"/>
      <w:szCs w:val="22"/>
    </w:rPr>
  </w:style>
  <w:style w:type="character" w:customStyle="1" w:styleId="TableGridLight1">
    <w:name w:val="Table Grid Light1"/>
    <w:uiPriority w:val="32"/>
    <w:qFormat/>
    <w:rsid w:val="00FC428D"/>
    <w:rPr>
      <w:b/>
      <w:bCs/>
      <w:smallCaps/>
      <w:color w:val="C0504D"/>
      <w:spacing w:val="5"/>
      <w:u w:val="single"/>
    </w:rPr>
  </w:style>
  <w:style w:type="paragraph" w:customStyle="1" w:styleId="GridTable31">
    <w:name w:val="Grid Table 31"/>
    <w:basedOn w:val="Heading1"/>
    <w:next w:val="Normal"/>
    <w:uiPriority w:val="39"/>
    <w:unhideWhenUsed/>
    <w:qFormat/>
    <w:rsid w:val="00FC428D"/>
    <w:pPr>
      <w:keepLines/>
      <w:numPr>
        <w:numId w:val="0"/>
      </w:numPr>
      <w:pBdr>
        <w:top w:val="none" w:sz="0" w:space="0" w:color="auto"/>
      </w:pBdr>
      <w:suppressAutoHyphens w:val="0"/>
      <w:spacing w:before="480" w:after="0" w:line="276" w:lineRule="auto"/>
      <w:jc w:val="left"/>
      <w:outlineLvl w:val="9"/>
    </w:pPr>
    <w:rPr>
      <w:rFonts w:ascii="Cambria" w:eastAsia="Calibri" w:hAnsi="Cambria"/>
      <w:bCs/>
      <w:smallCaps w:val="0"/>
      <w:color w:val="365F91"/>
      <w:spacing w:val="0"/>
      <w:szCs w:val="28"/>
      <w:lang w:val="en-ZA"/>
    </w:rPr>
  </w:style>
  <w:style w:type="table" w:customStyle="1" w:styleId="LightGrid-Accent32">
    <w:name w:val="Light Grid - Accent 32"/>
    <w:basedOn w:val="TableNormal"/>
    <w:next w:val="ColorfulShading-Accent3"/>
    <w:uiPriority w:val="62"/>
    <w:semiHidden/>
    <w:unhideWhenUsed/>
    <w:rsid w:val="00FC428D"/>
    <w:rPr>
      <w:rFonts w:eastAsia="Calibri"/>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MS Gothic" w:eastAsia="Dotum" w:hAnsi="MS Gothic"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MS Gothic" w:eastAsia="Dotum" w:hAnsi="MS Gothic"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MS Gothic" w:eastAsia="Dotum" w:hAnsi="MS Gothic" w:cs="Times New Roman"/>
        <w:b/>
        <w:bCs/>
      </w:rPr>
    </w:tblStylePr>
    <w:tblStylePr w:type="lastCol">
      <w:rPr>
        <w:rFonts w:ascii="MS Gothic" w:eastAsia="Dotum" w:hAnsi="MS Gothic"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MediumShading2-Accent31">
    <w:name w:val="Medium Shading 2 - Accent 31"/>
    <w:basedOn w:val="TableNormal"/>
    <w:next w:val="ColorfulGrid-Accent3"/>
    <w:uiPriority w:val="30"/>
    <w:semiHidden/>
    <w:unhideWhenUsed/>
    <w:rsid w:val="00FC428D"/>
    <w:rPr>
      <w:rFonts w:eastAsia="Calibri"/>
      <w:b/>
      <w:bCs/>
      <w:i/>
      <w:iCs/>
      <w:color w:val="4F81BD"/>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9BBB59"/>
      </w:tcPr>
    </w:tblStylePr>
    <w:tblStylePr w:type="lastCol">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table" w:styleId="ColorfulShading-Accent3">
    <w:name w:val="Colorful Shading Accent 3"/>
    <w:basedOn w:val="TableNormal"/>
    <w:uiPriority w:val="34"/>
    <w:rsid w:val="00FC428D"/>
    <w:rPr>
      <w:rFonts w:ascii="Times New Roman Bold" w:eastAsia="Times New Roman" w:hAnsi="Times New Roman Bold"/>
      <w:b/>
      <w:smallCaps/>
      <w:noProof/>
      <w:color w:val="000000"/>
      <w:sz w:val="22"/>
      <w:szCs w:val="22"/>
      <w:lang w:val="en-GB"/>
    </w:rPr>
    <w:tblPr>
      <w:tblStyleRowBandSize w:val="1"/>
      <w:tblStyleColBandSize w:val="1"/>
      <w:tblBorders>
        <w:top w:val="single" w:sz="8" w:space="0" w:color="A5A5A5"/>
        <w:left w:val="single" w:sz="8" w:space="0" w:color="A5A5A5"/>
        <w:bottom w:val="single" w:sz="8" w:space="0" w:color="A5A5A5"/>
        <w:right w:val="single" w:sz="8" w:space="0" w:color="A5A5A5"/>
        <w:insideH w:val="single" w:sz="8" w:space="0" w:color="A5A5A5"/>
        <w:insideV w:val="single" w:sz="8" w:space="0" w:color="A5A5A5"/>
      </w:tblBorders>
    </w:tblPr>
    <w:tblStylePr w:type="firstRow">
      <w:pPr>
        <w:spacing w:before="0" w:after="0" w:line="240" w:lineRule="auto"/>
      </w:pPr>
      <w:tblPr/>
      <w:tcPr>
        <w:tcBorders>
          <w:top w:val="single" w:sz="8" w:space="0" w:color="A5A5A5"/>
          <w:left w:val="single" w:sz="8" w:space="0" w:color="A5A5A5"/>
          <w:bottom w:val="single" w:sz="18" w:space="0" w:color="A5A5A5"/>
          <w:right w:val="single" w:sz="8" w:space="0" w:color="A5A5A5"/>
          <w:insideH w:val="nil"/>
          <w:insideV w:val="single" w:sz="8" w:space="0" w:color="A5A5A5"/>
        </w:tcBorders>
      </w:tcPr>
    </w:tblStylePr>
    <w:tblStylePr w:type="lastRow">
      <w:pPr>
        <w:spacing w:before="0" w:after="0" w:line="240" w:lineRule="auto"/>
      </w:pPr>
      <w:tblPr/>
      <w:tcPr>
        <w:tcBorders>
          <w:top w:val="double" w:sz="6" w:space="0" w:color="A5A5A5"/>
          <w:left w:val="single" w:sz="8" w:space="0" w:color="A5A5A5"/>
          <w:bottom w:val="single" w:sz="8" w:space="0" w:color="A5A5A5"/>
          <w:right w:val="single" w:sz="8" w:space="0" w:color="A5A5A5"/>
          <w:insideH w:val="nil"/>
          <w:insideV w:val="single" w:sz="8" w:space="0" w:color="A5A5A5"/>
        </w:tcBorders>
      </w:tcPr>
    </w:tblStylePr>
    <w:tblStylePr w:type="lastCol">
      <w:tblPr/>
      <w:tcPr>
        <w:tcBorders>
          <w:top w:val="single" w:sz="8" w:space="0" w:color="A5A5A5"/>
          <w:left w:val="single" w:sz="8" w:space="0" w:color="A5A5A5"/>
          <w:bottom w:val="single" w:sz="8" w:space="0" w:color="A5A5A5"/>
          <w:right w:val="single" w:sz="8" w:space="0" w:color="A5A5A5"/>
        </w:tcBorders>
      </w:tcPr>
    </w:tblStylePr>
    <w:tblStylePr w:type="band1Vert">
      <w:tblPr/>
      <w:tcPr>
        <w:tcBorders>
          <w:top w:val="single" w:sz="8" w:space="0" w:color="A5A5A5"/>
          <w:left w:val="single" w:sz="8" w:space="0" w:color="A5A5A5"/>
          <w:bottom w:val="single" w:sz="8" w:space="0" w:color="A5A5A5"/>
          <w:right w:val="single" w:sz="8" w:space="0" w:color="A5A5A5"/>
        </w:tcBorders>
        <w:shd w:val="clear" w:color="auto" w:fill="E8E8E8"/>
      </w:tcPr>
    </w:tblStylePr>
    <w:tblStylePr w:type="band1Horz">
      <w:tblPr/>
      <w:tcPr>
        <w:tcBorders>
          <w:top w:val="single" w:sz="8" w:space="0" w:color="A5A5A5"/>
          <w:left w:val="single" w:sz="8" w:space="0" w:color="A5A5A5"/>
          <w:bottom w:val="single" w:sz="8" w:space="0" w:color="A5A5A5"/>
          <w:right w:val="single" w:sz="8" w:space="0" w:color="A5A5A5"/>
          <w:insideV w:val="single" w:sz="8" w:space="0" w:color="A5A5A5"/>
        </w:tcBorders>
        <w:shd w:val="clear" w:color="auto" w:fill="E8E8E8"/>
      </w:tcPr>
    </w:tblStylePr>
    <w:tblStylePr w:type="band2Horz">
      <w:tblPr/>
      <w:tcPr>
        <w:tcBorders>
          <w:top w:val="single" w:sz="8" w:space="0" w:color="A5A5A5"/>
          <w:left w:val="single" w:sz="8" w:space="0" w:color="A5A5A5"/>
          <w:bottom w:val="single" w:sz="8" w:space="0" w:color="A5A5A5"/>
          <w:right w:val="single" w:sz="8" w:space="0" w:color="A5A5A5"/>
          <w:insideV w:val="single" w:sz="8" w:space="0" w:color="A5A5A5"/>
        </w:tcBorders>
      </w:tcPr>
    </w:tblStylePr>
  </w:style>
  <w:style w:type="table" w:styleId="ColorfulGrid-Accent3">
    <w:name w:val="Colorful Grid Accent 3"/>
    <w:basedOn w:val="TableNormal"/>
    <w:link w:val="MediumShading2-Accent3Char"/>
    <w:uiPriority w:val="30"/>
    <w:rsid w:val="00FC428D"/>
    <w:rPr>
      <w:b/>
      <w:bCs/>
      <w:i/>
      <w:iCs/>
      <w:color w:val="4F81BD"/>
      <w:sz w:val="24"/>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tblPr/>
      <w:tcPr>
        <w:tcBorders>
          <w:top w:val="single" w:sz="18" w:space="0" w:color="auto"/>
          <w:left w:val="nil"/>
          <w:bottom w:val="single" w:sz="18" w:space="0" w:color="auto"/>
          <w:right w:val="nil"/>
          <w:insideH w:val="nil"/>
          <w:insideV w:val="nil"/>
        </w:tcBorders>
        <w:shd w:val="clear" w:color="auto" w:fill="A5A5A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tblPr/>
      <w:tcPr>
        <w:tcBorders>
          <w:top w:val="nil"/>
          <w:left w:val="nil"/>
          <w:bottom w:val="single" w:sz="18" w:space="0" w:color="auto"/>
          <w:right w:val="nil"/>
          <w:insideH w:val="nil"/>
          <w:insideV w:val="nil"/>
        </w:tcBorders>
        <w:shd w:val="clear" w:color="auto" w:fill="A5A5A5"/>
      </w:tcPr>
    </w:tblStylePr>
    <w:tblStylePr w:type="lastCol">
      <w:tblPr/>
      <w:tcPr>
        <w:tcBorders>
          <w:left w:val="nil"/>
          <w:right w:val="nil"/>
          <w:insideH w:val="nil"/>
          <w:insideV w:val="nil"/>
        </w:tcBorders>
        <w:shd w:val="clear" w:color="auto" w:fill="A5A5A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tblPr/>
      <w:tcPr>
        <w:tcBorders>
          <w:top w:val="single" w:sz="18" w:space="0" w:color="auto"/>
          <w:left w:val="nil"/>
          <w:bottom w:val="single" w:sz="18" w:space="0" w:color="auto"/>
          <w:right w:val="nil"/>
          <w:insideH w:val="nil"/>
          <w:insideV w:val="nil"/>
        </w:tcBorders>
      </w:tcPr>
    </w:tblStylePr>
  </w:style>
  <w:style w:type="character" w:customStyle="1" w:styleId="u-visually-hidden">
    <w:name w:val="u-visually-hidden"/>
    <w:rsid w:val="00FC428D"/>
  </w:style>
  <w:style w:type="character" w:customStyle="1" w:styleId="w8qarf">
    <w:name w:val="w8qarf"/>
    <w:rsid w:val="00FC428D"/>
  </w:style>
  <w:style w:type="character" w:customStyle="1" w:styleId="lrzxr">
    <w:name w:val="lrzxr"/>
    <w:rsid w:val="00FC428D"/>
  </w:style>
  <w:style w:type="paragraph" w:customStyle="1" w:styleId="yiv6010512555msonormal">
    <w:name w:val="yiv6010512555msonormal"/>
    <w:basedOn w:val="Normal"/>
    <w:rsid w:val="00FC428D"/>
    <w:pPr>
      <w:spacing w:before="100" w:beforeAutospacing="1" w:after="100" w:afterAutospacing="1"/>
      <w:jc w:val="left"/>
    </w:pPr>
    <w:rPr>
      <w:rFonts w:ascii="Times" w:eastAsia="Times New Roman" w:hAnsi="Times"/>
      <w:szCs w:val="20"/>
    </w:rPr>
  </w:style>
  <w:style w:type="character" w:customStyle="1" w:styleId="pg-1ff1">
    <w:name w:val="pg-1ff1"/>
    <w:basedOn w:val="DefaultParagraphFont"/>
    <w:rsid w:val="00FC428D"/>
  </w:style>
  <w:style w:type="character" w:customStyle="1" w:styleId="pg-1ff3">
    <w:name w:val="pg-1ff3"/>
    <w:basedOn w:val="DefaultParagraphFont"/>
    <w:rsid w:val="00FC428D"/>
  </w:style>
  <w:style w:type="paragraph" w:styleId="Quote">
    <w:name w:val="Quote"/>
    <w:basedOn w:val="Normal"/>
    <w:next w:val="Normal"/>
    <w:link w:val="QuoteChar"/>
    <w:uiPriority w:val="29"/>
    <w:qFormat/>
    <w:rsid w:val="00FC428D"/>
    <w:pPr>
      <w:spacing w:before="240" w:after="240" w:line="252" w:lineRule="auto"/>
      <w:ind w:left="864" w:right="864"/>
      <w:jc w:val="center"/>
    </w:pPr>
    <w:rPr>
      <w:rFonts w:ascii="Times New Roman" w:eastAsia="Times New Roman" w:hAnsi="Times New Roman"/>
      <w:i/>
      <w:iCs/>
      <w:sz w:val="24"/>
      <w:lang w:eastAsia="en-GB"/>
    </w:rPr>
  </w:style>
  <w:style w:type="character" w:customStyle="1" w:styleId="QuoteChar">
    <w:name w:val="Quote Char"/>
    <w:basedOn w:val="DefaultParagraphFont"/>
    <w:link w:val="Quote"/>
    <w:uiPriority w:val="29"/>
    <w:rsid w:val="00FC428D"/>
    <w:rPr>
      <w:rFonts w:ascii="Times New Roman" w:eastAsia="Times New Roman" w:hAnsi="Times New Roman"/>
      <w:i/>
      <w:iCs/>
      <w:sz w:val="24"/>
      <w:szCs w:val="24"/>
      <w:lang w:val="en-GB" w:eastAsia="en-GB"/>
    </w:rPr>
  </w:style>
  <w:style w:type="paragraph" w:styleId="IntenseQuote">
    <w:name w:val="Intense Quote"/>
    <w:basedOn w:val="Normal"/>
    <w:next w:val="Normal"/>
    <w:link w:val="IntenseQuoteChar"/>
    <w:uiPriority w:val="30"/>
    <w:qFormat/>
    <w:rsid w:val="00FC428D"/>
    <w:pPr>
      <w:spacing w:before="100" w:beforeAutospacing="1" w:after="240"/>
      <w:ind w:left="864" w:right="864"/>
      <w:jc w:val="center"/>
    </w:pPr>
    <w:rPr>
      <w:rFonts w:ascii="Calibri Light" w:hAnsi="Calibri Light"/>
      <w:color w:val="5B9BD5"/>
      <w:sz w:val="28"/>
      <w:szCs w:val="28"/>
      <w:lang w:eastAsia="en-GB"/>
    </w:rPr>
  </w:style>
  <w:style w:type="character" w:customStyle="1" w:styleId="IntenseQuoteChar">
    <w:name w:val="Intense Quote Char"/>
    <w:basedOn w:val="DefaultParagraphFont"/>
    <w:link w:val="IntenseQuote"/>
    <w:uiPriority w:val="30"/>
    <w:rsid w:val="00FC428D"/>
    <w:rPr>
      <w:rFonts w:ascii="Calibri Light" w:hAnsi="Calibri Light"/>
      <w:color w:val="5B9BD5"/>
      <w:sz w:val="28"/>
      <w:szCs w:val="28"/>
      <w:lang w:val="en-GB" w:eastAsia="en-GB"/>
    </w:rPr>
  </w:style>
  <w:style w:type="character" w:styleId="SubtleEmphasis">
    <w:name w:val="Subtle Emphasis"/>
    <w:uiPriority w:val="19"/>
    <w:qFormat/>
    <w:rsid w:val="00FC428D"/>
    <w:rPr>
      <w:i/>
      <w:iCs/>
      <w:color w:val="595959"/>
    </w:rPr>
  </w:style>
  <w:style w:type="character" w:styleId="IntenseEmphasis">
    <w:name w:val="Intense Emphasis"/>
    <w:uiPriority w:val="21"/>
    <w:qFormat/>
    <w:rsid w:val="00FC428D"/>
    <w:rPr>
      <w:b/>
      <w:bCs/>
      <w:i/>
      <w:iCs/>
    </w:rPr>
  </w:style>
  <w:style w:type="character" w:styleId="SubtleReference">
    <w:name w:val="Subtle Reference"/>
    <w:uiPriority w:val="31"/>
    <w:qFormat/>
    <w:rsid w:val="00FC428D"/>
    <w:rPr>
      <w:smallCaps/>
      <w:color w:val="404040"/>
    </w:rPr>
  </w:style>
  <w:style w:type="character" w:styleId="BookTitle">
    <w:name w:val="Book Title"/>
    <w:uiPriority w:val="33"/>
    <w:qFormat/>
    <w:rsid w:val="00FC428D"/>
    <w:rPr>
      <w:b/>
      <w:bCs/>
      <w:smallCaps/>
    </w:rPr>
  </w:style>
  <w:style w:type="character" w:customStyle="1" w:styleId="superscript">
    <w:name w:val="superscript"/>
    <w:rsid w:val="00FC428D"/>
  </w:style>
  <w:style w:type="character" w:customStyle="1" w:styleId="eop">
    <w:name w:val="eop"/>
    <w:rsid w:val="00FC428D"/>
  </w:style>
  <w:style w:type="paragraph" w:customStyle="1" w:styleId="paragraph0">
    <w:name w:val="paragraph"/>
    <w:basedOn w:val="Normal"/>
    <w:rsid w:val="00FC428D"/>
    <w:pPr>
      <w:spacing w:before="100" w:beforeAutospacing="1" w:after="100" w:afterAutospacing="1"/>
      <w:jc w:val="left"/>
    </w:pPr>
    <w:rPr>
      <w:rFonts w:ascii="Times New Roman" w:eastAsia="Times New Roman" w:hAnsi="Times New Roman"/>
      <w:sz w:val="24"/>
      <w:lang w:eastAsia="en-GB"/>
    </w:rPr>
  </w:style>
  <w:style w:type="character" w:customStyle="1" w:styleId="tlid-translation">
    <w:name w:val="tlid-translation"/>
    <w:rsid w:val="00FC428D"/>
  </w:style>
  <w:style w:type="paragraph" w:customStyle="1" w:styleId="BodyA">
    <w:name w:val="Body A"/>
    <w:rsid w:val="00FC428D"/>
    <w:rPr>
      <w:rFonts w:eastAsia="Calibri" w:cs="Calibri"/>
      <w:color w:val="000000"/>
      <w:u w:color="000000"/>
      <w:lang w:eastAsia="ja-JP"/>
    </w:rPr>
  </w:style>
  <w:style w:type="character" w:customStyle="1" w:styleId="Hyperlink3">
    <w:name w:val="Hyperlink.3"/>
    <w:rsid w:val="00FC428D"/>
    <w:rPr>
      <w:lang w:val="en-US"/>
    </w:rPr>
  </w:style>
  <w:style w:type="character" w:customStyle="1" w:styleId="None">
    <w:name w:val="None"/>
    <w:rsid w:val="00FC428D"/>
  </w:style>
  <w:style w:type="character" w:customStyle="1" w:styleId="UnresolvedMention2">
    <w:name w:val="Unresolved Mention2"/>
    <w:basedOn w:val="DefaultParagraphFont"/>
    <w:uiPriority w:val="99"/>
    <w:semiHidden/>
    <w:unhideWhenUsed/>
    <w:rsid w:val="00FC428D"/>
    <w:rPr>
      <w:color w:val="605E5C"/>
      <w:shd w:val="clear" w:color="auto" w:fill="E1DFDD"/>
    </w:rPr>
  </w:style>
  <w:style w:type="character" w:customStyle="1" w:styleId="transsent">
    <w:name w:val="transsent"/>
    <w:rsid w:val="00524F87"/>
  </w:style>
  <w:style w:type="paragraph" w:customStyle="1" w:styleId="tgt">
    <w:name w:val="_tgt"/>
    <w:basedOn w:val="Normal"/>
    <w:rsid w:val="00524F87"/>
    <w:pPr>
      <w:spacing w:before="100" w:beforeAutospacing="1" w:after="100" w:afterAutospacing="1"/>
      <w:jc w:val="left"/>
    </w:pPr>
    <w:rPr>
      <w:rFonts w:ascii="SimSun" w:hAnsi="SimSun" w:cs="SimSun"/>
      <w:sz w:val="24"/>
      <w:lang w:eastAsia="zh-CN"/>
    </w:rPr>
  </w:style>
  <w:style w:type="character" w:customStyle="1" w:styleId="bodylink">
    <w:name w:val="bodylink"/>
    <w:rsid w:val="00524F87"/>
  </w:style>
  <w:style w:type="character" w:customStyle="1" w:styleId="cf01">
    <w:name w:val="cf01"/>
    <w:basedOn w:val="DefaultParagraphFont"/>
    <w:rsid w:val="00EB04CC"/>
    <w:rPr>
      <w:rFonts w:ascii="Segoe UI" w:hAnsi="Segoe UI" w:cs="Segoe UI" w:hint="default"/>
      <w:b/>
      <w:bCs/>
      <w:sz w:val="18"/>
      <w:szCs w:val="18"/>
    </w:rPr>
  </w:style>
  <w:style w:type="character" w:customStyle="1" w:styleId="cf11">
    <w:name w:val="cf11"/>
    <w:basedOn w:val="DefaultParagraphFont"/>
    <w:rsid w:val="00EB04CC"/>
    <w:rPr>
      <w:rFonts w:ascii="Segoe UI" w:hAnsi="Segoe UI" w:cs="Segoe UI" w:hint="default"/>
      <w:sz w:val="18"/>
      <w:szCs w:val="18"/>
    </w:rPr>
  </w:style>
  <w:style w:type="character" w:customStyle="1" w:styleId="cf21">
    <w:name w:val="cf21"/>
    <w:basedOn w:val="DefaultParagraphFont"/>
    <w:rsid w:val="00EB04CC"/>
    <w:rPr>
      <w:rFonts w:ascii="Segoe UI" w:hAnsi="Segoe UI" w:cs="Segoe UI" w:hint="default"/>
      <w:i/>
      <w:iCs/>
      <w:sz w:val="18"/>
      <w:szCs w:val="18"/>
    </w:rPr>
  </w:style>
  <w:style w:type="paragraph" w:customStyle="1" w:styleId="pf0">
    <w:name w:val="pf0"/>
    <w:basedOn w:val="Normal"/>
    <w:rsid w:val="004C3311"/>
    <w:pPr>
      <w:spacing w:before="100" w:beforeAutospacing="1" w:after="100" w:afterAutospacing="1"/>
      <w:jc w:val="left"/>
    </w:pPr>
    <w:rPr>
      <w:rFonts w:ascii="Times New Roman" w:eastAsia="Times New Roman" w:hAnsi="Times New Roman"/>
      <w:sz w:val="24"/>
    </w:rPr>
  </w:style>
  <w:style w:type="character" w:styleId="Mention">
    <w:name w:val="Mention"/>
    <w:basedOn w:val="DefaultParagraphFont"/>
    <w:uiPriority w:val="99"/>
    <w:unhideWhenUsed/>
    <w:rsid w:val="004C3311"/>
    <w:rPr>
      <w:color w:val="2B579A"/>
      <w:shd w:val="clear" w:color="auto" w:fill="E6E6E6"/>
    </w:rPr>
  </w:style>
  <w:style w:type="paragraph" w:customStyle="1" w:styleId="EndNoteBibliography">
    <w:name w:val="EndNote Bibliography"/>
    <w:basedOn w:val="Normal"/>
    <w:link w:val="EndNoteBibliographyChar"/>
    <w:rsid w:val="004B13B4"/>
    <w:rPr>
      <w:rFonts w:cs="Calibri"/>
      <w:noProof/>
    </w:rPr>
  </w:style>
  <w:style w:type="character" w:customStyle="1" w:styleId="EndNoteBibliographyChar">
    <w:name w:val="EndNote Bibliography Char"/>
    <w:basedOn w:val="DefaultParagraphFont"/>
    <w:link w:val="EndNoteBibliography"/>
    <w:rsid w:val="004B13B4"/>
    <w:rPr>
      <w:rFonts w:cs="Calibri"/>
      <w:noProof/>
      <w:szCs w:val="24"/>
    </w:rPr>
  </w:style>
  <w:style w:type="character" w:customStyle="1" w:styleId="A1">
    <w:name w:val="A1"/>
    <w:uiPriority w:val="99"/>
    <w:rsid w:val="00403B42"/>
    <w:rPr>
      <w:rFonts w:cs="Cambria"/>
      <w:color w:val="211D1E"/>
      <w:sz w:val="20"/>
      <w:szCs w:val="20"/>
    </w:rPr>
  </w:style>
  <w:style w:type="paragraph" w:customStyle="1" w:styleId="font6">
    <w:name w:val="font6"/>
    <w:basedOn w:val="Normal"/>
    <w:rsid w:val="00403B42"/>
    <w:pPr>
      <w:spacing w:before="100" w:beforeAutospacing="1" w:after="100" w:afterAutospacing="1"/>
      <w:jc w:val="left"/>
    </w:pPr>
    <w:rPr>
      <w:rFonts w:eastAsia="Times New Roman" w:cs="Calibri"/>
      <w:sz w:val="16"/>
      <w:szCs w:val="16"/>
    </w:rPr>
  </w:style>
  <w:style w:type="paragraph" w:customStyle="1" w:styleId="xl100">
    <w:name w:val="xl100"/>
    <w:basedOn w:val="Normal"/>
    <w:rsid w:val="00403B42"/>
    <w:pPr>
      <w:pBdr>
        <w:top w:val="single" w:sz="4" w:space="0" w:color="auto"/>
        <w:left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b/>
      <w:bCs/>
      <w:sz w:val="16"/>
      <w:szCs w:val="16"/>
    </w:rPr>
  </w:style>
  <w:style w:type="paragraph" w:customStyle="1" w:styleId="xl101">
    <w:name w:val="xl101"/>
    <w:basedOn w:val="Normal"/>
    <w:rsid w:val="00403B42"/>
    <w:pPr>
      <w:pBdr>
        <w:left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b/>
      <w:bCs/>
      <w:sz w:val="16"/>
      <w:szCs w:val="16"/>
    </w:rPr>
  </w:style>
  <w:style w:type="paragraph" w:customStyle="1" w:styleId="xl102">
    <w:name w:val="xl102"/>
    <w:basedOn w:val="Normal"/>
    <w:rsid w:val="00403B42"/>
    <w:pPr>
      <w:pBdr>
        <w:left w:val="single" w:sz="4" w:space="0" w:color="auto"/>
        <w:bottom w:val="single" w:sz="4" w:space="0" w:color="auto"/>
        <w:right w:val="single" w:sz="4" w:space="0" w:color="auto"/>
      </w:pBdr>
      <w:shd w:val="clear" w:color="000000" w:fill="FFFFFF"/>
      <w:spacing w:before="100" w:beforeAutospacing="1" w:after="100" w:afterAutospacing="1"/>
      <w:jc w:val="left"/>
      <w:textAlignment w:val="center"/>
    </w:pPr>
    <w:rPr>
      <w:rFonts w:ascii="Times New Roman" w:eastAsia="Times New Roman" w:hAnsi="Times New Roman"/>
      <w:b/>
      <w:bCs/>
      <w:sz w:val="16"/>
      <w:szCs w:val="16"/>
    </w:rPr>
  </w:style>
  <w:style w:type="paragraph" w:customStyle="1" w:styleId="xl103">
    <w:name w:val="xl103"/>
    <w:basedOn w:val="Normal"/>
    <w:rsid w:val="00403B42"/>
    <w:pPr>
      <w:pBdr>
        <w:top w:val="single" w:sz="4" w:space="0" w:color="auto"/>
        <w:left w:val="single" w:sz="4" w:space="0" w:color="auto"/>
        <w:bottom w:val="single" w:sz="4" w:space="0" w:color="auto"/>
      </w:pBdr>
      <w:spacing w:before="100" w:beforeAutospacing="1" w:after="100" w:afterAutospacing="1"/>
      <w:jc w:val="left"/>
      <w:textAlignment w:val="center"/>
    </w:pPr>
    <w:rPr>
      <w:rFonts w:ascii="Times New Roman" w:eastAsia="Times New Roman" w:hAnsi="Times New Roman"/>
      <w:b/>
      <w:bCs/>
      <w:sz w:val="16"/>
      <w:szCs w:val="16"/>
    </w:rPr>
  </w:style>
  <w:style w:type="paragraph" w:customStyle="1" w:styleId="xl104">
    <w:name w:val="xl104"/>
    <w:basedOn w:val="Normal"/>
    <w:rsid w:val="00403B42"/>
    <w:pPr>
      <w:pBdr>
        <w:top w:val="single" w:sz="4" w:space="0" w:color="auto"/>
        <w:bottom w:val="single" w:sz="4" w:space="0" w:color="auto"/>
      </w:pBdr>
      <w:spacing w:before="100" w:beforeAutospacing="1" w:after="100" w:afterAutospacing="1"/>
      <w:jc w:val="left"/>
      <w:textAlignment w:val="center"/>
    </w:pPr>
    <w:rPr>
      <w:rFonts w:ascii="Times New Roman" w:eastAsia="Times New Roman" w:hAnsi="Times New Roman"/>
      <w:b/>
      <w:bCs/>
      <w:sz w:val="16"/>
      <w:szCs w:val="16"/>
    </w:rPr>
  </w:style>
  <w:style w:type="paragraph" w:customStyle="1" w:styleId="xl105">
    <w:name w:val="xl105"/>
    <w:basedOn w:val="Normal"/>
    <w:rsid w:val="00403B42"/>
    <w:pPr>
      <w:pBdr>
        <w:top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b/>
      <w:bCs/>
      <w:sz w:val="16"/>
      <w:szCs w:val="16"/>
    </w:rPr>
  </w:style>
  <w:style w:type="paragraph" w:customStyle="1" w:styleId="xl106">
    <w:name w:val="xl106"/>
    <w:basedOn w:val="Normal"/>
    <w:rsid w:val="00403B42"/>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sz w:val="16"/>
      <w:szCs w:val="16"/>
    </w:rPr>
  </w:style>
  <w:style w:type="paragraph" w:customStyle="1" w:styleId="xl107">
    <w:name w:val="xl107"/>
    <w:basedOn w:val="Normal"/>
    <w:rsid w:val="00403B4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b/>
      <w:bCs/>
      <w:sz w:val="16"/>
      <w:szCs w:val="16"/>
    </w:rPr>
  </w:style>
  <w:style w:type="paragraph" w:customStyle="1" w:styleId="xl108">
    <w:name w:val="xl108"/>
    <w:basedOn w:val="Normal"/>
    <w:rsid w:val="00403B42"/>
    <w:pPr>
      <w:pBdr>
        <w:top w:val="single" w:sz="4" w:space="0" w:color="auto"/>
        <w:left w:val="single" w:sz="4" w:space="0" w:color="auto"/>
        <w:bottom w:val="single" w:sz="4" w:space="0" w:color="auto"/>
      </w:pBdr>
      <w:shd w:val="clear" w:color="000000" w:fill="FFD966"/>
      <w:spacing w:before="100" w:beforeAutospacing="1" w:after="100" w:afterAutospacing="1"/>
      <w:jc w:val="left"/>
      <w:textAlignment w:val="center"/>
    </w:pPr>
    <w:rPr>
      <w:rFonts w:ascii="Times New Roman" w:eastAsia="Times New Roman" w:hAnsi="Times New Roman"/>
      <w:b/>
      <w:bCs/>
      <w:sz w:val="16"/>
      <w:szCs w:val="16"/>
    </w:rPr>
  </w:style>
  <w:style w:type="paragraph" w:customStyle="1" w:styleId="xl109">
    <w:name w:val="xl109"/>
    <w:basedOn w:val="Normal"/>
    <w:rsid w:val="00403B42"/>
    <w:pPr>
      <w:pBdr>
        <w:top w:val="single" w:sz="4" w:space="0" w:color="auto"/>
        <w:bottom w:val="single" w:sz="4" w:space="0" w:color="auto"/>
      </w:pBdr>
      <w:shd w:val="clear" w:color="000000" w:fill="FFD966"/>
      <w:spacing w:before="100" w:beforeAutospacing="1" w:after="100" w:afterAutospacing="1"/>
      <w:jc w:val="left"/>
      <w:textAlignment w:val="center"/>
    </w:pPr>
    <w:rPr>
      <w:rFonts w:ascii="Times New Roman" w:eastAsia="Times New Roman" w:hAnsi="Times New Roman"/>
      <w:b/>
      <w:bCs/>
      <w:sz w:val="16"/>
      <w:szCs w:val="16"/>
    </w:rPr>
  </w:style>
  <w:style w:type="paragraph" w:customStyle="1" w:styleId="xl110">
    <w:name w:val="xl110"/>
    <w:basedOn w:val="Normal"/>
    <w:rsid w:val="00403B42"/>
    <w:pPr>
      <w:pBdr>
        <w:top w:val="single" w:sz="4" w:space="0" w:color="auto"/>
        <w:bottom w:val="single" w:sz="4" w:space="0" w:color="auto"/>
        <w:right w:val="single" w:sz="4" w:space="0" w:color="auto"/>
      </w:pBdr>
      <w:shd w:val="clear" w:color="000000" w:fill="FFD966"/>
      <w:spacing w:before="100" w:beforeAutospacing="1" w:after="100" w:afterAutospacing="1"/>
      <w:jc w:val="left"/>
      <w:textAlignment w:val="center"/>
    </w:pPr>
    <w:rPr>
      <w:rFonts w:ascii="Times New Roman" w:eastAsia="Times New Roman" w:hAnsi="Times New Roman"/>
      <w:b/>
      <w:bCs/>
      <w:sz w:val="16"/>
      <w:szCs w:val="16"/>
    </w:rPr>
  </w:style>
  <w:style w:type="paragraph" w:customStyle="1" w:styleId="xl111">
    <w:name w:val="xl111"/>
    <w:basedOn w:val="Normal"/>
    <w:rsid w:val="00403B42"/>
    <w:pPr>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b/>
      <w:bCs/>
      <w:sz w:val="16"/>
      <w:szCs w:val="16"/>
    </w:rPr>
  </w:style>
  <w:style w:type="paragraph" w:customStyle="1" w:styleId="xl112">
    <w:name w:val="xl112"/>
    <w:basedOn w:val="Normal"/>
    <w:rsid w:val="00403B42"/>
    <w:pPr>
      <w:pBdr>
        <w:left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b/>
      <w:bCs/>
      <w:sz w:val="16"/>
      <w:szCs w:val="16"/>
    </w:rPr>
  </w:style>
  <w:style w:type="paragraph" w:customStyle="1" w:styleId="xl113">
    <w:name w:val="xl113"/>
    <w:basedOn w:val="Normal"/>
    <w:rsid w:val="00403B42"/>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Times New Roman" w:hAnsi="Times New Roman"/>
      <w:b/>
      <w:bCs/>
      <w:sz w:val="16"/>
      <w:szCs w:val="16"/>
    </w:rPr>
  </w:style>
  <w:style w:type="paragraph" w:customStyle="1" w:styleId="xl114">
    <w:name w:val="xl114"/>
    <w:basedOn w:val="Normal"/>
    <w:rsid w:val="00403B42"/>
    <w:pPr>
      <w:pBdr>
        <w:top w:val="single" w:sz="4" w:space="0" w:color="auto"/>
        <w:left w:val="single" w:sz="4" w:space="0" w:color="auto"/>
        <w:bottom w:val="single" w:sz="4" w:space="0" w:color="auto"/>
      </w:pBdr>
      <w:shd w:val="clear" w:color="000000" w:fill="FFF2CC"/>
      <w:spacing w:before="100" w:beforeAutospacing="1" w:after="100" w:afterAutospacing="1"/>
      <w:jc w:val="left"/>
      <w:textAlignment w:val="center"/>
    </w:pPr>
    <w:rPr>
      <w:rFonts w:ascii="Times New Roman" w:eastAsia="Times New Roman" w:hAnsi="Times New Roman"/>
      <w:b/>
      <w:bCs/>
      <w:sz w:val="16"/>
      <w:szCs w:val="16"/>
    </w:rPr>
  </w:style>
  <w:style w:type="paragraph" w:customStyle="1" w:styleId="xl115">
    <w:name w:val="xl115"/>
    <w:basedOn w:val="Normal"/>
    <w:rsid w:val="00403B42"/>
    <w:pPr>
      <w:pBdr>
        <w:top w:val="single" w:sz="4" w:space="0" w:color="auto"/>
        <w:bottom w:val="single" w:sz="4" w:space="0" w:color="auto"/>
      </w:pBdr>
      <w:shd w:val="clear" w:color="000000" w:fill="FFF2CC"/>
      <w:spacing w:before="100" w:beforeAutospacing="1" w:after="100" w:afterAutospacing="1"/>
      <w:jc w:val="left"/>
      <w:textAlignment w:val="center"/>
    </w:pPr>
    <w:rPr>
      <w:rFonts w:ascii="Times New Roman" w:eastAsia="Times New Roman" w:hAnsi="Times New Roman"/>
      <w:b/>
      <w:bCs/>
      <w:sz w:val="16"/>
      <w:szCs w:val="16"/>
    </w:rPr>
  </w:style>
  <w:style w:type="paragraph" w:customStyle="1" w:styleId="xl116">
    <w:name w:val="xl116"/>
    <w:basedOn w:val="Normal"/>
    <w:rsid w:val="00403B42"/>
    <w:pPr>
      <w:pBdr>
        <w:top w:val="single" w:sz="4" w:space="0" w:color="auto"/>
        <w:bottom w:val="single" w:sz="4" w:space="0" w:color="auto"/>
        <w:right w:val="single" w:sz="4" w:space="0" w:color="auto"/>
      </w:pBdr>
      <w:shd w:val="clear" w:color="000000" w:fill="FFF2CC"/>
      <w:spacing w:before="100" w:beforeAutospacing="1" w:after="100" w:afterAutospacing="1"/>
      <w:jc w:val="left"/>
      <w:textAlignment w:val="center"/>
    </w:pPr>
    <w:rPr>
      <w:rFonts w:ascii="Times New Roman" w:eastAsia="Times New Roman" w:hAnsi="Times New Roman"/>
      <w:b/>
      <w:bCs/>
      <w:sz w:val="16"/>
      <w:szCs w:val="16"/>
    </w:rPr>
  </w:style>
  <w:style w:type="character" w:customStyle="1" w:styleId="s1">
    <w:name w:val="s1"/>
    <w:basedOn w:val="DefaultParagraphFont"/>
    <w:rsid w:val="00163D27"/>
    <w:rPr>
      <w:rFonts w:ascii="Times New Roman" w:hAnsi="Times New Roman" w:cs="Times New Roman" w:hint="default"/>
      <w:b w:val="0"/>
      <w:bCs w:val="0"/>
      <w:i w:val="0"/>
      <w:iCs w:val="0"/>
      <w:sz w:val="18"/>
      <w:szCs w:val="18"/>
    </w:rPr>
  </w:style>
  <w:style w:type="character" w:customStyle="1" w:styleId="ui-provider">
    <w:name w:val="ui-provider"/>
    <w:basedOn w:val="DefaultParagraphFont"/>
    <w:rsid w:val="00C70E3C"/>
  </w:style>
  <w:style w:type="character" w:customStyle="1" w:styleId="FootnoteTextChar2">
    <w:name w:val="Footnote Text Char2"/>
    <w:aliases w:val="Geneva 9 Char1,Font: Geneva 9 Char1,Boston 10 Char1,f Char1,single space Char1,footnote text Char1,Footnote Char1,otnote Text Char1,Footnote Text Char Char Char Char2,Footnote Text Char Char Char Char Char Char Char Char2,fn Char"/>
    <w:basedOn w:val="DefaultParagraphFont"/>
    <w:uiPriority w:val="99"/>
    <w:semiHidden/>
    <w:rsid w:val="003D0BA2"/>
    <w:rPr>
      <w:sz w:val="20"/>
      <w:szCs w:val="20"/>
    </w:rPr>
  </w:style>
  <w:style w:type="paragraph" w:customStyle="1" w:styleId="Table">
    <w:name w:val="Table"/>
    <w:basedOn w:val="Normal"/>
    <w:link w:val="TableChar"/>
    <w:qFormat/>
    <w:rsid w:val="005076C7"/>
    <w:pPr>
      <w:ind w:left="187"/>
      <w:jc w:val="left"/>
    </w:pPr>
    <w:rPr>
      <w:rFonts w:ascii="Arial" w:eastAsia="Times New Roman" w:hAnsi="Arial"/>
      <w:color w:val="000000"/>
      <w:szCs w:val="20"/>
    </w:rPr>
  </w:style>
  <w:style w:type="character" w:customStyle="1" w:styleId="TableChar">
    <w:name w:val="Table Char"/>
    <w:link w:val="Table"/>
    <w:rsid w:val="005076C7"/>
    <w:rPr>
      <w:rFonts w:ascii="Arial" w:eastAsia="Times New Roman" w:hAnsi="Arial"/>
      <w:color w:val="000000"/>
    </w:rPr>
  </w:style>
  <w:style w:type="paragraph" w:customStyle="1" w:styleId="BulletText1">
    <w:name w:val="Bullet Text 1"/>
    <w:basedOn w:val="Normal"/>
    <w:rsid w:val="00AD33BD"/>
    <w:pPr>
      <w:numPr>
        <w:numId w:val="27"/>
      </w:numPr>
      <w:jc w:val="left"/>
    </w:pPr>
    <w:rPr>
      <w:rFonts w:ascii="Arial" w:eastAsia="Times New Roman" w:hAnsi="Arial"/>
      <w:color w:val="000000"/>
      <w:sz w:val="22"/>
      <w:szCs w:val="20"/>
    </w:rPr>
  </w:style>
  <w:style w:type="paragraph" w:customStyle="1" w:styleId="Subheading">
    <w:name w:val="Subheading"/>
    <w:basedOn w:val="Caption"/>
    <w:link w:val="SubheadingChar"/>
    <w:qFormat/>
    <w:rsid w:val="00AD33BD"/>
    <w:pPr>
      <w:spacing w:before="0" w:after="0"/>
      <w:ind w:left="187"/>
      <w:jc w:val="left"/>
    </w:pPr>
    <w:rPr>
      <w:rFonts w:ascii="Times New Roman Bold" w:eastAsia="Times New Roman" w:hAnsi="Times New Roman Bold"/>
      <w:i w:val="0"/>
      <w:caps/>
      <w:sz w:val="22"/>
    </w:rPr>
  </w:style>
  <w:style w:type="character" w:customStyle="1" w:styleId="SubheadingChar">
    <w:name w:val="Subheading Char"/>
    <w:basedOn w:val="CaptionChar"/>
    <w:link w:val="Subheading"/>
    <w:rsid w:val="00AD33BD"/>
    <w:rPr>
      <w:rFonts w:ascii="Times New Roman Bold" w:eastAsia="Times New Roman" w:hAnsi="Times New Roman Bold"/>
      <w:b/>
      <w:bCs/>
      <w:i w:val="0"/>
      <w:caps/>
      <w:sz w:val="22"/>
      <w:szCs w:val="24"/>
    </w:rPr>
  </w:style>
  <w:style w:type="character" w:customStyle="1" w:styleId="markedcontent">
    <w:name w:val="markedcontent"/>
    <w:basedOn w:val="DefaultParagraphFont"/>
    <w:rsid w:val="00AD33BD"/>
  </w:style>
  <w:style w:type="character" w:customStyle="1" w:styleId="tabchar">
    <w:name w:val="tabchar"/>
    <w:basedOn w:val="DefaultParagraphFont"/>
    <w:rsid w:val="005066D8"/>
  </w:style>
  <w:style w:type="character" w:customStyle="1" w:styleId="contentcontrolboundarysink">
    <w:name w:val="contentcontrolboundarysink"/>
    <w:basedOn w:val="DefaultParagraphFont"/>
    <w:rsid w:val="005066D8"/>
  </w:style>
  <w:style w:type="paragraph" w:customStyle="1" w:styleId="xl117">
    <w:name w:val="xl117"/>
    <w:basedOn w:val="Normal"/>
    <w:rsid w:val="00223D22"/>
    <w:pPr>
      <w:pBdr>
        <w:top w:val="single" w:sz="8" w:space="0" w:color="auto"/>
        <w:bottom w:val="single" w:sz="8" w:space="0" w:color="auto"/>
        <w:right w:val="single" w:sz="8" w:space="0" w:color="auto"/>
      </w:pBdr>
      <w:spacing w:before="100" w:beforeAutospacing="1" w:after="100" w:afterAutospacing="1"/>
      <w:jc w:val="left"/>
    </w:pPr>
    <w:rPr>
      <w:rFonts w:ascii="Arial" w:eastAsia="Times New Roman" w:hAnsi="Arial" w:cs="Arial"/>
      <w:b/>
      <w:bCs/>
      <w:sz w:val="24"/>
    </w:rPr>
  </w:style>
  <w:style w:type="paragraph" w:customStyle="1" w:styleId="xl118">
    <w:name w:val="xl118"/>
    <w:basedOn w:val="Normal"/>
    <w:rsid w:val="00223D22"/>
    <w:pPr>
      <w:pBdr>
        <w:bottom w:val="single" w:sz="8" w:space="0" w:color="auto"/>
        <w:right w:val="single" w:sz="8" w:space="0" w:color="auto"/>
      </w:pBdr>
      <w:spacing w:before="100" w:beforeAutospacing="1" w:after="100" w:afterAutospacing="1"/>
      <w:jc w:val="center"/>
      <w:textAlignment w:val="center"/>
    </w:pPr>
    <w:rPr>
      <w:rFonts w:eastAsia="Times New Roman" w:cs="Calibri"/>
      <w:i/>
      <w:iCs/>
      <w:sz w:val="24"/>
    </w:rPr>
  </w:style>
  <w:style w:type="paragraph" w:customStyle="1" w:styleId="xl119">
    <w:name w:val="xl119"/>
    <w:basedOn w:val="Normal"/>
    <w:rsid w:val="00223D22"/>
    <w:pPr>
      <w:pBdr>
        <w:bottom w:val="single" w:sz="8" w:space="0" w:color="auto"/>
        <w:right w:val="single" w:sz="8" w:space="0" w:color="auto"/>
      </w:pBdr>
      <w:shd w:val="clear" w:color="000000" w:fill="D9E7FD"/>
      <w:spacing w:before="100" w:beforeAutospacing="1" w:after="100" w:afterAutospacing="1"/>
      <w:jc w:val="center"/>
      <w:textAlignment w:val="center"/>
    </w:pPr>
    <w:rPr>
      <w:rFonts w:eastAsia="Times New Roman" w:cs="Calibri"/>
      <w:i/>
      <w:iCs/>
      <w:sz w:val="24"/>
    </w:rPr>
  </w:style>
  <w:style w:type="paragraph" w:customStyle="1" w:styleId="xl120">
    <w:name w:val="xl120"/>
    <w:basedOn w:val="Normal"/>
    <w:rsid w:val="00223D22"/>
    <w:pPr>
      <w:pBdr>
        <w:bottom w:val="single" w:sz="8" w:space="0" w:color="auto"/>
        <w:right w:val="single" w:sz="8" w:space="0" w:color="auto"/>
      </w:pBdr>
      <w:shd w:val="clear" w:color="000000" w:fill="DAF1F3"/>
      <w:spacing w:before="100" w:beforeAutospacing="1" w:after="100" w:afterAutospacing="1"/>
      <w:jc w:val="center"/>
      <w:textAlignment w:val="center"/>
    </w:pPr>
    <w:rPr>
      <w:rFonts w:eastAsia="Times New Roman" w:cs="Calibri"/>
      <w:i/>
      <w:iCs/>
      <w:sz w:val="24"/>
    </w:rPr>
  </w:style>
  <w:style w:type="paragraph" w:customStyle="1" w:styleId="xl121">
    <w:name w:val="xl121"/>
    <w:basedOn w:val="Normal"/>
    <w:rsid w:val="00223D22"/>
    <w:pPr>
      <w:pBdr>
        <w:bottom w:val="single" w:sz="8" w:space="0" w:color="auto"/>
        <w:right w:val="single" w:sz="8" w:space="0" w:color="auto"/>
      </w:pBdr>
      <w:shd w:val="clear" w:color="000000" w:fill="FBDAD7"/>
      <w:spacing w:before="100" w:beforeAutospacing="1" w:after="100" w:afterAutospacing="1"/>
      <w:jc w:val="center"/>
      <w:textAlignment w:val="center"/>
    </w:pPr>
    <w:rPr>
      <w:rFonts w:eastAsia="Times New Roman" w:cs="Calibri"/>
      <w:i/>
      <w:iCs/>
      <w:sz w:val="24"/>
    </w:rPr>
  </w:style>
  <w:style w:type="paragraph" w:customStyle="1" w:styleId="xl122">
    <w:name w:val="xl122"/>
    <w:basedOn w:val="Normal"/>
    <w:rsid w:val="00223D22"/>
    <w:pPr>
      <w:pBdr>
        <w:top w:val="single" w:sz="8" w:space="0" w:color="000000"/>
        <w:bottom w:val="single" w:sz="8" w:space="0" w:color="000000"/>
        <w:right w:val="single" w:sz="8" w:space="0" w:color="000000"/>
      </w:pBdr>
      <w:spacing w:before="100" w:beforeAutospacing="1" w:after="100" w:afterAutospacing="1"/>
      <w:jc w:val="left"/>
    </w:pPr>
    <w:rPr>
      <w:rFonts w:ascii="Arial" w:eastAsia="Times New Roman" w:hAnsi="Arial" w:cs="Arial"/>
      <w:sz w:val="24"/>
    </w:rPr>
  </w:style>
  <w:style w:type="paragraph" w:customStyle="1" w:styleId="xl123">
    <w:name w:val="xl123"/>
    <w:basedOn w:val="Normal"/>
    <w:rsid w:val="00223D22"/>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eastAsia="Times New Roman" w:cs="Calibri"/>
      <w:i/>
      <w:iCs/>
      <w:sz w:val="24"/>
    </w:rPr>
  </w:style>
  <w:style w:type="paragraph" w:customStyle="1" w:styleId="xl124">
    <w:name w:val="xl124"/>
    <w:basedOn w:val="Normal"/>
    <w:rsid w:val="00223D2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eastAsia="Times New Roman" w:cs="Calibri"/>
      <w:b/>
      <w:bCs/>
      <w:i/>
      <w:iCs/>
      <w:sz w:val="24"/>
    </w:rPr>
  </w:style>
  <w:style w:type="paragraph" w:customStyle="1" w:styleId="xl125">
    <w:name w:val="xl125"/>
    <w:basedOn w:val="Normal"/>
    <w:rsid w:val="00223D22"/>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eastAsia="Times New Roman" w:cs="Calibri"/>
      <w:i/>
      <w:iCs/>
      <w:sz w:val="24"/>
    </w:rPr>
  </w:style>
  <w:style w:type="paragraph" w:customStyle="1" w:styleId="xl126">
    <w:name w:val="xl126"/>
    <w:basedOn w:val="Normal"/>
    <w:rsid w:val="00223D22"/>
    <w:pPr>
      <w:pBdr>
        <w:left w:val="single" w:sz="8" w:space="0" w:color="000000"/>
        <w:bottom w:val="single" w:sz="8" w:space="0" w:color="000000"/>
      </w:pBdr>
      <w:spacing w:before="100" w:beforeAutospacing="1" w:after="100" w:afterAutospacing="1"/>
      <w:jc w:val="left"/>
    </w:pPr>
    <w:rPr>
      <w:rFonts w:ascii="Arial" w:eastAsia="Times New Roman" w:hAnsi="Arial" w:cs="Arial"/>
      <w:b/>
      <w:bCs/>
      <w:sz w:val="24"/>
    </w:rPr>
  </w:style>
  <w:style w:type="paragraph" w:customStyle="1" w:styleId="xl127">
    <w:name w:val="xl127"/>
    <w:basedOn w:val="Normal"/>
    <w:rsid w:val="00223D22"/>
    <w:pPr>
      <w:pBdr>
        <w:bottom w:val="single" w:sz="8" w:space="0" w:color="auto"/>
        <w:right w:val="single" w:sz="8" w:space="0" w:color="auto"/>
      </w:pBdr>
      <w:shd w:val="clear" w:color="000000" w:fill="FEF2CD"/>
      <w:spacing w:before="100" w:beforeAutospacing="1" w:after="100" w:afterAutospacing="1"/>
      <w:jc w:val="center"/>
      <w:textAlignment w:val="center"/>
    </w:pPr>
    <w:rPr>
      <w:rFonts w:eastAsia="Times New Roman" w:cs="Calibri"/>
      <w:i/>
      <w:iCs/>
      <w:sz w:val="24"/>
    </w:rPr>
  </w:style>
  <w:style w:type="paragraph" w:customStyle="1" w:styleId="xl128">
    <w:name w:val="xl128"/>
    <w:basedOn w:val="Normal"/>
    <w:rsid w:val="00223D22"/>
    <w:pPr>
      <w:pBdr>
        <w:top w:val="single" w:sz="8" w:space="0" w:color="auto"/>
        <w:left w:val="single" w:sz="8" w:space="0" w:color="auto"/>
        <w:right w:val="single" w:sz="8" w:space="0" w:color="auto"/>
      </w:pBdr>
      <w:shd w:val="clear" w:color="000000" w:fill="D9E7FD"/>
      <w:spacing w:before="100" w:beforeAutospacing="1" w:after="100" w:afterAutospacing="1"/>
      <w:jc w:val="left"/>
      <w:textAlignment w:val="center"/>
    </w:pPr>
    <w:rPr>
      <w:rFonts w:eastAsia="Times New Roman" w:cs="Calibri"/>
      <w:i/>
      <w:iCs/>
      <w:sz w:val="24"/>
    </w:rPr>
  </w:style>
  <w:style w:type="paragraph" w:customStyle="1" w:styleId="xl129">
    <w:name w:val="xl129"/>
    <w:basedOn w:val="Normal"/>
    <w:rsid w:val="00223D22"/>
    <w:pPr>
      <w:pBdr>
        <w:top w:val="single" w:sz="8" w:space="0" w:color="auto"/>
        <w:left w:val="single" w:sz="8" w:space="0" w:color="auto"/>
        <w:right w:val="single" w:sz="8" w:space="0" w:color="auto"/>
      </w:pBdr>
      <w:shd w:val="clear" w:color="000000" w:fill="DAF1F3"/>
      <w:spacing w:before="100" w:beforeAutospacing="1" w:after="100" w:afterAutospacing="1"/>
      <w:jc w:val="left"/>
      <w:textAlignment w:val="center"/>
    </w:pPr>
    <w:rPr>
      <w:rFonts w:eastAsia="Times New Roman" w:cs="Calibri"/>
      <w:i/>
      <w:iCs/>
      <w:sz w:val="24"/>
    </w:rPr>
  </w:style>
  <w:style w:type="paragraph" w:customStyle="1" w:styleId="xl130">
    <w:name w:val="xl130"/>
    <w:basedOn w:val="Normal"/>
    <w:rsid w:val="00223D22"/>
    <w:pPr>
      <w:pBdr>
        <w:top w:val="single" w:sz="8" w:space="0" w:color="auto"/>
        <w:left w:val="single" w:sz="8" w:space="0" w:color="auto"/>
        <w:right w:val="single" w:sz="8" w:space="0" w:color="auto"/>
      </w:pBdr>
      <w:spacing w:before="100" w:beforeAutospacing="1" w:after="100" w:afterAutospacing="1"/>
      <w:jc w:val="left"/>
      <w:textAlignment w:val="center"/>
    </w:pPr>
    <w:rPr>
      <w:rFonts w:eastAsia="Times New Roman" w:cs="Calibri"/>
      <w:i/>
      <w:iCs/>
      <w:sz w:val="24"/>
    </w:rPr>
  </w:style>
  <w:style w:type="paragraph" w:customStyle="1" w:styleId="xl131">
    <w:name w:val="xl131"/>
    <w:basedOn w:val="Normal"/>
    <w:rsid w:val="00223D22"/>
    <w:pPr>
      <w:pBdr>
        <w:right w:val="single" w:sz="8" w:space="0" w:color="auto"/>
      </w:pBdr>
      <w:shd w:val="clear" w:color="000000" w:fill="D9E7FD"/>
      <w:spacing w:before="100" w:beforeAutospacing="1" w:after="100" w:afterAutospacing="1"/>
      <w:jc w:val="left"/>
      <w:textAlignment w:val="center"/>
    </w:pPr>
    <w:rPr>
      <w:rFonts w:eastAsia="Times New Roman" w:cs="Calibri"/>
      <w:i/>
      <w:iCs/>
      <w:sz w:val="24"/>
    </w:rPr>
  </w:style>
  <w:style w:type="paragraph" w:customStyle="1" w:styleId="xl132">
    <w:name w:val="xl132"/>
    <w:basedOn w:val="Normal"/>
    <w:rsid w:val="00223D22"/>
    <w:pPr>
      <w:pBdr>
        <w:right w:val="single" w:sz="8" w:space="0" w:color="auto"/>
      </w:pBdr>
      <w:shd w:val="clear" w:color="000000" w:fill="FEF2CD"/>
      <w:spacing w:before="100" w:beforeAutospacing="1" w:after="100" w:afterAutospacing="1"/>
      <w:jc w:val="left"/>
      <w:textAlignment w:val="center"/>
    </w:pPr>
    <w:rPr>
      <w:rFonts w:eastAsia="Times New Roman" w:cs="Calibri"/>
      <w:i/>
      <w:iCs/>
      <w:sz w:val="24"/>
    </w:rPr>
  </w:style>
  <w:style w:type="paragraph" w:customStyle="1" w:styleId="xl133">
    <w:name w:val="xl133"/>
    <w:basedOn w:val="Normal"/>
    <w:rsid w:val="00223D22"/>
    <w:pPr>
      <w:pBdr>
        <w:right w:val="single" w:sz="8" w:space="0" w:color="auto"/>
      </w:pBdr>
      <w:shd w:val="clear" w:color="000000" w:fill="FEF2CD"/>
      <w:spacing w:before="100" w:beforeAutospacing="1" w:after="100" w:afterAutospacing="1"/>
      <w:jc w:val="center"/>
      <w:textAlignment w:val="center"/>
    </w:pPr>
    <w:rPr>
      <w:rFonts w:eastAsia="Times New Roman" w:cs="Calibri"/>
      <w:i/>
      <w:iCs/>
      <w:sz w:val="24"/>
    </w:rPr>
  </w:style>
  <w:style w:type="paragraph" w:customStyle="1" w:styleId="xl134">
    <w:name w:val="xl134"/>
    <w:basedOn w:val="Normal"/>
    <w:rsid w:val="00223D22"/>
    <w:pPr>
      <w:pBdr>
        <w:right w:val="single" w:sz="8" w:space="0" w:color="auto"/>
      </w:pBdr>
      <w:shd w:val="clear" w:color="000000" w:fill="DAF1F3"/>
      <w:spacing w:before="100" w:beforeAutospacing="1" w:after="100" w:afterAutospacing="1"/>
      <w:jc w:val="center"/>
      <w:textAlignment w:val="center"/>
    </w:pPr>
    <w:rPr>
      <w:rFonts w:eastAsia="Times New Roman" w:cs="Calibri"/>
      <w:i/>
      <w:iCs/>
      <w:sz w:val="24"/>
    </w:rPr>
  </w:style>
  <w:style w:type="paragraph" w:customStyle="1" w:styleId="xl135">
    <w:name w:val="xl135"/>
    <w:basedOn w:val="Normal"/>
    <w:rsid w:val="00223D22"/>
    <w:pPr>
      <w:pBdr>
        <w:right w:val="single" w:sz="8" w:space="0" w:color="auto"/>
      </w:pBdr>
      <w:shd w:val="clear" w:color="000000" w:fill="FBDAD7"/>
      <w:spacing w:before="100" w:beforeAutospacing="1" w:after="100" w:afterAutospacing="1"/>
      <w:jc w:val="center"/>
      <w:textAlignment w:val="center"/>
    </w:pPr>
    <w:rPr>
      <w:rFonts w:eastAsia="Times New Roman" w:cs="Calibri"/>
      <w:i/>
      <w:iCs/>
      <w:sz w:val="24"/>
    </w:rPr>
  </w:style>
  <w:style w:type="paragraph" w:customStyle="1" w:styleId="xl136">
    <w:name w:val="xl136"/>
    <w:basedOn w:val="Normal"/>
    <w:rsid w:val="00223D22"/>
    <w:pPr>
      <w:pBdr>
        <w:top w:val="single" w:sz="8" w:space="0" w:color="auto"/>
        <w:bottom w:val="single" w:sz="8" w:space="0" w:color="auto"/>
        <w:right w:val="single" w:sz="8" w:space="0" w:color="auto"/>
      </w:pBdr>
      <w:spacing w:before="100" w:beforeAutospacing="1" w:after="100" w:afterAutospacing="1"/>
      <w:jc w:val="left"/>
      <w:textAlignment w:val="center"/>
    </w:pPr>
    <w:rPr>
      <w:rFonts w:eastAsia="Times New Roman" w:cs="Calibri"/>
      <w:i/>
      <w:iCs/>
      <w:sz w:val="24"/>
    </w:rPr>
  </w:style>
  <w:style w:type="paragraph" w:customStyle="1" w:styleId="xl137">
    <w:name w:val="xl137"/>
    <w:basedOn w:val="Normal"/>
    <w:rsid w:val="00223D22"/>
    <w:pPr>
      <w:pBdr>
        <w:top w:val="single" w:sz="8" w:space="0" w:color="auto"/>
        <w:left w:val="single" w:sz="8" w:space="0" w:color="auto"/>
        <w:right w:val="single" w:sz="8" w:space="0" w:color="auto"/>
      </w:pBdr>
      <w:shd w:val="clear" w:color="000000" w:fill="FBDAD7"/>
      <w:spacing w:before="100" w:beforeAutospacing="1" w:after="100" w:afterAutospacing="1"/>
      <w:jc w:val="center"/>
      <w:textAlignment w:val="center"/>
    </w:pPr>
    <w:rPr>
      <w:rFonts w:eastAsia="Times New Roman" w:cs="Calibri"/>
      <w:i/>
      <w:iCs/>
      <w:sz w:val="24"/>
    </w:rPr>
  </w:style>
  <w:style w:type="paragraph" w:customStyle="1" w:styleId="xl138">
    <w:name w:val="xl138"/>
    <w:basedOn w:val="Normal"/>
    <w:rsid w:val="00223D22"/>
    <w:pPr>
      <w:pBdr>
        <w:left w:val="single" w:sz="8" w:space="0" w:color="auto"/>
        <w:right w:val="single" w:sz="8" w:space="0" w:color="auto"/>
      </w:pBdr>
      <w:shd w:val="clear" w:color="000000" w:fill="FBDAD7"/>
      <w:spacing w:before="100" w:beforeAutospacing="1" w:after="100" w:afterAutospacing="1"/>
      <w:jc w:val="center"/>
      <w:textAlignment w:val="center"/>
    </w:pPr>
    <w:rPr>
      <w:rFonts w:eastAsia="Times New Roman" w:cs="Calibri"/>
      <w:i/>
      <w:iCs/>
      <w:sz w:val="24"/>
    </w:rPr>
  </w:style>
  <w:style w:type="paragraph" w:customStyle="1" w:styleId="xl139">
    <w:name w:val="xl139"/>
    <w:basedOn w:val="Normal"/>
    <w:rsid w:val="00223D22"/>
    <w:pPr>
      <w:pBdr>
        <w:left w:val="single" w:sz="8" w:space="0" w:color="auto"/>
        <w:bottom w:val="single" w:sz="8" w:space="0" w:color="auto"/>
        <w:right w:val="single" w:sz="8" w:space="0" w:color="auto"/>
      </w:pBdr>
      <w:shd w:val="clear" w:color="000000" w:fill="FBDAD7"/>
      <w:spacing w:before="100" w:beforeAutospacing="1" w:after="100" w:afterAutospacing="1"/>
      <w:jc w:val="center"/>
      <w:textAlignment w:val="center"/>
    </w:pPr>
    <w:rPr>
      <w:rFonts w:eastAsia="Times New Roman" w:cs="Calibri"/>
      <w:i/>
      <w:iCs/>
      <w:sz w:val="24"/>
    </w:rPr>
  </w:style>
  <w:style w:type="paragraph" w:customStyle="1" w:styleId="xl140">
    <w:name w:val="xl140"/>
    <w:basedOn w:val="Normal"/>
    <w:rsid w:val="00223D22"/>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cs="Calibri"/>
      <w:i/>
      <w:iCs/>
      <w:sz w:val="24"/>
    </w:rPr>
  </w:style>
  <w:style w:type="paragraph" w:customStyle="1" w:styleId="xl141">
    <w:name w:val="xl141"/>
    <w:basedOn w:val="Normal"/>
    <w:rsid w:val="00223D22"/>
    <w:pPr>
      <w:pBdr>
        <w:left w:val="single" w:sz="8" w:space="0" w:color="auto"/>
        <w:right w:val="single" w:sz="8" w:space="0" w:color="auto"/>
      </w:pBdr>
      <w:spacing w:before="100" w:beforeAutospacing="1" w:after="100" w:afterAutospacing="1"/>
      <w:jc w:val="center"/>
      <w:textAlignment w:val="center"/>
    </w:pPr>
    <w:rPr>
      <w:rFonts w:eastAsia="Times New Roman" w:cs="Calibri"/>
      <w:i/>
      <w:iCs/>
      <w:sz w:val="24"/>
    </w:rPr>
  </w:style>
  <w:style w:type="paragraph" w:customStyle="1" w:styleId="xl142">
    <w:name w:val="xl142"/>
    <w:basedOn w:val="Normal"/>
    <w:rsid w:val="00223D22"/>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Calibri"/>
      <w:i/>
      <w:iCs/>
      <w:sz w:val="24"/>
    </w:rPr>
  </w:style>
  <w:style w:type="paragraph" w:customStyle="1" w:styleId="xl143">
    <w:name w:val="xl143"/>
    <w:basedOn w:val="Normal"/>
    <w:rsid w:val="00223D22"/>
    <w:pPr>
      <w:pBdr>
        <w:top w:val="single" w:sz="8" w:space="0" w:color="auto"/>
        <w:left w:val="single" w:sz="8" w:space="0" w:color="auto"/>
        <w:right w:val="single" w:sz="8" w:space="0" w:color="auto"/>
      </w:pBdr>
      <w:shd w:val="clear" w:color="000000" w:fill="FEF2CD"/>
      <w:spacing w:before="100" w:beforeAutospacing="1" w:after="100" w:afterAutospacing="1"/>
      <w:jc w:val="center"/>
      <w:textAlignment w:val="center"/>
    </w:pPr>
    <w:rPr>
      <w:rFonts w:eastAsia="Times New Roman" w:cs="Calibri"/>
      <w:i/>
      <w:iCs/>
      <w:sz w:val="24"/>
    </w:rPr>
  </w:style>
  <w:style w:type="paragraph" w:customStyle="1" w:styleId="xl144">
    <w:name w:val="xl144"/>
    <w:basedOn w:val="Normal"/>
    <w:rsid w:val="00223D22"/>
    <w:pPr>
      <w:pBdr>
        <w:left w:val="single" w:sz="8" w:space="0" w:color="auto"/>
        <w:right w:val="single" w:sz="8" w:space="0" w:color="auto"/>
      </w:pBdr>
      <w:shd w:val="clear" w:color="000000" w:fill="FEF2CD"/>
      <w:spacing w:before="100" w:beforeAutospacing="1" w:after="100" w:afterAutospacing="1"/>
      <w:jc w:val="center"/>
      <w:textAlignment w:val="center"/>
    </w:pPr>
    <w:rPr>
      <w:rFonts w:eastAsia="Times New Roman" w:cs="Calibri"/>
      <w:i/>
      <w:iCs/>
      <w:sz w:val="24"/>
    </w:rPr>
  </w:style>
  <w:style w:type="paragraph" w:customStyle="1" w:styleId="xl145">
    <w:name w:val="xl145"/>
    <w:basedOn w:val="Normal"/>
    <w:rsid w:val="00223D22"/>
    <w:pPr>
      <w:pBdr>
        <w:left w:val="single" w:sz="8" w:space="0" w:color="auto"/>
        <w:bottom w:val="single" w:sz="8" w:space="0" w:color="auto"/>
        <w:right w:val="single" w:sz="8" w:space="0" w:color="auto"/>
      </w:pBdr>
      <w:shd w:val="clear" w:color="000000" w:fill="FEF2CD"/>
      <w:spacing w:before="100" w:beforeAutospacing="1" w:after="100" w:afterAutospacing="1"/>
      <w:jc w:val="center"/>
      <w:textAlignment w:val="center"/>
    </w:pPr>
    <w:rPr>
      <w:rFonts w:eastAsia="Times New Roman" w:cs="Calibri"/>
      <w:i/>
      <w:iCs/>
      <w:sz w:val="24"/>
    </w:rPr>
  </w:style>
  <w:style w:type="paragraph" w:customStyle="1" w:styleId="xl146">
    <w:name w:val="xl146"/>
    <w:basedOn w:val="Normal"/>
    <w:rsid w:val="00223D22"/>
    <w:pPr>
      <w:pBdr>
        <w:top w:val="single" w:sz="8" w:space="0" w:color="auto"/>
        <w:left w:val="single" w:sz="8" w:space="0" w:color="auto"/>
        <w:right w:val="single" w:sz="8" w:space="0" w:color="auto"/>
      </w:pBdr>
      <w:shd w:val="clear" w:color="000000" w:fill="DAF1F3"/>
      <w:spacing w:before="100" w:beforeAutospacing="1" w:after="100" w:afterAutospacing="1"/>
      <w:jc w:val="center"/>
      <w:textAlignment w:val="center"/>
    </w:pPr>
    <w:rPr>
      <w:rFonts w:eastAsia="Times New Roman" w:cs="Calibri"/>
      <w:i/>
      <w:iCs/>
      <w:sz w:val="24"/>
    </w:rPr>
  </w:style>
  <w:style w:type="paragraph" w:customStyle="1" w:styleId="xl147">
    <w:name w:val="xl147"/>
    <w:basedOn w:val="Normal"/>
    <w:rsid w:val="00223D22"/>
    <w:pPr>
      <w:pBdr>
        <w:left w:val="single" w:sz="8" w:space="0" w:color="auto"/>
        <w:right w:val="single" w:sz="8" w:space="0" w:color="auto"/>
      </w:pBdr>
      <w:shd w:val="clear" w:color="000000" w:fill="DAF1F3"/>
      <w:spacing w:before="100" w:beforeAutospacing="1" w:after="100" w:afterAutospacing="1"/>
      <w:jc w:val="center"/>
      <w:textAlignment w:val="center"/>
    </w:pPr>
    <w:rPr>
      <w:rFonts w:eastAsia="Times New Roman" w:cs="Calibri"/>
      <w:i/>
      <w:iCs/>
      <w:sz w:val="24"/>
    </w:rPr>
  </w:style>
  <w:style w:type="paragraph" w:customStyle="1" w:styleId="xl148">
    <w:name w:val="xl148"/>
    <w:basedOn w:val="Normal"/>
    <w:rsid w:val="00223D22"/>
    <w:pPr>
      <w:pBdr>
        <w:left w:val="single" w:sz="8" w:space="0" w:color="auto"/>
        <w:bottom w:val="single" w:sz="8" w:space="0" w:color="auto"/>
        <w:right w:val="single" w:sz="8" w:space="0" w:color="auto"/>
      </w:pBdr>
      <w:shd w:val="clear" w:color="000000" w:fill="DAF1F3"/>
      <w:spacing w:before="100" w:beforeAutospacing="1" w:after="100" w:afterAutospacing="1"/>
      <w:jc w:val="center"/>
      <w:textAlignment w:val="center"/>
    </w:pPr>
    <w:rPr>
      <w:rFonts w:eastAsia="Times New Roman" w:cs="Calibri"/>
      <w:i/>
      <w:iCs/>
      <w:sz w:val="24"/>
    </w:rPr>
  </w:style>
  <w:style w:type="paragraph" w:customStyle="1" w:styleId="xl149">
    <w:name w:val="xl149"/>
    <w:basedOn w:val="Normal"/>
    <w:rsid w:val="00223D22"/>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cs="Calibri"/>
      <w:b/>
      <w:bCs/>
      <w:sz w:val="24"/>
    </w:rPr>
  </w:style>
  <w:style w:type="paragraph" w:customStyle="1" w:styleId="xl150">
    <w:name w:val="xl150"/>
    <w:basedOn w:val="Normal"/>
    <w:rsid w:val="00223D22"/>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Calibri"/>
      <w:b/>
      <w:bCs/>
      <w:sz w:val="24"/>
    </w:rPr>
  </w:style>
  <w:style w:type="paragraph" w:customStyle="1" w:styleId="xl151">
    <w:name w:val="xl151"/>
    <w:basedOn w:val="Normal"/>
    <w:rsid w:val="00223D22"/>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Calibri"/>
      <w:b/>
      <w:bCs/>
      <w:sz w:val="24"/>
    </w:rPr>
  </w:style>
  <w:style w:type="paragraph" w:customStyle="1" w:styleId="xl152">
    <w:name w:val="xl152"/>
    <w:basedOn w:val="Normal"/>
    <w:rsid w:val="00223D22"/>
    <w:pPr>
      <w:pBdr>
        <w:top w:val="single" w:sz="8" w:space="0" w:color="auto"/>
        <w:left w:val="single" w:sz="8" w:space="0" w:color="auto"/>
        <w:bottom w:val="single" w:sz="8" w:space="0" w:color="auto"/>
      </w:pBdr>
      <w:shd w:val="clear" w:color="000000" w:fill="D9E7FD"/>
      <w:spacing w:before="100" w:beforeAutospacing="1" w:after="100" w:afterAutospacing="1"/>
      <w:textAlignment w:val="center"/>
    </w:pPr>
    <w:rPr>
      <w:rFonts w:eastAsia="Times New Roman" w:cs="Calibri"/>
      <w:b/>
      <w:bCs/>
      <w:i/>
      <w:iCs/>
      <w:sz w:val="24"/>
    </w:rPr>
  </w:style>
  <w:style w:type="paragraph" w:customStyle="1" w:styleId="xl153">
    <w:name w:val="xl153"/>
    <w:basedOn w:val="Normal"/>
    <w:rsid w:val="00223D22"/>
    <w:pPr>
      <w:pBdr>
        <w:top w:val="single" w:sz="8" w:space="0" w:color="auto"/>
        <w:bottom w:val="single" w:sz="8" w:space="0" w:color="auto"/>
      </w:pBdr>
      <w:shd w:val="clear" w:color="000000" w:fill="D9E7FD"/>
      <w:spacing w:before="100" w:beforeAutospacing="1" w:after="100" w:afterAutospacing="1"/>
      <w:textAlignment w:val="center"/>
    </w:pPr>
    <w:rPr>
      <w:rFonts w:eastAsia="Times New Roman" w:cs="Calibri"/>
      <w:b/>
      <w:bCs/>
      <w:i/>
      <w:iCs/>
      <w:sz w:val="24"/>
    </w:rPr>
  </w:style>
  <w:style w:type="paragraph" w:customStyle="1" w:styleId="xl154">
    <w:name w:val="xl154"/>
    <w:basedOn w:val="Normal"/>
    <w:rsid w:val="00223D22"/>
    <w:pPr>
      <w:pBdr>
        <w:top w:val="single" w:sz="8" w:space="0" w:color="auto"/>
        <w:bottom w:val="single" w:sz="8" w:space="0" w:color="auto"/>
        <w:right w:val="single" w:sz="8" w:space="0" w:color="000000"/>
      </w:pBdr>
      <w:shd w:val="clear" w:color="000000" w:fill="D9E7FD"/>
      <w:spacing w:before="100" w:beforeAutospacing="1" w:after="100" w:afterAutospacing="1"/>
      <w:textAlignment w:val="center"/>
    </w:pPr>
    <w:rPr>
      <w:rFonts w:eastAsia="Times New Roman" w:cs="Calibri"/>
      <w:b/>
      <w:bCs/>
      <w:i/>
      <w:iCs/>
      <w:sz w:val="24"/>
    </w:rPr>
  </w:style>
  <w:style w:type="paragraph" w:customStyle="1" w:styleId="xl155">
    <w:name w:val="xl155"/>
    <w:basedOn w:val="Normal"/>
    <w:rsid w:val="00223D22"/>
    <w:pPr>
      <w:pBdr>
        <w:top w:val="single" w:sz="8" w:space="0" w:color="auto"/>
        <w:left w:val="single" w:sz="8" w:space="0" w:color="auto"/>
        <w:bottom w:val="single" w:sz="8" w:space="0" w:color="auto"/>
      </w:pBdr>
      <w:shd w:val="clear" w:color="000000" w:fill="D9E7FD"/>
      <w:spacing w:before="100" w:beforeAutospacing="1" w:after="100" w:afterAutospacing="1"/>
      <w:textAlignment w:val="center"/>
    </w:pPr>
    <w:rPr>
      <w:rFonts w:eastAsia="Times New Roman" w:cs="Calibri"/>
      <w:i/>
      <w:iCs/>
      <w:sz w:val="24"/>
    </w:rPr>
  </w:style>
  <w:style w:type="paragraph" w:customStyle="1" w:styleId="xl156">
    <w:name w:val="xl156"/>
    <w:basedOn w:val="Normal"/>
    <w:rsid w:val="00223D22"/>
    <w:pPr>
      <w:pBdr>
        <w:top w:val="single" w:sz="8" w:space="0" w:color="auto"/>
        <w:bottom w:val="single" w:sz="8" w:space="0" w:color="auto"/>
      </w:pBdr>
      <w:shd w:val="clear" w:color="000000" w:fill="D9E7FD"/>
      <w:spacing w:before="100" w:beforeAutospacing="1" w:after="100" w:afterAutospacing="1"/>
      <w:textAlignment w:val="center"/>
    </w:pPr>
    <w:rPr>
      <w:rFonts w:eastAsia="Times New Roman" w:cs="Calibri"/>
      <w:i/>
      <w:iCs/>
      <w:sz w:val="24"/>
    </w:rPr>
  </w:style>
  <w:style w:type="paragraph" w:customStyle="1" w:styleId="xl157">
    <w:name w:val="xl157"/>
    <w:basedOn w:val="Normal"/>
    <w:rsid w:val="00223D22"/>
    <w:pPr>
      <w:pBdr>
        <w:top w:val="single" w:sz="8" w:space="0" w:color="auto"/>
        <w:bottom w:val="single" w:sz="8" w:space="0" w:color="auto"/>
        <w:right w:val="single" w:sz="8" w:space="0" w:color="000000"/>
      </w:pBdr>
      <w:shd w:val="clear" w:color="000000" w:fill="D9E7FD"/>
      <w:spacing w:before="100" w:beforeAutospacing="1" w:after="100" w:afterAutospacing="1"/>
      <w:textAlignment w:val="center"/>
    </w:pPr>
    <w:rPr>
      <w:rFonts w:eastAsia="Times New Roman" w:cs="Calibri"/>
      <w:i/>
      <w:iCs/>
      <w:sz w:val="24"/>
    </w:rPr>
  </w:style>
  <w:style w:type="paragraph" w:customStyle="1" w:styleId="xl158">
    <w:name w:val="xl158"/>
    <w:basedOn w:val="Normal"/>
    <w:rsid w:val="00223D22"/>
    <w:pPr>
      <w:pBdr>
        <w:top w:val="single" w:sz="8" w:space="0" w:color="auto"/>
        <w:left w:val="single" w:sz="8" w:space="0" w:color="auto"/>
        <w:bottom w:val="single" w:sz="8" w:space="0" w:color="auto"/>
      </w:pBdr>
      <w:shd w:val="clear" w:color="000000" w:fill="D9E7FD"/>
      <w:spacing w:before="100" w:beforeAutospacing="1" w:after="100" w:afterAutospacing="1"/>
      <w:jc w:val="left"/>
      <w:textAlignment w:val="center"/>
    </w:pPr>
    <w:rPr>
      <w:rFonts w:eastAsia="Times New Roman" w:cs="Calibri"/>
      <w:i/>
      <w:iCs/>
      <w:sz w:val="24"/>
    </w:rPr>
  </w:style>
  <w:style w:type="paragraph" w:customStyle="1" w:styleId="xl159">
    <w:name w:val="xl159"/>
    <w:basedOn w:val="Normal"/>
    <w:rsid w:val="00223D22"/>
    <w:pPr>
      <w:pBdr>
        <w:top w:val="single" w:sz="8" w:space="0" w:color="auto"/>
        <w:left w:val="single" w:sz="8" w:space="0" w:color="auto"/>
        <w:right w:val="single" w:sz="8" w:space="0" w:color="auto"/>
      </w:pBdr>
      <w:shd w:val="clear" w:color="000000" w:fill="D9E7FD"/>
      <w:spacing w:before="100" w:beforeAutospacing="1" w:after="100" w:afterAutospacing="1"/>
      <w:jc w:val="center"/>
      <w:textAlignment w:val="center"/>
    </w:pPr>
    <w:rPr>
      <w:rFonts w:eastAsia="Times New Roman" w:cs="Calibri"/>
      <w:i/>
      <w:iCs/>
      <w:sz w:val="24"/>
    </w:rPr>
  </w:style>
  <w:style w:type="paragraph" w:customStyle="1" w:styleId="xl160">
    <w:name w:val="xl160"/>
    <w:basedOn w:val="Normal"/>
    <w:rsid w:val="00223D22"/>
    <w:pPr>
      <w:pBdr>
        <w:left w:val="single" w:sz="8" w:space="0" w:color="auto"/>
        <w:right w:val="single" w:sz="8" w:space="0" w:color="auto"/>
      </w:pBdr>
      <w:shd w:val="clear" w:color="000000" w:fill="D9E7FD"/>
      <w:spacing w:before="100" w:beforeAutospacing="1" w:after="100" w:afterAutospacing="1"/>
      <w:jc w:val="center"/>
      <w:textAlignment w:val="center"/>
    </w:pPr>
    <w:rPr>
      <w:rFonts w:eastAsia="Times New Roman" w:cs="Calibri"/>
      <w:i/>
      <w:iCs/>
      <w:sz w:val="24"/>
    </w:rPr>
  </w:style>
  <w:style w:type="paragraph" w:customStyle="1" w:styleId="xl161">
    <w:name w:val="xl161"/>
    <w:basedOn w:val="Normal"/>
    <w:rsid w:val="00223D22"/>
    <w:pPr>
      <w:pBdr>
        <w:left w:val="single" w:sz="8" w:space="0" w:color="auto"/>
        <w:bottom w:val="single" w:sz="8" w:space="0" w:color="auto"/>
        <w:right w:val="single" w:sz="8" w:space="0" w:color="auto"/>
      </w:pBdr>
      <w:shd w:val="clear" w:color="000000" w:fill="D9E7FD"/>
      <w:spacing w:before="100" w:beforeAutospacing="1" w:after="100" w:afterAutospacing="1"/>
      <w:jc w:val="center"/>
      <w:textAlignment w:val="center"/>
    </w:pPr>
    <w:rPr>
      <w:rFonts w:eastAsia="Times New Roman" w:cs="Calibri"/>
      <w:i/>
      <w:iCs/>
      <w:sz w:val="24"/>
    </w:rPr>
  </w:style>
  <w:style w:type="paragraph" w:customStyle="1" w:styleId="xl162">
    <w:name w:val="xl162"/>
    <w:basedOn w:val="Normal"/>
    <w:rsid w:val="00223D22"/>
    <w:pPr>
      <w:pBdr>
        <w:top w:val="single" w:sz="8" w:space="0" w:color="auto"/>
        <w:left w:val="single" w:sz="8" w:space="0" w:color="auto"/>
        <w:right w:val="single" w:sz="8" w:space="0" w:color="auto"/>
      </w:pBdr>
      <w:spacing w:before="100" w:beforeAutospacing="1" w:after="100" w:afterAutospacing="1"/>
      <w:jc w:val="center"/>
      <w:textAlignment w:val="center"/>
    </w:pPr>
    <w:rPr>
      <w:rFonts w:eastAsia="Times New Roman" w:cs="Calibri"/>
      <w:b/>
      <w:bCs/>
      <w:sz w:val="24"/>
    </w:rPr>
  </w:style>
  <w:style w:type="paragraph" w:customStyle="1" w:styleId="xl163">
    <w:name w:val="xl163"/>
    <w:basedOn w:val="Normal"/>
    <w:rsid w:val="00223D22"/>
    <w:pPr>
      <w:pBdr>
        <w:left w:val="single" w:sz="8" w:space="0" w:color="auto"/>
        <w:bottom w:val="single" w:sz="8" w:space="0" w:color="auto"/>
        <w:right w:val="single" w:sz="8" w:space="0" w:color="auto"/>
      </w:pBdr>
      <w:spacing w:before="100" w:beforeAutospacing="1" w:after="100" w:afterAutospacing="1"/>
      <w:jc w:val="center"/>
      <w:textAlignment w:val="center"/>
    </w:pPr>
    <w:rPr>
      <w:rFonts w:eastAsia="Times New Roman" w:cs="Calibri"/>
      <w:b/>
      <w:bCs/>
      <w:sz w:val="24"/>
    </w:rPr>
  </w:style>
  <w:style w:type="paragraph" w:customStyle="1" w:styleId="xl164">
    <w:name w:val="xl164"/>
    <w:basedOn w:val="Normal"/>
    <w:rsid w:val="00223D22"/>
    <w:pPr>
      <w:pBdr>
        <w:top w:val="single" w:sz="8" w:space="0" w:color="auto"/>
        <w:left w:val="single" w:sz="8" w:space="0" w:color="auto"/>
        <w:bottom w:val="single" w:sz="8" w:space="0" w:color="auto"/>
      </w:pBdr>
      <w:shd w:val="clear" w:color="000000" w:fill="FEF2CD"/>
      <w:spacing w:before="100" w:beforeAutospacing="1" w:after="100" w:afterAutospacing="1"/>
      <w:textAlignment w:val="center"/>
    </w:pPr>
    <w:rPr>
      <w:rFonts w:eastAsia="Times New Roman" w:cs="Calibri"/>
      <w:i/>
      <w:iCs/>
      <w:sz w:val="24"/>
    </w:rPr>
  </w:style>
  <w:style w:type="paragraph" w:customStyle="1" w:styleId="xl165">
    <w:name w:val="xl165"/>
    <w:basedOn w:val="Normal"/>
    <w:rsid w:val="00223D22"/>
    <w:pPr>
      <w:pBdr>
        <w:top w:val="single" w:sz="8" w:space="0" w:color="auto"/>
        <w:bottom w:val="single" w:sz="8" w:space="0" w:color="auto"/>
      </w:pBdr>
      <w:shd w:val="clear" w:color="000000" w:fill="FEF2CD"/>
      <w:spacing w:before="100" w:beforeAutospacing="1" w:after="100" w:afterAutospacing="1"/>
      <w:textAlignment w:val="center"/>
    </w:pPr>
    <w:rPr>
      <w:rFonts w:eastAsia="Times New Roman" w:cs="Calibri"/>
      <w:i/>
      <w:iCs/>
      <w:sz w:val="24"/>
    </w:rPr>
  </w:style>
  <w:style w:type="paragraph" w:customStyle="1" w:styleId="xl166">
    <w:name w:val="xl166"/>
    <w:basedOn w:val="Normal"/>
    <w:rsid w:val="00223D22"/>
    <w:pPr>
      <w:pBdr>
        <w:top w:val="single" w:sz="8" w:space="0" w:color="auto"/>
        <w:bottom w:val="single" w:sz="8" w:space="0" w:color="auto"/>
        <w:right w:val="single" w:sz="8" w:space="0" w:color="000000"/>
      </w:pBdr>
      <w:shd w:val="clear" w:color="000000" w:fill="FEF2CD"/>
      <w:spacing w:before="100" w:beforeAutospacing="1" w:after="100" w:afterAutospacing="1"/>
      <w:textAlignment w:val="center"/>
    </w:pPr>
    <w:rPr>
      <w:rFonts w:eastAsia="Times New Roman" w:cs="Calibri"/>
      <w:i/>
      <w:iCs/>
      <w:sz w:val="24"/>
    </w:rPr>
  </w:style>
  <w:style w:type="paragraph" w:customStyle="1" w:styleId="xl167">
    <w:name w:val="xl167"/>
    <w:basedOn w:val="Normal"/>
    <w:rsid w:val="00223D22"/>
    <w:pPr>
      <w:pBdr>
        <w:top w:val="single" w:sz="8" w:space="0" w:color="auto"/>
        <w:left w:val="single" w:sz="8" w:space="0" w:color="auto"/>
        <w:bottom w:val="single" w:sz="8" w:space="0" w:color="auto"/>
      </w:pBdr>
      <w:shd w:val="clear" w:color="000000" w:fill="FEF2CD"/>
      <w:spacing w:before="100" w:beforeAutospacing="1" w:after="100" w:afterAutospacing="1"/>
      <w:textAlignment w:val="center"/>
    </w:pPr>
    <w:rPr>
      <w:rFonts w:eastAsia="Times New Roman" w:cs="Calibri"/>
      <w:b/>
      <w:bCs/>
      <w:i/>
      <w:iCs/>
      <w:sz w:val="24"/>
    </w:rPr>
  </w:style>
  <w:style w:type="paragraph" w:customStyle="1" w:styleId="xl168">
    <w:name w:val="xl168"/>
    <w:basedOn w:val="Normal"/>
    <w:rsid w:val="00223D22"/>
    <w:pPr>
      <w:pBdr>
        <w:top w:val="single" w:sz="8" w:space="0" w:color="auto"/>
        <w:bottom w:val="single" w:sz="8" w:space="0" w:color="auto"/>
      </w:pBdr>
      <w:shd w:val="clear" w:color="000000" w:fill="FEF2CD"/>
      <w:spacing w:before="100" w:beforeAutospacing="1" w:after="100" w:afterAutospacing="1"/>
      <w:textAlignment w:val="center"/>
    </w:pPr>
    <w:rPr>
      <w:rFonts w:eastAsia="Times New Roman" w:cs="Calibri"/>
      <w:b/>
      <w:bCs/>
      <w:i/>
      <w:iCs/>
      <w:sz w:val="24"/>
    </w:rPr>
  </w:style>
  <w:style w:type="paragraph" w:customStyle="1" w:styleId="xl169">
    <w:name w:val="xl169"/>
    <w:basedOn w:val="Normal"/>
    <w:rsid w:val="00223D22"/>
    <w:pPr>
      <w:pBdr>
        <w:top w:val="single" w:sz="8" w:space="0" w:color="auto"/>
        <w:bottom w:val="single" w:sz="8" w:space="0" w:color="auto"/>
        <w:right w:val="single" w:sz="8" w:space="0" w:color="000000"/>
      </w:pBdr>
      <w:shd w:val="clear" w:color="000000" w:fill="FEF2CD"/>
      <w:spacing w:before="100" w:beforeAutospacing="1" w:after="100" w:afterAutospacing="1"/>
      <w:textAlignment w:val="center"/>
    </w:pPr>
    <w:rPr>
      <w:rFonts w:eastAsia="Times New Roman" w:cs="Calibri"/>
      <w:b/>
      <w:bCs/>
      <w:i/>
      <w:iCs/>
      <w:sz w:val="24"/>
    </w:rPr>
  </w:style>
  <w:style w:type="paragraph" w:customStyle="1" w:styleId="xl170">
    <w:name w:val="xl170"/>
    <w:basedOn w:val="Normal"/>
    <w:rsid w:val="00223D22"/>
    <w:pPr>
      <w:pBdr>
        <w:top w:val="single" w:sz="8" w:space="0" w:color="auto"/>
        <w:left w:val="single" w:sz="8" w:space="0" w:color="auto"/>
        <w:bottom w:val="single" w:sz="8" w:space="0" w:color="auto"/>
      </w:pBdr>
      <w:shd w:val="clear" w:color="000000" w:fill="FEF2CD"/>
      <w:spacing w:before="100" w:beforeAutospacing="1" w:after="100" w:afterAutospacing="1"/>
      <w:jc w:val="left"/>
      <w:textAlignment w:val="center"/>
    </w:pPr>
    <w:rPr>
      <w:rFonts w:eastAsia="Times New Roman" w:cs="Calibri"/>
      <w:i/>
      <w:iCs/>
      <w:sz w:val="24"/>
    </w:rPr>
  </w:style>
  <w:style w:type="paragraph" w:customStyle="1" w:styleId="xl171">
    <w:name w:val="xl171"/>
    <w:basedOn w:val="Normal"/>
    <w:rsid w:val="00223D22"/>
    <w:pPr>
      <w:pBdr>
        <w:top w:val="single" w:sz="8" w:space="0" w:color="auto"/>
        <w:bottom w:val="single" w:sz="8" w:space="0" w:color="auto"/>
      </w:pBdr>
      <w:shd w:val="clear" w:color="000000" w:fill="FEF2CD"/>
      <w:spacing w:before="100" w:beforeAutospacing="1" w:after="100" w:afterAutospacing="1"/>
      <w:jc w:val="left"/>
      <w:textAlignment w:val="center"/>
    </w:pPr>
    <w:rPr>
      <w:rFonts w:eastAsia="Times New Roman" w:cs="Calibri"/>
      <w:i/>
      <w:iCs/>
      <w:sz w:val="24"/>
    </w:rPr>
  </w:style>
  <w:style w:type="paragraph" w:customStyle="1" w:styleId="xl172">
    <w:name w:val="xl172"/>
    <w:basedOn w:val="Normal"/>
    <w:rsid w:val="00223D22"/>
    <w:pPr>
      <w:pBdr>
        <w:top w:val="single" w:sz="8" w:space="0" w:color="auto"/>
        <w:left w:val="single" w:sz="8" w:space="0" w:color="auto"/>
        <w:bottom w:val="single" w:sz="8" w:space="0" w:color="auto"/>
      </w:pBdr>
      <w:shd w:val="clear" w:color="000000" w:fill="DAF1F3"/>
      <w:spacing w:before="100" w:beforeAutospacing="1" w:after="100" w:afterAutospacing="1"/>
      <w:textAlignment w:val="center"/>
    </w:pPr>
    <w:rPr>
      <w:rFonts w:eastAsia="Times New Roman" w:cs="Calibri"/>
      <w:b/>
      <w:bCs/>
      <w:i/>
      <w:iCs/>
      <w:sz w:val="24"/>
    </w:rPr>
  </w:style>
  <w:style w:type="paragraph" w:customStyle="1" w:styleId="xl173">
    <w:name w:val="xl173"/>
    <w:basedOn w:val="Normal"/>
    <w:rsid w:val="00223D22"/>
    <w:pPr>
      <w:pBdr>
        <w:top w:val="single" w:sz="8" w:space="0" w:color="auto"/>
        <w:bottom w:val="single" w:sz="8" w:space="0" w:color="auto"/>
      </w:pBdr>
      <w:shd w:val="clear" w:color="000000" w:fill="DAF1F3"/>
      <w:spacing w:before="100" w:beforeAutospacing="1" w:after="100" w:afterAutospacing="1"/>
      <w:textAlignment w:val="center"/>
    </w:pPr>
    <w:rPr>
      <w:rFonts w:eastAsia="Times New Roman" w:cs="Calibri"/>
      <w:b/>
      <w:bCs/>
      <w:i/>
      <w:iCs/>
      <w:sz w:val="24"/>
    </w:rPr>
  </w:style>
  <w:style w:type="paragraph" w:customStyle="1" w:styleId="xl174">
    <w:name w:val="xl174"/>
    <w:basedOn w:val="Normal"/>
    <w:rsid w:val="00223D22"/>
    <w:pPr>
      <w:pBdr>
        <w:top w:val="single" w:sz="8" w:space="0" w:color="auto"/>
        <w:bottom w:val="single" w:sz="8" w:space="0" w:color="auto"/>
        <w:right w:val="single" w:sz="8" w:space="0" w:color="000000"/>
      </w:pBdr>
      <w:shd w:val="clear" w:color="000000" w:fill="DAF1F3"/>
      <w:spacing w:before="100" w:beforeAutospacing="1" w:after="100" w:afterAutospacing="1"/>
      <w:textAlignment w:val="center"/>
    </w:pPr>
    <w:rPr>
      <w:rFonts w:eastAsia="Times New Roman" w:cs="Calibri"/>
      <w:b/>
      <w:bCs/>
      <w:i/>
      <w:iCs/>
      <w:sz w:val="24"/>
    </w:rPr>
  </w:style>
  <w:style w:type="paragraph" w:customStyle="1" w:styleId="xl175">
    <w:name w:val="xl175"/>
    <w:basedOn w:val="Normal"/>
    <w:rsid w:val="00223D22"/>
    <w:pPr>
      <w:pBdr>
        <w:top w:val="single" w:sz="8" w:space="0" w:color="auto"/>
        <w:left w:val="single" w:sz="8" w:space="0" w:color="auto"/>
        <w:bottom w:val="single" w:sz="8" w:space="0" w:color="auto"/>
      </w:pBdr>
      <w:shd w:val="clear" w:color="000000" w:fill="DAF1F3"/>
      <w:spacing w:before="100" w:beforeAutospacing="1" w:after="100" w:afterAutospacing="1"/>
      <w:jc w:val="left"/>
      <w:textAlignment w:val="center"/>
    </w:pPr>
    <w:rPr>
      <w:rFonts w:eastAsia="Times New Roman" w:cs="Calibri"/>
      <w:b/>
      <w:bCs/>
      <w:i/>
      <w:iCs/>
      <w:sz w:val="24"/>
    </w:rPr>
  </w:style>
  <w:style w:type="paragraph" w:customStyle="1" w:styleId="xl176">
    <w:name w:val="xl176"/>
    <w:basedOn w:val="Normal"/>
    <w:rsid w:val="00223D22"/>
    <w:pPr>
      <w:pBdr>
        <w:top w:val="single" w:sz="8" w:space="0" w:color="auto"/>
        <w:bottom w:val="single" w:sz="8" w:space="0" w:color="auto"/>
      </w:pBdr>
      <w:shd w:val="clear" w:color="000000" w:fill="DAF1F3"/>
      <w:spacing w:before="100" w:beforeAutospacing="1" w:after="100" w:afterAutospacing="1"/>
      <w:jc w:val="left"/>
      <w:textAlignment w:val="center"/>
    </w:pPr>
    <w:rPr>
      <w:rFonts w:eastAsia="Times New Roman" w:cs="Calibri"/>
      <w:b/>
      <w:bCs/>
      <w:i/>
      <w:iCs/>
      <w:sz w:val="24"/>
    </w:rPr>
  </w:style>
  <w:style w:type="paragraph" w:customStyle="1" w:styleId="xl177">
    <w:name w:val="xl177"/>
    <w:basedOn w:val="Normal"/>
    <w:rsid w:val="00223D22"/>
    <w:pPr>
      <w:pBdr>
        <w:top w:val="single" w:sz="8" w:space="0" w:color="auto"/>
        <w:left w:val="single" w:sz="8" w:space="0" w:color="auto"/>
        <w:bottom w:val="single" w:sz="8" w:space="0" w:color="auto"/>
      </w:pBdr>
      <w:shd w:val="clear" w:color="000000" w:fill="FBDAD7"/>
      <w:spacing w:before="100" w:beforeAutospacing="1" w:after="100" w:afterAutospacing="1"/>
      <w:textAlignment w:val="center"/>
    </w:pPr>
    <w:rPr>
      <w:rFonts w:eastAsia="Times New Roman" w:cs="Calibri"/>
      <w:b/>
      <w:bCs/>
      <w:i/>
      <w:iCs/>
      <w:sz w:val="24"/>
    </w:rPr>
  </w:style>
  <w:style w:type="paragraph" w:customStyle="1" w:styleId="xl178">
    <w:name w:val="xl178"/>
    <w:basedOn w:val="Normal"/>
    <w:rsid w:val="00223D22"/>
    <w:pPr>
      <w:pBdr>
        <w:top w:val="single" w:sz="8" w:space="0" w:color="auto"/>
        <w:bottom w:val="single" w:sz="8" w:space="0" w:color="auto"/>
      </w:pBdr>
      <w:shd w:val="clear" w:color="000000" w:fill="FBDAD7"/>
      <w:spacing w:before="100" w:beforeAutospacing="1" w:after="100" w:afterAutospacing="1"/>
      <w:textAlignment w:val="center"/>
    </w:pPr>
    <w:rPr>
      <w:rFonts w:eastAsia="Times New Roman" w:cs="Calibri"/>
      <w:b/>
      <w:bCs/>
      <w:i/>
      <w:iCs/>
      <w:sz w:val="24"/>
    </w:rPr>
  </w:style>
  <w:style w:type="paragraph" w:customStyle="1" w:styleId="xl179">
    <w:name w:val="xl179"/>
    <w:basedOn w:val="Normal"/>
    <w:rsid w:val="00223D22"/>
    <w:pPr>
      <w:pBdr>
        <w:top w:val="single" w:sz="8" w:space="0" w:color="auto"/>
        <w:bottom w:val="single" w:sz="8" w:space="0" w:color="auto"/>
        <w:right w:val="single" w:sz="8" w:space="0" w:color="000000"/>
      </w:pBdr>
      <w:shd w:val="clear" w:color="000000" w:fill="FBDAD7"/>
      <w:spacing w:before="100" w:beforeAutospacing="1" w:after="100" w:afterAutospacing="1"/>
      <w:textAlignment w:val="center"/>
    </w:pPr>
    <w:rPr>
      <w:rFonts w:eastAsia="Times New Roman" w:cs="Calibri"/>
      <w:b/>
      <w:bCs/>
      <w:i/>
      <w:iCs/>
      <w:sz w:val="24"/>
    </w:rPr>
  </w:style>
  <w:style w:type="paragraph" w:customStyle="1" w:styleId="xl180">
    <w:name w:val="xl180"/>
    <w:basedOn w:val="Normal"/>
    <w:rsid w:val="00223D22"/>
    <w:pPr>
      <w:pBdr>
        <w:top w:val="single" w:sz="8" w:space="0" w:color="auto"/>
        <w:left w:val="single" w:sz="8" w:space="0" w:color="auto"/>
        <w:bottom w:val="single" w:sz="8" w:space="0" w:color="auto"/>
      </w:pBdr>
      <w:shd w:val="clear" w:color="000000" w:fill="FBDAD7"/>
      <w:spacing w:before="100" w:beforeAutospacing="1" w:after="100" w:afterAutospacing="1"/>
      <w:textAlignment w:val="center"/>
    </w:pPr>
    <w:rPr>
      <w:rFonts w:eastAsia="Times New Roman" w:cs="Calibri"/>
      <w:i/>
      <w:iCs/>
      <w:sz w:val="24"/>
    </w:rPr>
  </w:style>
  <w:style w:type="paragraph" w:customStyle="1" w:styleId="xl181">
    <w:name w:val="xl181"/>
    <w:basedOn w:val="Normal"/>
    <w:rsid w:val="00223D22"/>
    <w:pPr>
      <w:pBdr>
        <w:top w:val="single" w:sz="8" w:space="0" w:color="auto"/>
        <w:bottom w:val="single" w:sz="8" w:space="0" w:color="auto"/>
      </w:pBdr>
      <w:shd w:val="clear" w:color="000000" w:fill="FBDAD7"/>
      <w:spacing w:before="100" w:beforeAutospacing="1" w:after="100" w:afterAutospacing="1"/>
      <w:textAlignment w:val="center"/>
    </w:pPr>
    <w:rPr>
      <w:rFonts w:eastAsia="Times New Roman" w:cs="Calibri"/>
      <w:i/>
      <w:iCs/>
      <w:sz w:val="24"/>
    </w:rPr>
  </w:style>
  <w:style w:type="paragraph" w:customStyle="1" w:styleId="xl182">
    <w:name w:val="xl182"/>
    <w:basedOn w:val="Normal"/>
    <w:rsid w:val="00223D22"/>
    <w:pPr>
      <w:pBdr>
        <w:top w:val="single" w:sz="8" w:space="0" w:color="auto"/>
        <w:bottom w:val="single" w:sz="8" w:space="0" w:color="auto"/>
        <w:right w:val="single" w:sz="8" w:space="0" w:color="000000"/>
      </w:pBdr>
      <w:shd w:val="clear" w:color="000000" w:fill="FBDAD7"/>
      <w:spacing w:before="100" w:beforeAutospacing="1" w:after="100" w:afterAutospacing="1"/>
      <w:textAlignment w:val="center"/>
    </w:pPr>
    <w:rPr>
      <w:rFonts w:eastAsia="Times New Roman" w:cs="Calibri"/>
      <w:i/>
      <w:iCs/>
      <w:sz w:val="24"/>
    </w:rPr>
  </w:style>
  <w:style w:type="paragraph" w:customStyle="1" w:styleId="xl183">
    <w:name w:val="xl183"/>
    <w:basedOn w:val="Normal"/>
    <w:rsid w:val="00223D22"/>
    <w:pPr>
      <w:pBdr>
        <w:top w:val="single" w:sz="8" w:space="0" w:color="auto"/>
        <w:left w:val="single" w:sz="8" w:space="0" w:color="auto"/>
        <w:bottom w:val="single" w:sz="8" w:space="0" w:color="auto"/>
      </w:pBdr>
      <w:shd w:val="clear" w:color="000000" w:fill="DAF1F3"/>
      <w:spacing w:before="100" w:beforeAutospacing="1" w:after="100" w:afterAutospacing="1"/>
      <w:textAlignment w:val="center"/>
    </w:pPr>
    <w:rPr>
      <w:rFonts w:eastAsia="Times New Roman" w:cs="Calibri"/>
      <w:i/>
      <w:iCs/>
      <w:sz w:val="24"/>
    </w:rPr>
  </w:style>
  <w:style w:type="paragraph" w:customStyle="1" w:styleId="xl184">
    <w:name w:val="xl184"/>
    <w:basedOn w:val="Normal"/>
    <w:rsid w:val="00223D22"/>
    <w:pPr>
      <w:pBdr>
        <w:top w:val="single" w:sz="8" w:space="0" w:color="auto"/>
        <w:bottom w:val="single" w:sz="8" w:space="0" w:color="auto"/>
      </w:pBdr>
      <w:shd w:val="clear" w:color="000000" w:fill="DAF1F3"/>
      <w:spacing w:before="100" w:beforeAutospacing="1" w:after="100" w:afterAutospacing="1"/>
      <w:textAlignment w:val="center"/>
    </w:pPr>
    <w:rPr>
      <w:rFonts w:eastAsia="Times New Roman" w:cs="Calibri"/>
      <w:i/>
      <w:iCs/>
      <w:sz w:val="24"/>
    </w:rPr>
  </w:style>
  <w:style w:type="paragraph" w:customStyle="1" w:styleId="xl185">
    <w:name w:val="xl185"/>
    <w:basedOn w:val="Normal"/>
    <w:rsid w:val="00223D22"/>
    <w:pPr>
      <w:pBdr>
        <w:top w:val="single" w:sz="8" w:space="0" w:color="auto"/>
        <w:bottom w:val="single" w:sz="8" w:space="0" w:color="auto"/>
        <w:right w:val="single" w:sz="8" w:space="0" w:color="000000"/>
      </w:pBdr>
      <w:shd w:val="clear" w:color="000000" w:fill="DAF1F3"/>
      <w:spacing w:before="100" w:beforeAutospacing="1" w:after="100" w:afterAutospacing="1"/>
      <w:textAlignment w:val="center"/>
    </w:pPr>
    <w:rPr>
      <w:rFonts w:eastAsia="Times New Roman" w:cs="Calibri"/>
      <w:i/>
      <w:iCs/>
      <w:sz w:val="24"/>
    </w:rPr>
  </w:style>
  <w:style w:type="paragraph" w:customStyle="1" w:styleId="xl186">
    <w:name w:val="xl186"/>
    <w:basedOn w:val="Normal"/>
    <w:rsid w:val="00223D22"/>
    <w:pPr>
      <w:pBdr>
        <w:left w:val="single" w:sz="8" w:space="0" w:color="000000"/>
        <w:bottom w:val="single" w:sz="8" w:space="0" w:color="000000"/>
      </w:pBdr>
      <w:spacing w:before="100" w:beforeAutospacing="1" w:after="100" w:afterAutospacing="1"/>
      <w:jc w:val="left"/>
    </w:pPr>
    <w:rPr>
      <w:rFonts w:eastAsia="Times New Roman" w:cs="Calibri"/>
      <w:b/>
      <w:bCs/>
      <w:i/>
      <w:iCs/>
      <w:sz w:val="24"/>
    </w:rPr>
  </w:style>
  <w:style w:type="paragraph" w:customStyle="1" w:styleId="xl187">
    <w:name w:val="xl187"/>
    <w:basedOn w:val="Normal"/>
    <w:rsid w:val="00223D22"/>
    <w:pPr>
      <w:pBdr>
        <w:top w:val="single" w:sz="8" w:space="0" w:color="auto"/>
        <w:left w:val="single" w:sz="8" w:space="0" w:color="auto"/>
        <w:bottom w:val="single" w:sz="8" w:space="0" w:color="auto"/>
      </w:pBdr>
      <w:shd w:val="clear" w:color="000000" w:fill="FBDAD7"/>
      <w:spacing w:before="100" w:beforeAutospacing="1" w:after="100" w:afterAutospacing="1"/>
      <w:jc w:val="left"/>
      <w:textAlignment w:val="center"/>
    </w:pPr>
    <w:rPr>
      <w:rFonts w:eastAsia="Times New Roman" w:cs="Calibri"/>
      <w:i/>
      <w:iCs/>
      <w:sz w:val="24"/>
    </w:rPr>
  </w:style>
  <w:style w:type="paragraph" w:customStyle="1" w:styleId="xl188">
    <w:name w:val="xl188"/>
    <w:basedOn w:val="Normal"/>
    <w:rsid w:val="00223D22"/>
    <w:pPr>
      <w:pBdr>
        <w:top w:val="single" w:sz="8" w:space="0" w:color="auto"/>
        <w:bottom w:val="single" w:sz="8" w:space="0" w:color="auto"/>
      </w:pBdr>
      <w:shd w:val="clear" w:color="000000" w:fill="FBDAD7"/>
      <w:spacing w:before="100" w:beforeAutospacing="1" w:after="100" w:afterAutospacing="1"/>
      <w:jc w:val="left"/>
      <w:textAlignment w:val="center"/>
    </w:pPr>
    <w:rPr>
      <w:rFonts w:eastAsia="Times New Roman" w:cs="Calibri"/>
      <w:i/>
      <w:iCs/>
      <w:sz w:val="24"/>
    </w:rPr>
  </w:style>
  <w:style w:type="paragraph" w:customStyle="1" w:styleId="xl189">
    <w:name w:val="xl189"/>
    <w:basedOn w:val="Normal"/>
    <w:rsid w:val="00223D22"/>
    <w:pPr>
      <w:pBdr>
        <w:top w:val="single" w:sz="8" w:space="0" w:color="auto"/>
        <w:left w:val="single" w:sz="8" w:space="0" w:color="auto"/>
        <w:bottom w:val="single" w:sz="8" w:space="0" w:color="auto"/>
      </w:pBdr>
      <w:spacing w:before="100" w:beforeAutospacing="1" w:after="100" w:afterAutospacing="1"/>
      <w:textAlignment w:val="center"/>
    </w:pPr>
    <w:rPr>
      <w:rFonts w:eastAsia="Times New Roman" w:cs="Calibri"/>
      <w:b/>
      <w:bCs/>
      <w:i/>
      <w:iCs/>
      <w:sz w:val="24"/>
    </w:rPr>
  </w:style>
  <w:style w:type="paragraph" w:customStyle="1" w:styleId="xl190">
    <w:name w:val="xl190"/>
    <w:basedOn w:val="Normal"/>
    <w:rsid w:val="00223D22"/>
    <w:pPr>
      <w:pBdr>
        <w:top w:val="single" w:sz="8" w:space="0" w:color="auto"/>
        <w:bottom w:val="single" w:sz="8" w:space="0" w:color="auto"/>
      </w:pBdr>
      <w:spacing w:before="100" w:beforeAutospacing="1" w:after="100" w:afterAutospacing="1"/>
      <w:textAlignment w:val="center"/>
    </w:pPr>
    <w:rPr>
      <w:rFonts w:eastAsia="Times New Roman" w:cs="Calibri"/>
      <w:b/>
      <w:bCs/>
      <w:i/>
      <w:iCs/>
      <w:sz w:val="24"/>
    </w:rPr>
  </w:style>
  <w:style w:type="paragraph" w:customStyle="1" w:styleId="xl191">
    <w:name w:val="xl191"/>
    <w:basedOn w:val="Normal"/>
    <w:rsid w:val="00223D22"/>
    <w:pPr>
      <w:pBdr>
        <w:top w:val="single" w:sz="8" w:space="0" w:color="auto"/>
        <w:bottom w:val="single" w:sz="8" w:space="0" w:color="auto"/>
        <w:right w:val="single" w:sz="8" w:space="0" w:color="auto"/>
      </w:pBdr>
      <w:spacing w:before="100" w:beforeAutospacing="1" w:after="100" w:afterAutospacing="1"/>
      <w:textAlignment w:val="center"/>
    </w:pPr>
    <w:rPr>
      <w:rFonts w:eastAsia="Times New Roman" w:cs="Calibri"/>
      <w:b/>
      <w:bCs/>
      <w:i/>
      <w:iCs/>
      <w:sz w:val="24"/>
    </w:rPr>
  </w:style>
  <w:style w:type="paragraph" w:customStyle="1" w:styleId="xl192">
    <w:name w:val="xl192"/>
    <w:basedOn w:val="Normal"/>
    <w:rsid w:val="00223D22"/>
    <w:pPr>
      <w:pBdr>
        <w:top w:val="single" w:sz="8" w:space="0" w:color="auto"/>
        <w:left w:val="single" w:sz="8" w:space="0" w:color="auto"/>
        <w:bottom w:val="single" w:sz="8" w:space="0" w:color="auto"/>
        <w:right w:val="single" w:sz="4" w:space="0" w:color="auto"/>
      </w:pBdr>
      <w:spacing w:before="100" w:beforeAutospacing="1" w:after="100" w:afterAutospacing="1"/>
      <w:jc w:val="left"/>
      <w:textAlignment w:val="center"/>
    </w:pPr>
    <w:rPr>
      <w:rFonts w:eastAsia="Times New Roman" w:cs="Calibri"/>
      <w:i/>
      <w:iCs/>
      <w:sz w:val="24"/>
    </w:rPr>
  </w:style>
  <w:style w:type="paragraph" w:customStyle="1" w:styleId="xl193">
    <w:name w:val="xl193"/>
    <w:basedOn w:val="Normal"/>
    <w:rsid w:val="00223D22"/>
    <w:pPr>
      <w:pBdr>
        <w:top w:val="single" w:sz="8" w:space="0" w:color="auto"/>
        <w:left w:val="single" w:sz="4" w:space="0" w:color="auto"/>
        <w:bottom w:val="single" w:sz="8" w:space="0" w:color="auto"/>
        <w:right w:val="single" w:sz="4" w:space="0" w:color="auto"/>
      </w:pBdr>
      <w:spacing w:before="100" w:beforeAutospacing="1" w:after="100" w:afterAutospacing="1"/>
      <w:jc w:val="left"/>
      <w:textAlignment w:val="center"/>
    </w:pPr>
    <w:rPr>
      <w:rFonts w:eastAsia="Times New Roman" w:cs="Calibri"/>
      <w:i/>
      <w:iCs/>
      <w:sz w:val="24"/>
    </w:rPr>
  </w:style>
  <w:style w:type="paragraph" w:customStyle="1" w:styleId="xl194">
    <w:name w:val="xl194"/>
    <w:basedOn w:val="Normal"/>
    <w:rsid w:val="00223D22"/>
    <w:pPr>
      <w:pBdr>
        <w:top w:val="single" w:sz="8" w:space="0" w:color="auto"/>
        <w:left w:val="single" w:sz="4" w:space="0" w:color="auto"/>
        <w:bottom w:val="single" w:sz="8" w:space="0" w:color="auto"/>
        <w:right w:val="single" w:sz="8" w:space="0" w:color="auto"/>
      </w:pBdr>
      <w:spacing w:before="100" w:beforeAutospacing="1" w:after="100" w:afterAutospacing="1"/>
      <w:jc w:val="left"/>
      <w:textAlignment w:val="center"/>
    </w:pPr>
    <w:rPr>
      <w:rFonts w:eastAsia="Times New Roman" w:cs="Calibri"/>
      <w:i/>
      <w:iCs/>
      <w:sz w:val="24"/>
    </w:rPr>
  </w:style>
  <w:style w:type="paragraph" w:customStyle="1" w:styleId="xl195">
    <w:name w:val="xl195"/>
    <w:basedOn w:val="Normal"/>
    <w:rsid w:val="00223D22"/>
    <w:pPr>
      <w:pBdr>
        <w:top w:val="single" w:sz="8" w:space="0" w:color="auto"/>
        <w:left w:val="single" w:sz="8" w:space="0" w:color="auto"/>
        <w:bottom w:val="single" w:sz="8" w:space="0" w:color="auto"/>
      </w:pBdr>
      <w:spacing w:before="100" w:beforeAutospacing="1" w:after="100" w:afterAutospacing="1"/>
      <w:textAlignment w:val="center"/>
    </w:pPr>
    <w:rPr>
      <w:rFonts w:eastAsia="Times New Roman" w:cs="Calibri"/>
      <w:i/>
      <w:iCs/>
      <w:sz w:val="24"/>
    </w:rPr>
  </w:style>
  <w:style w:type="paragraph" w:customStyle="1" w:styleId="xl196">
    <w:name w:val="xl196"/>
    <w:basedOn w:val="Normal"/>
    <w:rsid w:val="00223D22"/>
    <w:pPr>
      <w:pBdr>
        <w:top w:val="single" w:sz="8" w:space="0" w:color="auto"/>
        <w:bottom w:val="single" w:sz="8" w:space="0" w:color="auto"/>
      </w:pBdr>
      <w:spacing w:before="100" w:beforeAutospacing="1" w:after="100" w:afterAutospacing="1"/>
      <w:textAlignment w:val="center"/>
    </w:pPr>
    <w:rPr>
      <w:rFonts w:eastAsia="Times New Roman" w:cs="Calibri"/>
      <w:i/>
      <w:iCs/>
      <w:sz w:val="24"/>
    </w:rPr>
  </w:style>
  <w:style w:type="paragraph" w:customStyle="1" w:styleId="xl197">
    <w:name w:val="xl197"/>
    <w:basedOn w:val="Normal"/>
    <w:rsid w:val="00223D22"/>
    <w:pPr>
      <w:pBdr>
        <w:top w:val="single" w:sz="8" w:space="0" w:color="auto"/>
        <w:bottom w:val="single" w:sz="8" w:space="0" w:color="auto"/>
        <w:right w:val="single" w:sz="8" w:space="0" w:color="auto"/>
      </w:pBdr>
      <w:spacing w:before="100" w:beforeAutospacing="1" w:after="100" w:afterAutospacing="1"/>
      <w:textAlignment w:val="center"/>
    </w:pPr>
    <w:rPr>
      <w:rFonts w:eastAsia="Times New Roman" w:cs="Calibri"/>
      <w:i/>
      <w:iCs/>
      <w:sz w:val="24"/>
    </w:rPr>
  </w:style>
  <w:style w:type="paragraph" w:customStyle="1" w:styleId="xl198">
    <w:name w:val="xl198"/>
    <w:basedOn w:val="Normal"/>
    <w:rsid w:val="00223D22"/>
    <w:pPr>
      <w:pBdr>
        <w:top w:val="single" w:sz="8" w:space="0" w:color="auto"/>
        <w:left w:val="single" w:sz="8" w:space="0" w:color="auto"/>
        <w:bottom w:val="single" w:sz="8" w:space="0" w:color="auto"/>
      </w:pBdr>
      <w:spacing w:before="100" w:beforeAutospacing="1" w:after="100" w:afterAutospacing="1"/>
      <w:jc w:val="left"/>
      <w:textAlignment w:val="center"/>
    </w:pPr>
    <w:rPr>
      <w:rFonts w:eastAsia="Times New Roman" w:cs="Calibri"/>
      <w:i/>
      <w:iCs/>
      <w:sz w:val="24"/>
    </w:rPr>
  </w:style>
  <w:style w:type="paragraph" w:customStyle="1" w:styleId="xl199">
    <w:name w:val="xl199"/>
    <w:basedOn w:val="Normal"/>
    <w:rsid w:val="00223D22"/>
    <w:pPr>
      <w:pBdr>
        <w:top w:val="single" w:sz="8" w:space="0" w:color="auto"/>
        <w:bottom w:val="single" w:sz="8" w:space="0" w:color="auto"/>
      </w:pBdr>
      <w:spacing w:before="100" w:beforeAutospacing="1" w:after="100" w:afterAutospacing="1"/>
      <w:jc w:val="left"/>
      <w:textAlignment w:val="center"/>
    </w:pPr>
    <w:rPr>
      <w:rFonts w:eastAsia="Times New Roman" w:cs="Calibri"/>
      <w:i/>
      <w:iCs/>
      <w:sz w:val="24"/>
    </w:rPr>
  </w:style>
  <w:style w:type="paragraph" w:customStyle="1" w:styleId="xl200">
    <w:name w:val="xl200"/>
    <w:basedOn w:val="Normal"/>
    <w:rsid w:val="00223D22"/>
    <w:pPr>
      <w:pBdr>
        <w:top w:val="single" w:sz="8" w:space="0" w:color="auto"/>
        <w:bottom w:val="single" w:sz="8" w:space="0" w:color="auto"/>
        <w:right w:val="single" w:sz="8" w:space="0" w:color="auto"/>
      </w:pBdr>
      <w:spacing w:before="100" w:beforeAutospacing="1" w:after="100" w:afterAutospacing="1"/>
      <w:jc w:val="left"/>
      <w:textAlignment w:val="center"/>
    </w:pPr>
    <w:rPr>
      <w:rFonts w:eastAsia="Times New Roman" w:cs="Calibri"/>
      <w:i/>
      <w:iCs/>
      <w:sz w:val="24"/>
    </w:rPr>
  </w:style>
  <w:style w:type="character" w:customStyle="1" w:styleId="xnormaltextrun">
    <w:name w:val="x_normaltextrun"/>
    <w:basedOn w:val="DefaultParagraphFont"/>
    <w:rsid w:val="003E25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sChild>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34163184">
      <w:bodyDiv w:val="1"/>
      <w:marLeft w:val="0"/>
      <w:marRight w:val="0"/>
      <w:marTop w:val="0"/>
      <w:marBottom w:val="0"/>
      <w:divBdr>
        <w:top w:val="none" w:sz="0" w:space="0" w:color="auto"/>
        <w:left w:val="none" w:sz="0" w:space="0" w:color="auto"/>
        <w:bottom w:val="none" w:sz="0" w:space="0" w:color="auto"/>
        <w:right w:val="none" w:sz="0" w:space="0" w:color="auto"/>
      </w:divBdr>
    </w:div>
    <w:div w:id="37704355">
      <w:bodyDiv w:val="1"/>
      <w:marLeft w:val="0"/>
      <w:marRight w:val="0"/>
      <w:marTop w:val="0"/>
      <w:marBottom w:val="0"/>
      <w:divBdr>
        <w:top w:val="none" w:sz="0" w:space="0" w:color="auto"/>
        <w:left w:val="none" w:sz="0" w:space="0" w:color="auto"/>
        <w:bottom w:val="none" w:sz="0" w:space="0" w:color="auto"/>
        <w:right w:val="none" w:sz="0" w:space="0" w:color="auto"/>
      </w:divBdr>
    </w:div>
    <w:div w:id="44573503">
      <w:bodyDiv w:val="1"/>
      <w:marLeft w:val="0"/>
      <w:marRight w:val="0"/>
      <w:marTop w:val="0"/>
      <w:marBottom w:val="0"/>
      <w:divBdr>
        <w:top w:val="none" w:sz="0" w:space="0" w:color="auto"/>
        <w:left w:val="none" w:sz="0" w:space="0" w:color="auto"/>
        <w:bottom w:val="none" w:sz="0" w:space="0" w:color="auto"/>
        <w:right w:val="none" w:sz="0" w:space="0" w:color="auto"/>
      </w:divBdr>
    </w:div>
    <w:div w:id="67729451">
      <w:bodyDiv w:val="1"/>
      <w:marLeft w:val="0"/>
      <w:marRight w:val="0"/>
      <w:marTop w:val="0"/>
      <w:marBottom w:val="0"/>
      <w:divBdr>
        <w:top w:val="none" w:sz="0" w:space="0" w:color="auto"/>
        <w:left w:val="none" w:sz="0" w:space="0" w:color="auto"/>
        <w:bottom w:val="none" w:sz="0" w:space="0" w:color="auto"/>
        <w:right w:val="none" w:sz="0" w:space="0" w:color="auto"/>
      </w:divBdr>
    </w:div>
    <w:div w:id="73862000">
      <w:bodyDiv w:val="1"/>
      <w:marLeft w:val="0"/>
      <w:marRight w:val="0"/>
      <w:marTop w:val="0"/>
      <w:marBottom w:val="0"/>
      <w:divBdr>
        <w:top w:val="none" w:sz="0" w:space="0" w:color="auto"/>
        <w:left w:val="none" w:sz="0" w:space="0" w:color="auto"/>
        <w:bottom w:val="none" w:sz="0" w:space="0" w:color="auto"/>
        <w:right w:val="none" w:sz="0" w:space="0" w:color="auto"/>
      </w:divBdr>
    </w:div>
    <w:div w:id="92746878">
      <w:bodyDiv w:val="1"/>
      <w:marLeft w:val="0"/>
      <w:marRight w:val="0"/>
      <w:marTop w:val="0"/>
      <w:marBottom w:val="0"/>
      <w:divBdr>
        <w:top w:val="none" w:sz="0" w:space="0" w:color="auto"/>
        <w:left w:val="none" w:sz="0" w:space="0" w:color="auto"/>
        <w:bottom w:val="none" w:sz="0" w:space="0" w:color="auto"/>
        <w:right w:val="none" w:sz="0" w:space="0" w:color="auto"/>
      </w:divBdr>
    </w:div>
    <w:div w:id="103237673">
      <w:bodyDiv w:val="1"/>
      <w:marLeft w:val="0"/>
      <w:marRight w:val="0"/>
      <w:marTop w:val="0"/>
      <w:marBottom w:val="0"/>
      <w:divBdr>
        <w:top w:val="none" w:sz="0" w:space="0" w:color="auto"/>
        <w:left w:val="none" w:sz="0" w:space="0" w:color="auto"/>
        <w:bottom w:val="none" w:sz="0" w:space="0" w:color="auto"/>
        <w:right w:val="none" w:sz="0" w:space="0" w:color="auto"/>
      </w:divBdr>
    </w:div>
    <w:div w:id="104540175">
      <w:bodyDiv w:val="1"/>
      <w:marLeft w:val="0"/>
      <w:marRight w:val="0"/>
      <w:marTop w:val="0"/>
      <w:marBottom w:val="0"/>
      <w:divBdr>
        <w:top w:val="none" w:sz="0" w:space="0" w:color="auto"/>
        <w:left w:val="none" w:sz="0" w:space="0" w:color="auto"/>
        <w:bottom w:val="none" w:sz="0" w:space="0" w:color="auto"/>
        <w:right w:val="none" w:sz="0" w:space="0" w:color="auto"/>
      </w:divBdr>
      <w:divsChild>
        <w:div w:id="1724863918">
          <w:marLeft w:val="0"/>
          <w:marRight w:val="0"/>
          <w:marTop w:val="0"/>
          <w:marBottom w:val="0"/>
          <w:divBdr>
            <w:top w:val="none" w:sz="0" w:space="0" w:color="auto"/>
            <w:left w:val="none" w:sz="0" w:space="0" w:color="auto"/>
            <w:bottom w:val="none" w:sz="0" w:space="0" w:color="auto"/>
            <w:right w:val="none" w:sz="0" w:space="0" w:color="auto"/>
          </w:divBdr>
          <w:divsChild>
            <w:div w:id="1793597999">
              <w:marLeft w:val="0"/>
              <w:marRight w:val="0"/>
              <w:marTop w:val="0"/>
              <w:marBottom w:val="0"/>
              <w:divBdr>
                <w:top w:val="none" w:sz="0" w:space="0" w:color="auto"/>
                <w:left w:val="none" w:sz="0" w:space="0" w:color="auto"/>
                <w:bottom w:val="none" w:sz="0" w:space="0" w:color="auto"/>
                <w:right w:val="none" w:sz="0" w:space="0" w:color="auto"/>
              </w:divBdr>
              <w:divsChild>
                <w:div w:id="669018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678752">
      <w:bodyDiv w:val="1"/>
      <w:marLeft w:val="0"/>
      <w:marRight w:val="0"/>
      <w:marTop w:val="0"/>
      <w:marBottom w:val="0"/>
      <w:divBdr>
        <w:top w:val="none" w:sz="0" w:space="0" w:color="auto"/>
        <w:left w:val="none" w:sz="0" w:space="0" w:color="auto"/>
        <w:bottom w:val="none" w:sz="0" w:space="0" w:color="auto"/>
        <w:right w:val="none" w:sz="0" w:space="0" w:color="auto"/>
      </w:divBdr>
    </w:div>
    <w:div w:id="133179794">
      <w:bodyDiv w:val="1"/>
      <w:marLeft w:val="0"/>
      <w:marRight w:val="0"/>
      <w:marTop w:val="0"/>
      <w:marBottom w:val="0"/>
      <w:divBdr>
        <w:top w:val="none" w:sz="0" w:space="0" w:color="auto"/>
        <w:left w:val="none" w:sz="0" w:space="0" w:color="auto"/>
        <w:bottom w:val="none" w:sz="0" w:space="0" w:color="auto"/>
        <w:right w:val="none" w:sz="0" w:space="0" w:color="auto"/>
      </w:divBdr>
    </w:div>
    <w:div w:id="145437572">
      <w:bodyDiv w:val="1"/>
      <w:marLeft w:val="0"/>
      <w:marRight w:val="0"/>
      <w:marTop w:val="0"/>
      <w:marBottom w:val="0"/>
      <w:divBdr>
        <w:top w:val="none" w:sz="0" w:space="0" w:color="auto"/>
        <w:left w:val="none" w:sz="0" w:space="0" w:color="auto"/>
        <w:bottom w:val="none" w:sz="0" w:space="0" w:color="auto"/>
        <w:right w:val="none" w:sz="0" w:space="0" w:color="auto"/>
      </w:divBdr>
    </w:div>
    <w:div w:id="159080579">
      <w:bodyDiv w:val="1"/>
      <w:marLeft w:val="0"/>
      <w:marRight w:val="0"/>
      <w:marTop w:val="0"/>
      <w:marBottom w:val="0"/>
      <w:divBdr>
        <w:top w:val="none" w:sz="0" w:space="0" w:color="auto"/>
        <w:left w:val="none" w:sz="0" w:space="0" w:color="auto"/>
        <w:bottom w:val="none" w:sz="0" w:space="0" w:color="auto"/>
        <w:right w:val="none" w:sz="0" w:space="0" w:color="auto"/>
      </w:divBdr>
    </w:div>
    <w:div w:id="166410546">
      <w:bodyDiv w:val="1"/>
      <w:marLeft w:val="0"/>
      <w:marRight w:val="0"/>
      <w:marTop w:val="0"/>
      <w:marBottom w:val="0"/>
      <w:divBdr>
        <w:top w:val="none" w:sz="0" w:space="0" w:color="auto"/>
        <w:left w:val="none" w:sz="0" w:space="0" w:color="auto"/>
        <w:bottom w:val="none" w:sz="0" w:space="0" w:color="auto"/>
        <w:right w:val="none" w:sz="0" w:space="0" w:color="auto"/>
      </w:divBdr>
    </w:div>
    <w:div w:id="195512943">
      <w:bodyDiv w:val="1"/>
      <w:marLeft w:val="0"/>
      <w:marRight w:val="0"/>
      <w:marTop w:val="0"/>
      <w:marBottom w:val="0"/>
      <w:divBdr>
        <w:top w:val="none" w:sz="0" w:space="0" w:color="auto"/>
        <w:left w:val="none" w:sz="0" w:space="0" w:color="auto"/>
        <w:bottom w:val="none" w:sz="0" w:space="0" w:color="auto"/>
        <w:right w:val="none" w:sz="0" w:space="0" w:color="auto"/>
      </w:divBdr>
      <w:divsChild>
        <w:div w:id="883097927">
          <w:marLeft w:val="274"/>
          <w:marRight w:val="0"/>
          <w:marTop w:val="0"/>
          <w:marBottom w:val="60"/>
          <w:divBdr>
            <w:top w:val="none" w:sz="0" w:space="0" w:color="auto"/>
            <w:left w:val="none" w:sz="0" w:space="0" w:color="auto"/>
            <w:bottom w:val="none" w:sz="0" w:space="0" w:color="auto"/>
            <w:right w:val="none" w:sz="0" w:space="0" w:color="auto"/>
          </w:divBdr>
        </w:div>
      </w:divsChild>
    </w:div>
    <w:div w:id="226651027">
      <w:bodyDiv w:val="1"/>
      <w:marLeft w:val="0"/>
      <w:marRight w:val="0"/>
      <w:marTop w:val="0"/>
      <w:marBottom w:val="0"/>
      <w:divBdr>
        <w:top w:val="none" w:sz="0" w:space="0" w:color="auto"/>
        <w:left w:val="none" w:sz="0" w:space="0" w:color="auto"/>
        <w:bottom w:val="none" w:sz="0" w:space="0" w:color="auto"/>
        <w:right w:val="none" w:sz="0" w:space="0" w:color="auto"/>
      </w:divBdr>
    </w:div>
    <w:div w:id="235478770">
      <w:bodyDiv w:val="1"/>
      <w:marLeft w:val="0"/>
      <w:marRight w:val="0"/>
      <w:marTop w:val="0"/>
      <w:marBottom w:val="0"/>
      <w:divBdr>
        <w:top w:val="none" w:sz="0" w:space="0" w:color="auto"/>
        <w:left w:val="none" w:sz="0" w:space="0" w:color="auto"/>
        <w:bottom w:val="none" w:sz="0" w:space="0" w:color="auto"/>
        <w:right w:val="none" w:sz="0" w:space="0" w:color="auto"/>
      </w:divBdr>
      <w:divsChild>
        <w:div w:id="720207020">
          <w:marLeft w:val="0"/>
          <w:marRight w:val="0"/>
          <w:marTop w:val="0"/>
          <w:marBottom w:val="326"/>
          <w:divBdr>
            <w:top w:val="none" w:sz="0" w:space="0" w:color="auto"/>
            <w:left w:val="none" w:sz="0" w:space="0" w:color="auto"/>
            <w:bottom w:val="none" w:sz="0" w:space="0" w:color="auto"/>
            <w:right w:val="none" w:sz="0" w:space="0" w:color="auto"/>
          </w:divBdr>
        </w:div>
      </w:divsChild>
    </w:div>
    <w:div w:id="238103554">
      <w:bodyDiv w:val="1"/>
      <w:marLeft w:val="0"/>
      <w:marRight w:val="0"/>
      <w:marTop w:val="0"/>
      <w:marBottom w:val="0"/>
      <w:divBdr>
        <w:top w:val="none" w:sz="0" w:space="0" w:color="auto"/>
        <w:left w:val="none" w:sz="0" w:space="0" w:color="auto"/>
        <w:bottom w:val="none" w:sz="0" w:space="0" w:color="auto"/>
        <w:right w:val="none" w:sz="0" w:space="0" w:color="auto"/>
      </w:divBdr>
    </w:div>
    <w:div w:id="238950778">
      <w:bodyDiv w:val="1"/>
      <w:marLeft w:val="0"/>
      <w:marRight w:val="0"/>
      <w:marTop w:val="0"/>
      <w:marBottom w:val="0"/>
      <w:divBdr>
        <w:top w:val="none" w:sz="0" w:space="0" w:color="auto"/>
        <w:left w:val="none" w:sz="0" w:space="0" w:color="auto"/>
        <w:bottom w:val="none" w:sz="0" w:space="0" w:color="auto"/>
        <w:right w:val="none" w:sz="0" w:space="0" w:color="auto"/>
      </w:divBdr>
    </w:div>
    <w:div w:id="251205500">
      <w:bodyDiv w:val="1"/>
      <w:marLeft w:val="0"/>
      <w:marRight w:val="0"/>
      <w:marTop w:val="0"/>
      <w:marBottom w:val="0"/>
      <w:divBdr>
        <w:top w:val="none" w:sz="0" w:space="0" w:color="auto"/>
        <w:left w:val="none" w:sz="0" w:space="0" w:color="auto"/>
        <w:bottom w:val="none" w:sz="0" w:space="0" w:color="auto"/>
        <w:right w:val="none" w:sz="0" w:space="0" w:color="auto"/>
      </w:divBdr>
    </w:div>
    <w:div w:id="259801023">
      <w:bodyDiv w:val="1"/>
      <w:marLeft w:val="0"/>
      <w:marRight w:val="0"/>
      <w:marTop w:val="0"/>
      <w:marBottom w:val="0"/>
      <w:divBdr>
        <w:top w:val="none" w:sz="0" w:space="0" w:color="auto"/>
        <w:left w:val="none" w:sz="0" w:space="0" w:color="auto"/>
        <w:bottom w:val="none" w:sz="0" w:space="0" w:color="auto"/>
        <w:right w:val="none" w:sz="0" w:space="0" w:color="auto"/>
      </w:divBdr>
    </w:div>
    <w:div w:id="267321676">
      <w:bodyDiv w:val="1"/>
      <w:marLeft w:val="0"/>
      <w:marRight w:val="0"/>
      <w:marTop w:val="0"/>
      <w:marBottom w:val="0"/>
      <w:divBdr>
        <w:top w:val="none" w:sz="0" w:space="0" w:color="auto"/>
        <w:left w:val="none" w:sz="0" w:space="0" w:color="auto"/>
        <w:bottom w:val="none" w:sz="0" w:space="0" w:color="auto"/>
        <w:right w:val="none" w:sz="0" w:space="0" w:color="auto"/>
      </w:divBdr>
      <w:divsChild>
        <w:div w:id="48040360">
          <w:marLeft w:val="446"/>
          <w:marRight w:val="0"/>
          <w:marTop w:val="60"/>
          <w:marBottom w:val="60"/>
          <w:divBdr>
            <w:top w:val="none" w:sz="0" w:space="0" w:color="auto"/>
            <w:left w:val="none" w:sz="0" w:space="0" w:color="auto"/>
            <w:bottom w:val="none" w:sz="0" w:space="0" w:color="auto"/>
            <w:right w:val="none" w:sz="0" w:space="0" w:color="auto"/>
          </w:divBdr>
        </w:div>
      </w:divsChild>
    </w:div>
    <w:div w:id="272326796">
      <w:bodyDiv w:val="1"/>
      <w:marLeft w:val="0"/>
      <w:marRight w:val="0"/>
      <w:marTop w:val="0"/>
      <w:marBottom w:val="0"/>
      <w:divBdr>
        <w:top w:val="none" w:sz="0" w:space="0" w:color="auto"/>
        <w:left w:val="none" w:sz="0" w:space="0" w:color="auto"/>
        <w:bottom w:val="none" w:sz="0" w:space="0" w:color="auto"/>
        <w:right w:val="none" w:sz="0" w:space="0" w:color="auto"/>
      </w:divBdr>
    </w:div>
    <w:div w:id="273907549">
      <w:bodyDiv w:val="1"/>
      <w:marLeft w:val="0"/>
      <w:marRight w:val="0"/>
      <w:marTop w:val="0"/>
      <w:marBottom w:val="0"/>
      <w:divBdr>
        <w:top w:val="none" w:sz="0" w:space="0" w:color="auto"/>
        <w:left w:val="none" w:sz="0" w:space="0" w:color="auto"/>
        <w:bottom w:val="none" w:sz="0" w:space="0" w:color="auto"/>
        <w:right w:val="none" w:sz="0" w:space="0" w:color="auto"/>
      </w:divBdr>
    </w:div>
    <w:div w:id="285158002">
      <w:bodyDiv w:val="1"/>
      <w:marLeft w:val="0"/>
      <w:marRight w:val="0"/>
      <w:marTop w:val="0"/>
      <w:marBottom w:val="0"/>
      <w:divBdr>
        <w:top w:val="none" w:sz="0" w:space="0" w:color="auto"/>
        <w:left w:val="none" w:sz="0" w:space="0" w:color="auto"/>
        <w:bottom w:val="none" w:sz="0" w:space="0" w:color="auto"/>
        <w:right w:val="none" w:sz="0" w:space="0" w:color="auto"/>
      </w:divBdr>
    </w:div>
    <w:div w:id="313682522">
      <w:bodyDiv w:val="1"/>
      <w:marLeft w:val="0"/>
      <w:marRight w:val="0"/>
      <w:marTop w:val="0"/>
      <w:marBottom w:val="0"/>
      <w:divBdr>
        <w:top w:val="none" w:sz="0" w:space="0" w:color="auto"/>
        <w:left w:val="none" w:sz="0" w:space="0" w:color="auto"/>
        <w:bottom w:val="none" w:sz="0" w:space="0" w:color="auto"/>
        <w:right w:val="none" w:sz="0" w:space="0" w:color="auto"/>
      </w:divBdr>
    </w:div>
    <w:div w:id="352153784">
      <w:bodyDiv w:val="1"/>
      <w:marLeft w:val="0"/>
      <w:marRight w:val="0"/>
      <w:marTop w:val="0"/>
      <w:marBottom w:val="0"/>
      <w:divBdr>
        <w:top w:val="none" w:sz="0" w:space="0" w:color="auto"/>
        <w:left w:val="none" w:sz="0" w:space="0" w:color="auto"/>
        <w:bottom w:val="none" w:sz="0" w:space="0" w:color="auto"/>
        <w:right w:val="none" w:sz="0" w:space="0" w:color="auto"/>
      </w:divBdr>
    </w:div>
    <w:div w:id="363336824">
      <w:bodyDiv w:val="1"/>
      <w:marLeft w:val="0"/>
      <w:marRight w:val="0"/>
      <w:marTop w:val="0"/>
      <w:marBottom w:val="0"/>
      <w:divBdr>
        <w:top w:val="none" w:sz="0" w:space="0" w:color="auto"/>
        <w:left w:val="none" w:sz="0" w:space="0" w:color="auto"/>
        <w:bottom w:val="none" w:sz="0" w:space="0" w:color="auto"/>
        <w:right w:val="none" w:sz="0" w:space="0" w:color="auto"/>
      </w:divBdr>
      <w:divsChild>
        <w:div w:id="612975257">
          <w:marLeft w:val="0"/>
          <w:marRight w:val="0"/>
          <w:marTop w:val="0"/>
          <w:marBottom w:val="0"/>
          <w:divBdr>
            <w:top w:val="none" w:sz="0" w:space="0" w:color="auto"/>
            <w:left w:val="none" w:sz="0" w:space="0" w:color="auto"/>
            <w:bottom w:val="none" w:sz="0" w:space="0" w:color="auto"/>
            <w:right w:val="none" w:sz="0" w:space="0" w:color="auto"/>
          </w:divBdr>
        </w:div>
      </w:divsChild>
    </w:div>
    <w:div w:id="387413365">
      <w:bodyDiv w:val="1"/>
      <w:marLeft w:val="0"/>
      <w:marRight w:val="0"/>
      <w:marTop w:val="0"/>
      <w:marBottom w:val="0"/>
      <w:divBdr>
        <w:top w:val="none" w:sz="0" w:space="0" w:color="auto"/>
        <w:left w:val="none" w:sz="0" w:space="0" w:color="auto"/>
        <w:bottom w:val="none" w:sz="0" w:space="0" w:color="auto"/>
        <w:right w:val="none" w:sz="0" w:space="0" w:color="auto"/>
      </w:divBdr>
    </w:div>
    <w:div w:id="390857891">
      <w:bodyDiv w:val="1"/>
      <w:marLeft w:val="0"/>
      <w:marRight w:val="0"/>
      <w:marTop w:val="0"/>
      <w:marBottom w:val="0"/>
      <w:divBdr>
        <w:top w:val="none" w:sz="0" w:space="0" w:color="auto"/>
        <w:left w:val="none" w:sz="0" w:space="0" w:color="auto"/>
        <w:bottom w:val="none" w:sz="0" w:space="0" w:color="auto"/>
        <w:right w:val="none" w:sz="0" w:space="0" w:color="auto"/>
      </w:divBdr>
    </w:div>
    <w:div w:id="410740096">
      <w:bodyDiv w:val="1"/>
      <w:marLeft w:val="0"/>
      <w:marRight w:val="0"/>
      <w:marTop w:val="0"/>
      <w:marBottom w:val="0"/>
      <w:divBdr>
        <w:top w:val="none" w:sz="0" w:space="0" w:color="auto"/>
        <w:left w:val="none" w:sz="0" w:space="0" w:color="auto"/>
        <w:bottom w:val="none" w:sz="0" w:space="0" w:color="auto"/>
        <w:right w:val="none" w:sz="0" w:space="0" w:color="auto"/>
      </w:divBdr>
    </w:div>
    <w:div w:id="436869982">
      <w:bodyDiv w:val="1"/>
      <w:marLeft w:val="0"/>
      <w:marRight w:val="0"/>
      <w:marTop w:val="0"/>
      <w:marBottom w:val="0"/>
      <w:divBdr>
        <w:top w:val="none" w:sz="0" w:space="0" w:color="auto"/>
        <w:left w:val="none" w:sz="0" w:space="0" w:color="auto"/>
        <w:bottom w:val="none" w:sz="0" w:space="0" w:color="auto"/>
        <w:right w:val="none" w:sz="0" w:space="0" w:color="auto"/>
      </w:divBdr>
    </w:div>
    <w:div w:id="451558400">
      <w:bodyDiv w:val="1"/>
      <w:marLeft w:val="0"/>
      <w:marRight w:val="0"/>
      <w:marTop w:val="0"/>
      <w:marBottom w:val="0"/>
      <w:divBdr>
        <w:top w:val="none" w:sz="0" w:space="0" w:color="auto"/>
        <w:left w:val="none" w:sz="0" w:space="0" w:color="auto"/>
        <w:bottom w:val="none" w:sz="0" w:space="0" w:color="auto"/>
        <w:right w:val="none" w:sz="0" w:space="0" w:color="auto"/>
      </w:divBdr>
    </w:div>
    <w:div w:id="452408144">
      <w:bodyDiv w:val="1"/>
      <w:marLeft w:val="0"/>
      <w:marRight w:val="0"/>
      <w:marTop w:val="0"/>
      <w:marBottom w:val="0"/>
      <w:divBdr>
        <w:top w:val="none" w:sz="0" w:space="0" w:color="auto"/>
        <w:left w:val="none" w:sz="0" w:space="0" w:color="auto"/>
        <w:bottom w:val="none" w:sz="0" w:space="0" w:color="auto"/>
        <w:right w:val="none" w:sz="0" w:space="0" w:color="auto"/>
      </w:divBdr>
    </w:div>
    <w:div w:id="460925022">
      <w:bodyDiv w:val="1"/>
      <w:marLeft w:val="0"/>
      <w:marRight w:val="0"/>
      <w:marTop w:val="0"/>
      <w:marBottom w:val="0"/>
      <w:divBdr>
        <w:top w:val="none" w:sz="0" w:space="0" w:color="auto"/>
        <w:left w:val="none" w:sz="0" w:space="0" w:color="auto"/>
        <w:bottom w:val="none" w:sz="0" w:space="0" w:color="auto"/>
        <w:right w:val="none" w:sz="0" w:space="0" w:color="auto"/>
      </w:divBdr>
    </w:div>
    <w:div w:id="471141121">
      <w:bodyDiv w:val="1"/>
      <w:marLeft w:val="0"/>
      <w:marRight w:val="0"/>
      <w:marTop w:val="0"/>
      <w:marBottom w:val="0"/>
      <w:divBdr>
        <w:top w:val="none" w:sz="0" w:space="0" w:color="auto"/>
        <w:left w:val="none" w:sz="0" w:space="0" w:color="auto"/>
        <w:bottom w:val="none" w:sz="0" w:space="0" w:color="auto"/>
        <w:right w:val="none" w:sz="0" w:space="0" w:color="auto"/>
      </w:divBdr>
      <w:divsChild>
        <w:div w:id="276106700">
          <w:marLeft w:val="446"/>
          <w:marRight w:val="0"/>
          <w:marTop w:val="0"/>
          <w:marBottom w:val="0"/>
          <w:divBdr>
            <w:top w:val="none" w:sz="0" w:space="0" w:color="auto"/>
            <w:left w:val="none" w:sz="0" w:space="0" w:color="auto"/>
            <w:bottom w:val="none" w:sz="0" w:space="0" w:color="auto"/>
            <w:right w:val="none" w:sz="0" w:space="0" w:color="auto"/>
          </w:divBdr>
        </w:div>
        <w:div w:id="402602391">
          <w:marLeft w:val="446"/>
          <w:marRight w:val="0"/>
          <w:marTop w:val="0"/>
          <w:marBottom w:val="0"/>
          <w:divBdr>
            <w:top w:val="none" w:sz="0" w:space="0" w:color="auto"/>
            <w:left w:val="none" w:sz="0" w:space="0" w:color="auto"/>
            <w:bottom w:val="none" w:sz="0" w:space="0" w:color="auto"/>
            <w:right w:val="none" w:sz="0" w:space="0" w:color="auto"/>
          </w:divBdr>
        </w:div>
        <w:div w:id="980890985">
          <w:marLeft w:val="446"/>
          <w:marRight w:val="0"/>
          <w:marTop w:val="0"/>
          <w:marBottom w:val="0"/>
          <w:divBdr>
            <w:top w:val="none" w:sz="0" w:space="0" w:color="auto"/>
            <w:left w:val="none" w:sz="0" w:space="0" w:color="auto"/>
            <w:bottom w:val="none" w:sz="0" w:space="0" w:color="auto"/>
            <w:right w:val="none" w:sz="0" w:space="0" w:color="auto"/>
          </w:divBdr>
        </w:div>
        <w:div w:id="1566910374">
          <w:marLeft w:val="446"/>
          <w:marRight w:val="0"/>
          <w:marTop w:val="0"/>
          <w:marBottom w:val="0"/>
          <w:divBdr>
            <w:top w:val="none" w:sz="0" w:space="0" w:color="auto"/>
            <w:left w:val="none" w:sz="0" w:space="0" w:color="auto"/>
            <w:bottom w:val="none" w:sz="0" w:space="0" w:color="auto"/>
            <w:right w:val="none" w:sz="0" w:space="0" w:color="auto"/>
          </w:divBdr>
        </w:div>
      </w:divsChild>
    </w:div>
    <w:div w:id="475531819">
      <w:bodyDiv w:val="1"/>
      <w:marLeft w:val="0"/>
      <w:marRight w:val="0"/>
      <w:marTop w:val="0"/>
      <w:marBottom w:val="0"/>
      <w:divBdr>
        <w:top w:val="none" w:sz="0" w:space="0" w:color="auto"/>
        <w:left w:val="none" w:sz="0" w:space="0" w:color="auto"/>
        <w:bottom w:val="none" w:sz="0" w:space="0" w:color="auto"/>
        <w:right w:val="none" w:sz="0" w:space="0" w:color="auto"/>
      </w:divBdr>
    </w:div>
    <w:div w:id="477575974">
      <w:bodyDiv w:val="1"/>
      <w:marLeft w:val="0"/>
      <w:marRight w:val="0"/>
      <w:marTop w:val="0"/>
      <w:marBottom w:val="0"/>
      <w:divBdr>
        <w:top w:val="none" w:sz="0" w:space="0" w:color="auto"/>
        <w:left w:val="none" w:sz="0" w:space="0" w:color="auto"/>
        <w:bottom w:val="none" w:sz="0" w:space="0" w:color="auto"/>
        <w:right w:val="none" w:sz="0" w:space="0" w:color="auto"/>
      </w:divBdr>
    </w:div>
    <w:div w:id="487096164">
      <w:bodyDiv w:val="1"/>
      <w:marLeft w:val="0"/>
      <w:marRight w:val="0"/>
      <w:marTop w:val="0"/>
      <w:marBottom w:val="0"/>
      <w:divBdr>
        <w:top w:val="none" w:sz="0" w:space="0" w:color="auto"/>
        <w:left w:val="none" w:sz="0" w:space="0" w:color="auto"/>
        <w:bottom w:val="none" w:sz="0" w:space="0" w:color="auto"/>
        <w:right w:val="none" w:sz="0" w:space="0" w:color="auto"/>
      </w:divBdr>
    </w:div>
    <w:div w:id="490172939">
      <w:bodyDiv w:val="1"/>
      <w:marLeft w:val="0"/>
      <w:marRight w:val="0"/>
      <w:marTop w:val="0"/>
      <w:marBottom w:val="0"/>
      <w:divBdr>
        <w:top w:val="none" w:sz="0" w:space="0" w:color="auto"/>
        <w:left w:val="none" w:sz="0" w:space="0" w:color="auto"/>
        <w:bottom w:val="none" w:sz="0" w:space="0" w:color="auto"/>
        <w:right w:val="none" w:sz="0" w:space="0" w:color="auto"/>
      </w:divBdr>
    </w:div>
    <w:div w:id="493254710">
      <w:bodyDiv w:val="1"/>
      <w:marLeft w:val="0"/>
      <w:marRight w:val="0"/>
      <w:marTop w:val="0"/>
      <w:marBottom w:val="0"/>
      <w:divBdr>
        <w:top w:val="none" w:sz="0" w:space="0" w:color="auto"/>
        <w:left w:val="none" w:sz="0" w:space="0" w:color="auto"/>
        <w:bottom w:val="none" w:sz="0" w:space="0" w:color="auto"/>
        <w:right w:val="none" w:sz="0" w:space="0" w:color="auto"/>
      </w:divBdr>
    </w:div>
    <w:div w:id="496582801">
      <w:bodyDiv w:val="1"/>
      <w:marLeft w:val="0"/>
      <w:marRight w:val="0"/>
      <w:marTop w:val="0"/>
      <w:marBottom w:val="0"/>
      <w:divBdr>
        <w:top w:val="none" w:sz="0" w:space="0" w:color="auto"/>
        <w:left w:val="none" w:sz="0" w:space="0" w:color="auto"/>
        <w:bottom w:val="none" w:sz="0" w:space="0" w:color="auto"/>
        <w:right w:val="none" w:sz="0" w:space="0" w:color="auto"/>
      </w:divBdr>
      <w:divsChild>
        <w:div w:id="96028367">
          <w:marLeft w:val="0"/>
          <w:marRight w:val="0"/>
          <w:marTop w:val="0"/>
          <w:marBottom w:val="0"/>
          <w:divBdr>
            <w:top w:val="none" w:sz="0" w:space="0" w:color="auto"/>
            <w:left w:val="none" w:sz="0" w:space="0" w:color="auto"/>
            <w:bottom w:val="none" w:sz="0" w:space="0" w:color="auto"/>
            <w:right w:val="none" w:sz="0" w:space="0" w:color="auto"/>
          </w:divBdr>
        </w:div>
        <w:div w:id="910431587">
          <w:marLeft w:val="0"/>
          <w:marRight w:val="0"/>
          <w:marTop w:val="0"/>
          <w:marBottom w:val="0"/>
          <w:divBdr>
            <w:top w:val="none" w:sz="0" w:space="0" w:color="auto"/>
            <w:left w:val="none" w:sz="0" w:space="0" w:color="auto"/>
            <w:bottom w:val="none" w:sz="0" w:space="0" w:color="auto"/>
            <w:right w:val="none" w:sz="0" w:space="0" w:color="auto"/>
          </w:divBdr>
        </w:div>
      </w:divsChild>
    </w:div>
    <w:div w:id="502017620">
      <w:bodyDiv w:val="1"/>
      <w:marLeft w:val="0"/>
      <w:marRight w:val="0"/>
      <w:marTop w:val="0"/>
      <w:marBottom w:val="0"/>
      <w:divBdr>
        <w:top w:val="none" w:sz="0" w:space="0" w:color="auto"/>
        <w:left w:val="none" w:sz="0" w:space="0" w:color="auto"/>
        <w:bottom w:val="none" w:sz="0" w:space="0" w:color="auto"/>
        <w:right w:val="none" w:sz="0" w:space="0" w:color="auto"/>
      </w:divBdr>
    </w:div>
    <w:div w:id="508326437">
      <w:bodyDiv w:val="1"/>
      <w:marLeft w:val="0"/>
      <w:marRight w:val="0"/>
      <w:marTop w:val="0"/>
      <w:marBottom w:val="0"/>
      <w:divBdr>
        <w:top w:val="none" w:sz="0" w:space="0" w:color="auto"/>
        <w:left w:val="none" w:sz="0" w:space="0" w:color="auto"/>
        <w:bottom w:val="none" w:sz="0" w:space="0" w:color="auto"/>
        <w:right w:val="none" w:sz="0" w:space="0" w:color="auto"/>
      </w:divBdr>
    </w:div>
    <w:div w:id="512426616">
      <w:bodyDiv w:val="1"/>
      <w:marLeft w:val="0"/>
      <w:marRight w:val="0"/>
      <w:marTop w:val="0"/>
      <w:marBottom w:val="0"/>
      <w:divBdr>
        <w:top w:val="none" w:sz="0" w:space="0" w:color="auto"/>
        <w:left w:val="none" w:sz="0" w:space="0" w:color="auto"/>
        <w:bottom w:val="none" w:sz="0" w:space="0" w:color="auto"/>
        <w:right w:val="none" w:sz="0" w:space="0" w:color="auto"/>
      </w:divBdr>
    </w:div>
    <w:div w:id="516507307">
      <w:bodyDiv w:val="1"/>
      <w:marLeft w:val="0"/>
      <w:marRight w:val="0"/>
      <w:marTop w:val="0"/>
      <w:marBottom w:val="0"/>
      <w:divBdr>
        <w:top w:val="none" w:sz="0" w:space="0" w:color="auto"/>
        <w:left w:val="none" w:sz="0" w:space="0" w:color="auto"/>
        <w:bottom w:val="none" w:sz="0" w:space="0" w:color="auto"/>
        <w:right w:val="none" w:sz="0" w:space="0" w:color="auto"/>
      </w:divBdr>
    </w:div>
    <w:div w:id="516697201">
      <w:bodyDiv w:val="1"/>
      <w:marLeft w:val="0"/>
      <w:marRight w:val="0"/>
      <w:marTop w:val="0"/>
      <w:marBottom w:val="0"/>
      <w:divBdr>
        <w:top w:val="none" w:sz="0" w:space="0" w:color="auto"/>
        <w:left w:val="none" w:sz="0" w:space="0" w:color="auto"/>
        <w:bottom w:val="none" w:sz="0" w:space="0" w:color="auto"/>
        <w:right w:val="none" w:sz="0" w:space="0" w:color="auto"/>
      </w:divBdr>
    </w:div>
    <w:div w:id="541595640">
      <w:bodyDiv w:val="1"/>
      <w:marLeft w:val="0"/>
      <w:marRight w:val="0"/>
      <w:marTop w:val="0"/>
      <w:marBottom w:val="0"/>
      <w:divBdr>
        <w:top w:val="none" w:sz="0" w:space="0" w:color="auto"/>
        <w:left w:val="none" w:sz="0" w:space="0" w:color="auto"/>
        <w:bottom w:val="none" w:sz="0" w:space="0" w:color="auto"/>
        <w:right w:val="none" w:sz="0" w:space="0" w:color="auto"/>
      </w:divBdr>
    </w:div>
    <w:div w:id="561211837">
      <w:bodyDiv w:val="1"/>
      <w:marLeft w:val="0"/>
      <w:marRight w:val="0"/>
      <w:marTop w:val="0"/>
      <w:marBottom w:val="0"/>
      <w:divBdr>
        <w:top w:val="none" w:sz="0" w:space="0" w:color="auto"/>
        <w:left w:val="none" w:sz="0" w:space="0" w:color="auto"/>
        <w:bottom w:val="none" w:sz="0" w:space="0" w:color="auto"/>
        <w:right w:val="none" w:sz="0" w:space="0" w:color="auto"/>
      </w:divBdr>
    </w:div>
    <w:div w:id="564143052">
      <w:bodyDiv w:val="1"/>
      <w:marLeft w:val="0"/>
      <w:marRight w:val="0"/>
      <w:marTop w:val="0"/>
      <w:marBottom w:val="0"/>
      <w:divBdr>
        <w:top w:val="none" w:sz="0" w:space="0" w:color="auto"/>
        <w:left w:val="none" w:sz="0" w:space="0" w:color="auto"/>
        <w:bottom w:val="none" w:sz="0" w:space="0" w:color="auto"/>
        <w:right w:val="none" w:sz="0" w:space="0" w:color="auto"/>
      </w:divBdr>
    </w:div>
    <w:div w:id="566381586">
      <w:bodyDiv w:val="1"/>
      <w:marLeft w:val="0"/>
      <w:marRight w:val="0"/>
      <w:marTop w:val="0"/>
      <w:marBottom w:val="0"/>
      <w:divBdr>
        <w:top w:val="none" w:sz="0" w:space="0" w:color="auto"/>
        <w:left w:val="none" w:sz="0" w:space="0" w:color="auto"/>
        <w:bottom w:val="none" w:sz="0" w:space="0" w:color="auto"/>
        <w:right w:val="none" w:sz="0" w:space="0" w:color="auto"/>
      </w:divBdr>
    </w:div>
    <w:div w:id="579338728">
      <w:bodyDiv w:val="1"/>
      <w:marLeft w:val="0"/>
      <w:marRight w:val="0"/>
      <w:marTop w:val="0"/>
      <w:marBottom w:val="0"/>
      <w:divBdr>
        <w:top w:val="none" w:sz="0" w:space="0" w:color="auto"/>
        <w:left w:val="none" w:sz="0" w:space="0" w:color="auto"/>
        <w:bottom w:val="none" w:sz="0" w:space="0" w:color="auto"/>
        <w:right w:val="none" w:sz="0" w:space="0" w:color="auto"/>
      </w:divBdr>
    </w:div>
    <w:div w:id="606736129">
      <w:bodyDiv w:val="1"/>
      <w:marLeft w:val="0"/>
      <w:marRight w:val="0"/>
      <w:marTop w:val="0"/>
      <w:marBottom w:val="0"/>
      <w:divBdr>
        <w:top w:val="none" w:sz="0" w:space="0" w:color="auto"/>
        <w:left w:val="none" w:sz="0" w:space="0" w:color="auto"/>
        <w:bottom w:val="none" w:sz="0" w:space="0" w:color="auto"/>
        <w:right w:val="none" w:sz="0" w:space="0" w:color="auto"/>
      </w:divBdr>
      <w:divsChild>
        <w:div w:id="376247778">
          <w:marLeft w:val="0"/>
          <w:marRight w:val="0"/>
          <w:marTop w:val="0"/>
          <w:marBottom w:val="0"/>
          <w:divBdr>
            <w:top w:val="none" w:sz="0" w:space="0" w:color="auto"/>
            <w:left w:val="none" w:sz="0" w:space="0" w:color="auto"/>
            <w:bottom w:val="none" w:sz="0" w:space="0" w:color="auto"/>
            <w:right w:val="none" w:sz="0" w:space="0" w:color="auto"/>
          </w:divBdr>
          <w:divsChild>
            <w:div w:id="1119766503">
              <w:marLeft w:val="0"/>
              <w:marRight w:val="0"/>
              <w:marTop w:val="0"/>
              <w:marBottom w:val="0"/>
              <w:divBdr>
                <w:top w:val="none" w:sz="0" w:space="0" w:color="auto"/>
                <w:left w:val="none" w:sz="0" w:space="0" w:color="auto"/>
                <w:bottom w:val="none" w:sz="0" w:space="0" w:color="auto"/>
                <w:right w:val="none" w:sz="0" w:space="0" w:color="auto"/>
              </w:divBdr>
            </w:div>
          </w:divsChild>
        </w:div>
        <w:div w:id="1133210535">
          <w:marLeft w:val="0"/>
          <w:marRight w:val="0"/>
          <w:marTop w:val="0"/>
          <w:marBottom w:val="0"/>
          <w:divBdr>
            <w:top w:val="none" w:sz="0" w:space="0" w:color="auto"/>
            <w:left w:val="none" w:sz="0" w:space="0" w:color="auto"/>
            <w:bottom w:val="none" w:sz="0" w:space="0" w:color="auto"/>
            <w:right w:val="none" w:sz="0" w:space="0" w:color="auto"/>
          </w:divBdr>
          <w:divsChild>
            <w:div w:id="129784026">
              <w:marLeft w:val="0"/>
              <w:marRight w:val="0"/>
              <w:marTop w:val="0"/>
              <w:marBottom w:val="0"/>
              <w:divBdr>
                <w:top w:val="none" w:sz="0" w:space="0" w:color="auto"/>
                <w:left w:val="none" w:sz="0" w:space="0" w:color="auto"/>
                <w:bottom w:val="none" w:sz="0" w:space="0" w:color="auto"/>
                <w:right w:val="none" w:sz="0" w:space="0" w:color="auto"/>
              </w:divBdr>
            </w:div>
          </w:divsChild>
        </w:div>
        <w:div w:id="1739746645">
          <w:marLeft w:val="0"/>
          <w:marRight w:val="0"/>
          <w:marTop w:val="0"/>
          <w:marBottom w:val="0"/>
          <w:divBdr>
            <w:top w:val="none" w:sz="0" w:space="0" w:color="auto"/>
            <w:left w:val="none" w:sz="0" w:space="0" w:color="auto"/>
            <w:bottom w:val="none" w:sz="0" w:space="0" w:color="auto"/>
            <w:right w:val="none" w:sz="0" w:space="0" w:color="auto"/>
          </w:divBdr>
          <w:divsChild>
            <w:div w:id="8068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423195">
      <w:bodyDiv w:val="1"/>
      <w:marLeft w:val="0"/>
      <w:marRight w:val="0"/>
      <w:marTop w:val="0"/>
      <w:marBottom w:val="0"/>
      <w:divBdr>
        <w:top w:val="none" w:sz="0" w:space="0" w:color="auto"/>
        <w:left w:val="none" w:sz="0" w:space="0" w:color="auto"/>
        <w:bottom w:val="none" w:sz="0" w:space="0" w:color="auto"/>
        <w:right w:val="none" w:sz="0" w:space="0" w:color="auto"/>
      </w:divBdr>
    </w:div>
    <w:div w:id="631056868">
      <w:bodyDiv w:val="1"/>
      <w:marLeft w:val="0"/>
      <w:marRight w:val="0"/>
      <w:marTop w:val="0"/>
      <w:marBottom w:val="0"/>
      <w:divBdr>
        <w:top w:val="none" w:sz="0" w:space="0" w:color="auto"/>
        <w:left w:val="none" w:sz="0" w:space="0" w:color="auto"/>
        <w:bottom w:val="none" w:sz="0" w:space="0" w:color="auto"/>
        <w:right w:val="none" w:sz="0" w:space="0" w:color="auto"/>
      </w:divBdr>
    </w:div>
    <w:div w:id="638337560">
      <w:bodyDiv w:val="1"/>
      <w:marLeft w:val="0"/>
      <w:marRight w:val="0"/>
      <w:marTop w:val="0"/>
      <w:marBottom w:val="0"/>
      <w:divBdr>
        <w:top w:val="none" w:sz="0" w:space="0" w:color="auto"/>
        <w:left w:val="none" w:sz="0" w:space="0" w:color="auto"/>
        <w:bottom w:val="none" w:sz="0" w:space="0" w:color="auto"/>
        <w:right w:val="none" w:sz="0" w:space="0" w:color="auto"/>
      </w:divBdr>
      <w:divsChild>
        <w:div w:id="85272079">
          <w:marLeft w:val="0"/>
          <w:marRight w:val="0"/>
          <w:marTop w:val="0"/>
          <w:marBottom w:val="326"/>
          <w:divBdr>
            <w:top w:val="none" w:sz="0" w:space="0" w:color="auto"/>
            <w:left w:val="none" w:sz="0" w:space="0" w:color="auto"/>
            <w:bottom w:val="none" w:sz="0" w:space="0" w:color="auto"/>
            <w:right w:val="none" w:sz="0" w:space="0" w:color="auto"/>
          </w:divBdr>
        </w:div>
      </w:divsChild>
    </w:div>
    <w:div w:id="640964802">
      <w:bodyDiv w:val="1"/>
      <w:marLeft w:val="0"/>
      <w:marRight w:val="0"/>
      <w:marTop w:val="0"/>
      <w:marBottom w:val="0"/>
      <w:divBdr>
        <w:top w:val="none" w:sz="0" w:space="0" w:color="auto"/>
        <w:left w:val="none" w:sz="0" w:space="0" w:color="auto"/>
        <w:bottom w:val="none" w:sz="0" w:space="0" w:color="auto"/>
        <w:right w:val="none" w:sz="0" w:space="0" w:color="auto"/>
      </w:divBdr>
      <w:divsChild>
        <w:div w:id="1991403131">
          <w:marLeft w:val="0"/>
          <w:marRight w:val="0"/>
          <w:marTop w:val="0"/>
          <w:marBottom w:val="326"/>
          <w:divBdr>
            <w:top w:val="none" w:sz="0" w:space="0" w:color="auto"/>
            <w:left w:val="none" w:sz="0" w:space="0" w:color="auto"/>
            <w:bottom w:val="none" w:sz="0" w:space="0" w:color="auto"/>
            <w:right w:val="none" w:sz="0" w:space="0" w:color="auto"/>
          </w:divBdr>
        </w:div>
      </w:divsChild>
    </w:div>
    <w:div w:id="653723425">
      <w:bodyDiv w:val="1"/>
      <w:marLeft w:val="0"/>
      <w:marRight w:val="0"/>
      <w:marTop w:val="0"/>
      <w:marBottom w:val="0"/>
      <w:divBdr>
        <w:top w:val="none" w:sz="0" w:space="0" w:color="auto"/>
        <w:left w:val="none" w:sz="0" w:space="0" w:color="auto"/>
        <w:bottom w:val="none" w:sz="0" w:space="0" w:color="auto"/>
        <w:right w:val="none" w:sz="0" w:space="0" w:color="auto"/>
      </w:divBdr>
    </w:div>
    <w:div w:id="657080796">
      <w:bodyDiv w:val="1"/>
      <w:marLeft w:val="0"/>
      <w:marRight w:val="0"/>
      <w:marTop w:val="0"/>
      <w:marBottom w:val="0"/>
      <w:divBdr>
        <w:top w:val="none" w:sz="0" w:space="0" w:color="auto"/>
        <w:left w:val="none" w:sz="0" w:space="0" w:color="auto"/>
        <w:bottom w:val="none" w:sz="0" w:space="0" w:color="auto"/>
        <w:right w:val="none" w:sz="0" w:space="0" w:color="auto"/>
      </w:divBdr>
    </w:div>
    <w:div w:id="706493802">
      <w:bodyDiv w:val="1"/>
      <w:marLeft w:val="0"/>
      <w:marRight w:val="0"/>
      <w:marTop w:val="0"/>
      <w:marBottom w:val="0"/>
      <w:divBdr>
        <w:top w:val="none" w:sz="0" w:space="0" w:color="auto"/>
        <w:left w:val="none" w:sz="0" w:space="0" w:color="auto"/>
        <w:bottom w:val="none" w:sz="0" w:space="0" w:color="auto"/>
        <w:right w:val="none" w:sz="0" w:space="0" w:color="auto"/>
      </w:divBdr>
    </w:div>
    <w:div w:id="712388232">
      <w:bodyDiv w:val="1"/>
      <w:marLeft w:val="0"/>
      <w:marRight w:val="0"/>
      <w:marTop w:val="0"/>
      <w:marBottom w:val="0"/>
      <w:divBdr>
        <w:top w:val="none" w:sz="0" w:space="0" w:color="auto"/>
        <w:left w:val="none" w:sz="0" w:space="0" w:color="auto"/>
        <w:bottom w:val="none" w:sz="0" w:space="0" w:color="auto"/>
        <w:right w:val="none" w:sz="0" w:space="0" w:color="auto"/>
      </w:divBdr>
    </w:div>
    <w:div w:id="716973235">
      <w:bodyDiv w:val="1"/>
      <w:marLeft w:val="0"/>
      <w:marRight w:val="0"/>
      <w:marTop w:val="0"/>
      <w:marBottom w:val="0"/>
      <w:divBdr>
        <w:top w:val="none" w:sz="0" w:space="0" w:color="auto"/>
        <w:left w:val="none" w:sz="0" w:space="0" w:color="auto"/>
        <w:bottom w:val="none" w:sz="0" w:space="0" w:color="auto"/>
        <w:right w:val="none" w:sz="0" w:space="0" w:color="auto"/>
      </w:divBdr>
    </w:div>
    <w:div w:id="723600151">
      <w:bodyDiv w:val="1"/>
      <w:marLeft w:val="0"/>
      <w:marRight w:val="0"/>
      <w:marTop w:val="0"/>
      <w:marBottom w:val="0"/>
      <w:divBdr>
        <w:top w:val="none" w:sz="0" w:space="0" w:color="auto"/>
        <w:left w:val="none" w:sz="0" w:space="0" w:color="auto"/>
        <w:bottom w:val="none" w:sz="0" w:space="0" w:color="auto"/>
        <w:right w:val="none" w:sz="0" w:space="0" w:color="auto"/>
      </w:divBdr>
    </w:div>
    <w:div w:id="758404727">
      <w:bodyDiv w:val="1"/>
      <w:marLeft w:val="0"/>
      <w:marRight w:val="0"/>
      <w:marTop w:val="0"/>
      <w:marBottom w:val="0"/>
      <w:divBdr>
        <w:top w:val="none" w:sz="0" w:space="0" w:color="auto"/>
        <w:left w:val="none" w:sz="0" w:space="0" w:color="auto"/>
        <w:bottom w:val="none" w:sz="0" w:space="0" w:color="auto"/>
        <w:right w:val="none" w:sz="0" w:space="0" w:color="auto"/>
      </w:divBdr>
    </w:div>
    <w:div w:id="761871919">
      <w:bodyDiv w:val="1"/>
      <w:marLeft w:val="0"/>
      <w:marRight w:val="0"/>
      <w:marTop w:val="0"/>
      <w:marBottom w:val="0"/>
      <w:divBdr>
        <w:top w:val="none" w:sz="0" w:space="0" w:color="auto"/>
        <w:left w:val="none" w:sz="0" w:space="0" w:color="auto"/>
        <w:bottom w:val="none" w:sz="0" w:space="0" w:color="auto"/>
        <w:right w:val="none" w:sz="0" w:space="0" w:color="auto"/>
      </w:divBdr>
    </w:div>
    <w:div w:id="763572314">
      <w:bodyDiv w:val="1"/>
      <w:marLeft w:val="0"/>
      <w:marRight w:val="0"/>
      <w:marTop w:val="0"/>
      <w:marBottom w:val="0"/>
      <w:divBdr>
        <w:top w:val="none" w:sz="0" w:space="0" w:color="auto"/>
        <w:left w:val="none" w:sz="0" w:space="0" w:color="auto"/>
        <w:bottom w:val="none" w:sz="0" w:space="0" w:color="auto"/>
        <w:right w:val="none" w:sz="0" w:space="0" w:color="auto"/>
      </w:divBdr>
    </w:div>
    <w:div w:id="782767706">
      <w:bodyDiv w:val="1"/>
      <w:marLeft w:val="0"/>
      <w:marRight w:val="0"/>
      <w:marTop w:val="0"/>
      <w:marBottom w:val="0"/>
      <w:divBdr>
        <w:top w:val="none" w:sz="0" w:space="0" w:color="auto"/>
        <w:left w:val="none" w:sz="0" w:space="0" w:color="auto"/>
        <w:bottom w:val="none" w:sz="0" w:space="0" w:color="auto"/>
        <w:right w:val="none" w:sz="0" w:space="0" w:color="auto"/>
      </w:divBdr>
    </w:div>
    <w:div w:id="811407812">
      <w:bodyDiv w:val="1"/>
      <w:marLeft w:val="0"/>
      <w:marRight w:val="0"/>
      <w:marTop w:val="0"/>
      <w:marBottom w:val="0"/>
      <w:divBdr>
        <w:top w:val="none" w:sz="0" w:space="0" w:color="auto"/>
        <w:left w:val="none" w:sz="0" w:space="0" w:color="auto"/>
        <w:bottom w:val="none" w:sz="0" w:space="0" w:color="auto"/>
        <w:right w:val="none" w:sz="0" w:space="0" w:color="auto"/>
      </w:divBdr>
    </w:div>
    <w:div w:id="820462788">
      <w:bodyDiv w:val="1"/>
      <w:marLeft w:val="0"/>
      <w:marRight w:val="0"/>
      <w:marTop w:val="0"/>
      <w:marBottom w:val="0"/>
      <w:divBdr>
        <w:top w:val="none" w:sz="0" w:space="0" w:color="auto"/>
        <w:left w:val="none" w:sz="0" w:space="0" w:color="auto"/>
        <w:bottom w:val="none" w:sz="0" w:space="0" w:color="auto"/>
        <w:right w:val="none" w:sz="0" w:space="0" w:color="auto"/>
      </w:divBdr>
      <w:divsChild>
        <w:div w:id="1862706">
          <w:marLeft w:val="0"/>
          <w:marRight w:val="0"/>
          <w:marTop w:val="77"/>
          <w:marBottom w:val="0"/>
          <w:divBdr>
            <w:top w:val="none" w:sz="0" w:space="0" w:color="auto"/>
            <w:left w:val="none" w:sz="0" w:space="0" w:color="auto"/>
            <w:bottom w:val="none" w:sz="0" w:space="0" w:color="auto"/>
            <w:right w:val="none" w:sz="0" w:space="0" w:color="auto"/>
          </w:divBdr>
        </w:div>
        <w:div w:id="18817870">
          <w:marLeft w:val="0"/>
          <w:marRight w:val="0"/>
          <w:marTop w:val="77"/>
          <w:marBottom w:val="0"/>
          <w:divBdr>
            <w:top w:val="none" w:sz="0" w:space="0" w:color="auto"/>
            <w:left w:val="none" w:sz="0" w:space="0" w:color="auto"/>
            <w:bottom w:val="none" w:sz="0" w:space="0" w:color="auto"/>
            <w:right w:val="none" w:sz="0" w:space="0" w:color="auto"/>
          </w:divBdr>
        </w:div>
        <w:div w:id="42951994">
          <w:marLeft w:val="0"/>
          <w:marRight w:val="0"/>
          <w:marTop w:val="77"/>
          <w:marBottom w:val="0"/>
          <w:divBdr>
            <w:top w:val="none" w:sz="0" w:space="0" w:color="auto"/>
            <w:left w:val="none" w:sz="0" w:space="0" w:color="auto"/>
            <w:bottom w:val="none" w:sz="0" w:space="0" w:color="auto"/>
            <w:right w:val="none" w:sz="0" w:space="0" w:color="auto"/>
          </w:divBdr>
        </w:div>
        <w:div w:id="46269441">
          <w:marLeft w:val="0"/>
          <w:marRight w:val="0"/>
          <w:marTop w:val="77"/>
          <w:marBottom w:val="0"/>
          <w:divBdr>
            <w:top w:val="none" w:sz="0" w:space="0" w:color="auto"/>
            <w:left w:val="none" w:sz="0" w:space="0" w:color="auto"/>
            <w:bottom w:val="none" w:sz="0" w:space="0" w:color="auto"/>
            <w:right w:val="none" w:sz="0" w:space="0" w:color="auto"/>
          </w:divBdr>
        </w:div>
        <w:div w:id="247083944">
          <w:marLeft w:val="0"/>
          <w:marRight w:val="0"/>
          <w:marTop w:val="77"/>
          <w:marBottom w:val="0"/>
          <w:divBdr>
            <w:top w:val="none" w:sz="0" w:space="0" w:color="auto"/>
            <w:left w:val="none" w:sz="0" w:space="0" w:color="auto"/>
            <w:bottom w:val="none" w:sz="0" w:space="0" w:color="auto"/>
            <w:right w:val="none" w:sz="0" w:space="0" w:color="auto"/>
          </w:divBdr>
        </w:div>
        <w:div w:id="253320122">
          <w:marLeft w:val="0"/>
          <w:marRight w:val="0"/>
          <w:marTop w:val="77"/>
          <w:marBottom w:val="0"/>
          <w:divBdr>
            <w:top w:val="none" w:sz="0" w:space="0" w:color="auto"/>
            <w:left w:val="none" w:sz="0" w:space="0" w:color="auto"/>
            <w:bottom w:val="none" w:sz="0" w:space="0" w:color="auto"/>
            <w:right w:val="none" w:sz="0" w:space="0" w:color="auto"/>
          </w:divBdr>
        </w:div>
        <w:div w:id="287398702">
          <w:marLeft w:val="0"/>
          <w:marRight w:val="0"/>
          <w:marTop w:val="77"/>
          <w:marBottom w:val="0"/>
          <w:divBdr>
            <w:top w:val="none" w:sz="0" w:space="0" w:color="auto"/>
            <w:left w:val="none" w:sz="0" w:space="0" w:color="auto"/>
            <w:bottom w:val="none" w:sz="0" w:space="0" w:color="auto"/>
            <w:right w:val="none" w:sz="0" w:space="0" w:color="auto"/>
          </w:divBdr>
        </w:div>
        <w:div w:id="375466505">
          <w:marLeft w:val="0"/>
          <w:marRight w:val="0"/>
          <w:marTop w:val="77"/>
          <w:marBottom w:val="0"/>
          <w:divBdr>
            <w:top w:val="none" w:sz="0" w:space="0" w:color="auto"/>
            <w:left w:val="none" w:sz="0" w:space="0" w:color="auto"/>
            <w:bottom w:val="none" w:sz="0" w:space="0" w:color="auto"/>
            <w:right w:val="none" w:sz="0" w:space="0" w:color="auto"/>
          </w:divBdr>
        </w:div>
        <w:div w:id="545142906">
          <w:marLeft w:val="0"/>
          <w:marRight w:val="0"/>
          <w:marTop w:val="77"/>
          <w:marBottom w:val="0"/>
          <w:divBdr>
            <w:top w:val="none" w:sz="0" w:space="0" w:color="auto"/>
            <w:left w:val="none" w:sz="0" w:space="0" w:color="auto"/>
            <w:bottom w:val="none" w:sz="0" w:space="0" w:color="auto"/>
            <w:right w:val="none" w:sz="0" w:space="0" w:color="auto"/>
          </w:divBdr>
        </w:div>
        <w:div w:id="565996709">
          <w:marLeft w:val="0"/>
          <w:marRight w:val="0"/>
          <w:marTop w:val="77"/>
          <w:marBottom w:val="0"/>
          <w:divBdr>
            <w:top w:val="none" w:sz="0" w:space="0" w:color="auto"/>
            <w:left w:val="none" w:sz="0" w:space="0" w:color="auto"/>
            <w:bottom w:val="none" w:sz="0" w:space="0" w:color="auto"/>
            <w:right w:val="none" w:sz="0" w:space="0" w:color="auto"/>
          </w:divBdr>
        </w:div>
        <w:div w:id="570431907">
          <w:marLeft w:val="0"/>
          <w:marRight w:val="0"/>
          <w:marTop w:val="77"/>
          <w:marBottom w:val="0"/>
          <w:divBdr>
            <w:top w:val="none" w:sz="0" w:space="0" w:color="auto"/>
            <w:left w:val="none" w:sz="0" w:space="0" w:color="auto"/>
            <w:bottom w:val="none" w:sz="0" w:space="0" w:color="auto"/>
            <w:right w:val="none" w:sz="0" w:space="0" w:color="auto"/>
          </w:divBdr>
        </w:div>
        <w:div w:id="591815486">
          <w:marLeft w:val="0"/>
          <w:marRight w:val="0"/>
          <w:marTop w:val="77"/>
          <w:marBottom w:val="0"/>
          <w:divBdr>
            <w:top w:val="none" w:sz="0" w:space="0" w:color="auto"/>
            <w:left w:val="none" w:sz="0" w:space="0" w:color="auto"/>
            <w:bottom w:val="none" w:sz="0" w:space="0" w:color="auto"/>
            <w:right w:val="none" w:sz="0" w:space="0" w:color="auto"/>
          </w:divBdr>
        </w:div>
        <w:div w:id="706760376">
          <w:marLeft w:val="0"/>
          <w:marRight w:val="0"/>
          <w:marTop w:val="77"/>
          <w:marBottom w:val="0"/>
          <w:divBdr>
            <w:top w:val="none" w:sz="0" w:space="0" w:color="auto"/>
            <w:left w:val="none" w:sz="0" w:space="0" w:color="auto"/>
            <w:bottom w:val="none" w:sz="0" w:space="0" w:color="auto"/>
            <w:right w:val="none" w:sz="0" w:space="0" w:color="auto"/>
          </w:divBdr>
        </w:div>
        <w:div w:id="814565160">
          <w:marLeft w:val="0"/>
          <w:marRight w:val="0"/>
          <w:marTop w:val="77"/>
          <w:marBottom w:val="0"/>
          <w:divBdr>
            <w:top w:val="none" w:sz="0" w:space="0" w:color="auto"/>
            <w:left w:val="none" w:sz="0" w:space="0" w:color="auto"/>
            <w:bottom w:val="none" w:sz="0" w:space="0" w:color="auto"/>
            <w:right w:val="none" w:sz="0" w:space="0" w:color="auto"/>
          </w:divBdr>
        </w:div>
        <w:div w:id="964509765">
          <w:marLeft w:val="0"/>
          <w:marRight w:val="0"/>
          <w:marTop w:val="77"/>
          <w:marBottom w:val="0"/>
          <w:divBdr>
            <w:top w:val="none" w:sz="0" w:space="0" w:color="auto"/>
            <w:left w:val="none" w:sz="0" w:space="0" w:color="auto"/>
            <w:bottom w:val="none" w:sz="0" w:space="0" w:color="auto"/>
            <w:right w:val="none" w:sz="0" w:space="0" w:color="auto"/>
          </w:divBdr>
        </w:div>
        <w:div w:id="1066342660">
          <w:marLeft w:val="0"/>
          <w:marRight w:val="0"/>
          <w:marTop w:val="77"/>
          <w:marBottom w:val="0"/>
          <w:divBdr>
            <w:top w:val="none" w:sz="0" w:space="0" w:color="auto"/>
            <w:left w:val="none" w:sz="0" w:space="0" w:color="auto"/>
            <w:bottom w:val="none" w:sz="0" w:space="0" w:color="auto"/>
            <w:right w:val="none" w:sz="0" w:space="0" w:color="auto"/>
          </w:divBdr>
        </w:div>
        <w:div w:id="1210607413">
          <w:marLeft w:val="0"/>
          <w:marRight w:val="0"/>
          <w:marTop w:val="77"/>
          <w:marBottom w:val="0"/>
          <w:divBdr>
            <w:top w:val="none" w:sz="0" w:space="0" w:color="auto"/>
            <w:left w:val="none" w:sz="0" w:space="0" w:color="auto"/>
            <w:bottom w:val="none" w:sz="0" w:space="0" w:color="auto"/>
            <w:right w:val="none" w:sz="0" w:space="0" w:color="auto"/>
          </w:divBdr>
        </w:div>
        <w:div w:id="1250695589">
          <w:marLeft w:val="0"/>
          <w:marRight w:val="0"/>
          <w:marTop w:val="77"/>
          <w:marBottom w:val="0"/>
          <w:divBdr>
            <w:top w:val="none" w:sz="0" w:space="0" w:color="auto"/>
            <w:left w:val="none" w:sz="0" w:space="0" w:color="auto"/>
            <w:bottom w:val="none" w:sz="0" w:space="0" w:color="auto"/>
            <w:right w:val="none" w:sz="0" w:space="0" w:color="auto"/>
          </w:divBdr>
        </w:div>
        <w:div w:id="1399130559">
          <w:marLeft w:val="0"/>
          <w:marRight w:val="0"/>
          <w:marTop w:val="77"/>
          <w:marBottom w:val="0"/>
          <w:divBdr>
            <w:top w:val="none" w:sz="0" w:space="0" w:color="auto"/>
            <w:left w:val="none" w:sz="0" w:space="0" w:color="auto"/>
            <w:bottom w:val="none" w:sz="0" w:space="0" w:color="auto"/>
            <w:right w:val="none" w:sz="0" w:space="0" w:color="auto"/>
          </w:divBdr>
        </w:div>
        <w:div w:id="1460414549">
          <w:marLeft w:val="0"/>
          <w:marRight w:val="0"/>
          <w:marTop w:val="77"/>
          <w:marBottom w:val="0"/>
          <w:divBdr>
            <w:top w:val="none" w:sz="0" w:space="0" w:color="auto"/>
            <w:left w:val="none" w:sz="0" w:space="0" w:color="auto"/>
            <w:bottom w:val="none" w:sz="0" w:space="0" w:color="auto"/>
            <w:right w:val="none" w:sz="0" w:space="0" w:color="auto"/>
          </w:divBdr>
        </w:div>
        <w:div w:id="1461069198">
          <w:marLeft w:val="0"/>
          <w:marRight w:val="0"/>
          <w:marTop w:val="77"/>
          <w:marBottom w:val="0"/>
          <w:divBdr>
            <w:top w:val="none" w:sz="0" w:space="0" w:color="auto"/>
            <w:left w:val="none" w:sz="0" w:space="0" w:color="auto"/>
            <w:bottom w:val="none" w:sz="0" w:space="0" w:color="auto"/>
            <w:right w:val="none" w:sz="0" w:space="0" w:color="auto"/>
          </w:divBdr>
        </w:div>
        <w:div w:id="1595700393">
          <w:marLeft w:val="0"/>
          <w:marRight w:val="0"/>
          <w:marTop w:val="77"/>
          <w:marBottom w:val="0"/>
          <w:divBdr>
            <w:top w:val="none" w:sz="0" w:space="0" w:color="auto"/>
            <w:left w:val="none" w:sz="0" w:space="0" w:color="auto"/>
            <w:bottom w:val="none" w:sz="0" w:space="0" w:color="auto"/>
            <w:right w:val="none" w:sz="0" w:space="0" w:color="auto"/>
          </w:divBdr>
        </w:div>
        <w:div w:id="1600479340">
          <w:marLeft w:val="0"/>
          <w:marRight w:val="0"/>
          <w:marTop w:val="77"/>
          <w:marBottom w:val="0"/>
          <w:divBdr>
            <w:top w:val="none" w:sz="0" w:space="0" w:color="auto"/>
            <w:left w:val="none" w:sz="0" w:space="0" w:color="auto"/>
            <w:bottom w:val="none" w:sz="0" w:space="0" w:color="auto"/>
            <w:right w:val="none" w:sz="0" w:space="0" w:color="auto"/>
          </w:divBdr>
        </w:div>
        <w:div w:id="1642733307">
          <w:marLeft w:val="0"/>
          <w:marRight w:val="0"/>
          <w:marTop w:val="77"/>
          <w:marBottom w:val="0"/>
          <w:divBdr>
            <w:top w:val="none" w:sz="0" w:space="0" w:color="auto"/>
            <w:left w:val="none" w:sz="0" w:space="0" w:color="auto"/>
            <w:bottom w:val="none" w:sz="0" w:space="0" w:color="auto"/>
            <w:right w:val="none" w:sz="0" w:space="0" w:color="auto"/>
          </w:divBdr>
        </w:div>
        <w:div w:id="1801799363">
          <w:marLeft w:val="0"/>
          <w:marRight w:val="0"/>
          <w:marTop w:val="77"/>
          <w:marBottom w:val="0"/>
          <w:divBdr>
            <w:top w:val="none" w:sz="0" w:space="0" w:color="auto"/>
            <w:left w:val="none" w:sz="0" w:space="0" w:color="auto"/>
            <w:bottom w:val="none" w:sz="0" w:space="0" w:color="auto"/>
            <w:right w:val="none" w:sz="0" w:space="0" w:color="auto"/>
          </w:divBdr>
        </w:div>
        <w:div w:id="1821270670">
          <w:marLeft w:val="0"/>
          <w:marRight w:val="0"/>
          <w:marTop w:val="77"/>
          <w:marBottom w:val="0"/>
          <w:divBdr>
            <w:top w:val="none" w:sz="0" w:space="0" w:color="auto"/>
            <w:left w:val="none" w:sz="0" w:space="0" w:color="auto"/>
            <w:bottom w:val="none" w:sz="0" w:space="0" w:color="auto"/>
            <w:right w:val="none" w:sz="0" w:space="0" w:color="auto"/>
          </w:divBdr>
        </w:div>
        <w:div w:id="1947233439">
          <w:marLeft w:val="0"/>
          <w:marRight w:val="0"/>
          <w:marTop w:val="77"/>
          <w:marBottom w:val="0"/>
          <w:divBdr>
            <w:top w:val="none" w:sz="0" w:space="0" w:color="auto"/>
            <w:left w:val="none" w:sz="0" w:space="0" w:color="auto"/>
            <w:bottom w:val="none" w:sz="0" w:space="0" w:color="auto"/>
            <w:right w:val="none" w:sz="0" w:space="0" w:color="auto"/>
          </w:divBdr>
        </w:div>
        <w:div w:id="1995716799">
          <w:marLeft w:val="0"/>
          <w:marRight w:val="0"/>
          <w:marTop w:val="77"/>
          <w:marBottom w:val="0"/>
          <w:divBdr>
            <w:top w:val="none" w:sz="0" w:space="0" w:color="auto"/>
            <w:left w:val="none" w:sz="0" w:space="0" w:color="auto"/>
            <w:bottom w:val="none" w:sz="0" w:space="0" w:color="auto"/>
            <w:right w:val="none" w:sz="0" w:space="0" w:color="auto"/>
          </w:divBdr>
        </w:div>
      </w:divsChild>
    </w:div>
    <w:div w:id="830221940">
      <w:bodyDiv w:val="1"/>
      <w:marLeft w:val="0"/>
      <w:marRight w:val="0"/>
      <w:marTop w:val="0"/>
      <w:marBottom w:val="0"/>
      <w:divBdr>
        <w:top w:val="none" w:sz="0" w:space="0" w:color="auto"/>
        <w:left w:val="none" w:sz="0" w:space="0" w:color="auto"/>
        <w:bottom w:val="none" w:sz="0" w:space="0" w:color="auto"/>
        <w:right w:val="none" w:sz="0" w:space="0" w:color="auto"/>
      </w:divBdr>
      <w:divsChild>
        <w:div w:id="39012371">
          <w:marLeft w:val="0"/>
          <w:marRight w:val="0"/>
          <w:marTop w:val="77"/>
          <w:marBottom w:val="0"/>
          <w:divBdr>
            <w:top w:val="none" w:sz="0" w:space="0" w:color="auto"/>
            <w:left w:val="none" w:sz="0" w:space="0" w:color="auto"/>
            <w:bottom w:val="none" w:sz="0" w:space="0" w:color="auto"/>
            <w:right w:val="none" w:sz="0" w:space="0" w:color="auto"/>
          </w:divBdr>
        </w:div>
        <w:div w:id="205531433">
          <w:marLeft w:val="0"/>
          <w:marRight w:val="0"/>
          <w:marTop w:val="77"/>
          <w:marBottom w:val="0"/>
          <w:divBdr>
            <w:top w:val="none" w:sz="0" w:space="0" w:color="auto"/>
            <w:left w:val="none" w:sz="0" w:space="0" w:color="auto"/>
            <w:bottom w:val="none" w:sz="0" w:space="0" w:color="auto"/>
            <w:right w:val="none" w:sz="0" w:space="0" w:color="auto"/>
          </w:divBdr>
        </w:div>
        <w:div w:id="239413552">
          <w:marLeft w:val="0"/>
          <w:marRight w:val="0"/>
          <w:marTop w:val="77"/>
          <w:marBottom w:val="0"/>
          <w:divBdr>
            <w:top w:val="none" w:sz="0" w:space="0" w:color="auto"/>
            <w:left w:val="none" w:sz="0" w:space="0" w:color="auto"/>
            <w:bottom w:val="none" w:sz="0" w:space="0" w:color="auto"/>
            <w:right w:val="none" w:sz="0" w:space="0" w:color="auto"/>
          </w:divBdr>
        </w:div>
        <w:div w:id="338387469">
          <w:marLeft w:val="0"/>
          <w:marRight w:val="0"/>
          <w:marTop w:val="77"/>
          <w:marBottom w:val="0"/>
          <w:divBdr>
            <w:top w:val="none" w:sz="0" w:space="0" w:color="auto"/>
            <w:left w:val="none" w:sz="0" w:space="0" w:color="auto"/>
            <w:bottom w:val="none" w:sz="0" w:space="0" w:color="auto"/>
            <w:right w:val="none" w:sz="0" w:space="0" w:color="auto"/>
          </w:divBdr>
        </w:div>
        <w:div w:id="413937195">
          <w:marLeft w:val="0"/>
          <w:marRight w:val="0"/>
          <w:marTop w:val="77"/>
          <w:marBottom w:val="0"/>
          <w:divBdr>
            <w:top w:val="none" w:sz="0" w:space="0" w:color="auto"/>
            <w:left w:val="none" w:sz="0" w:space="0" w:color="auto"/>
            <w:bottom w:val="none" w:sz="0" w:space="0" w:color="auto"/>
            <w:right w:val="none" w:sz="0" w:space="0" w:color="auto"/>
          </w:divBdr>
        </w:div>
        <w:div w:id="454560537">
          <w:marLeft w:val="0"/>
          <w:marRight w:val="0"/>
          <w:marTop w:val="77"/>
          <w:marBottom w:val="0"/>
          <w:divBdr>
            <w:top w:val="none" w:sz="0" w:space="0" w:color="auto"/>
            <w:left w:val="none" w:sz="0" w:space="0" w:color="auto"/>
            <w:bottom w:val="none" w:sz="0" w:space="0" w:color="auto"/>
            <w:right w:val="none" w:sz="0" w:space="0" w:color="auto"/>
          </w:divBdr>
        </w:div>
        <w:div w:id="595407014">
          <w:marLeft w:val="0"/>
          <w:marRight w:val="0"/>
          <w:marTop w:val="77"/>
          <w:marBottom w:val="0"/>
          <w:divBdr>
            <w:top w:val="none" w:sz="0" w:space="0" w:color="auto"/>
            <w:left w:val="none" w:sz="0" w:space="0" w:color="auto"/>
            <w:bottom w:val="none" w:sz="0" w:space="0" w:color="auto"/>
            <w:right w:val="none" w:sz="0" w:space="0" w:color="auto"/>
          </w:divBdr>
        </w:div>
        <w:div w:id="611673165">
          <w:marLeft w:val="0"/>
          <w:marRight w:val="0"/>
          <w:marTop w:val="77"/>
          <w:marBottom w:val="0"/>
          <w:divBdr>
            <w:top w:val="none" w:sz="0" w:space="0" w:color="auto"/>
            <w:left w:val="none" w:sz="0" w:space="0" w:color="auto"/>
            <w:bottom w:val="none" w:sz="0" w:space="0" w:color="auto"/>
            <w:right w:val="none" w:sz="0" w:space="0" w:color="auto"/>
          </w:divBdr>
        </w:div>
        <w:div w:id="622227635">
          <w:marLeft w:val="0"/>
          <w:marRight w:val="0"/>
          <w:marTop w:val="77"/>
          <w:marBottom w:val="0"/>
          <w:divBdr>
            <w:top w:val="none" w:sz="0" w:space="0" w:color="auto"/>
            <w:left w:val="none" w:sz="0" w:space="0" w:color="auto"/>
            <w:bottom w:val="none" w:sz="0" w:space="0" w:color="auto"/>
            <w:right w:val="none" w:sz="0" w:space="0" w:color="auto"/>
          </w:divBdr>
        </w:div>
        <w:div w:id="711080371">
          <w:marLeft w:val="0"/>
          <w:marRight w:val="0"/>
          <w:marTop w:val="77"/>
          <w:marBottom w:val="0"/>
          <w:divBdr>
            <w:top w:val="none" w:sz="0" w:space="0" w:color="auto"/>
            <w:left w:val="none" w:sz="0" w:space="0" w:color="auto"/>
            <w:bottom w:val="none" w:sz="0" w:space="0" w:color="auto"/>
            <w:right w:val="none" w:sz="0" w:space="0" w:color="auto"/>
          </w:divBdr>
        </w:div>
        <w:div w:id="800540430">
          <w:marLeft w:val="0"/>
          <w:marRight w:val="0"/>
          <w:marTop w:val="77"/>
          <w:marBottom w:val="0"/>
          <w:divBdr>
            <w:top w:val="none" w:sz="0" w:space="0" w:color="auto"/>
            <w:left w:val="none" w:sz="0" w:space="0" w:color="auto"/>
            <w:bottom w:val="none" w:sz="0" w:space="0" w:color="auto"/>
            <w:right w:val="none" w:sz="0" w:space="0" w:color="auto"/>
          </w:divBdr>
        </w:div>
        <w:div w:id="828860800">
          <w:marLeft w:val="0"/>
          <w:marRight w:val="0"/>
          <w:marTop w:val="77"/>
          <w:marBottom w:val="0"/>
          <w:divBdr>
            <w:top w:val="none" w:sz="0" w:space="0" w:color="auto"/>
            <w:left w:val="none" w:sz="0" w:space="0" w:color="auto"/>
            <w:bottom w:val="none" w:sz="0" w:space="0" w:color="auto"/>
            <w:right w:val="none" w:sz="0" w:space="0" w:color="auto"/>
          </w:divBdr>
        </w:div>
        <w:div w:id="858860078">
          <w:marLeft w:val="0"/>
          <w:marRight w:val="0"/>
          <w:marTop w:val="77"/>
          <w:marBottom w:val="0"/>
          <w:divBdr>
            <w:top w:val="none" w:sz="0" w:space="0" w:color="auto"/>
            <w:left w:val="none" w:sz="0" w:space="0" w:color="auto"/>
            <w:bottom w:val="none" w:sz="0" w:space="0" w:color="auto"/>
            <w:right w:val="none" w:sz="0" w:space="0" w:color="auto"/>
          </w:divBdr>
        </w:div>
        <w:div w:id="868294985">
          <w:marLeft w:val="0"/>
          <w:marRight w:val="0"/>
          <w:marTop w:val="77"/>
          <w:marBottom w:val="0"/>
          <w:divBdr>
            <w:top w:val="none" w:sz="0" w:space="0" w:color="auto"/>
            <w:left w:val="none" w:sz="0" w:space="0" w:color="auto"/>
            <w:bottom w:val="none" w:sz="0" w:space="0" w:color="auto"/>
            <w:right w:val="none" w:sz="0" w:space="0" w:color="auto"/>
          </w:divBdr>
        </w:div>
        <w:div w:id="912423555">
          <w:marLeft w:val="0"/>
          <w:marRight w:val="0"/>
          <w:marTop w:val="77"/>
          <w:marBottom w:val="0"/>
          <w:divBdr>
            <w:top w:val="none" w:sz="0" w:space="0" w:color="auto"/>
            <w:left w:val="none" w:sz="0" w:space="0" w:color="auto"/>
            <w:bottom w:val="none" w:sz="0" w:space="0" w:color="auto"/>
            <w:right w:val="none" w:sz="0" w:space="0" w:color="auto"/>
          </w:divBdr>
        </w:div>
        <w:div w:id="924415192">
          <w:marLeft w:val="0"/>
          <w:marRight w:val="0"/>
          <w:marTop w:val="77"/>
          <w:marBottom w:val="0"/>
          <w:divBdr>
            <w:top w:val="none" w:sz="0" w:space="0" w:color="auto"/>
            <w:left w:val="none" w:sz="0" w:space="0" w:color="auto"/>
            <w:bottom w:val="none" w:sz="0" w:space="0" w:color="auto"/>
            <w:right w:val="none" w:sz="0" w:space="0" w:color="auto"/>
          </w:divBdr>
        </w:div>
        <w:div w:id="992369512">
          <w:marLeft w:val="0"/>
          <w:marRight w:val="0"/>
          <w:marTop w:val="77"/>
          <w:marBottom w:val="0"/>
          <w:divBdr>
            <w:top w:val="none" w:sz="0" w:space="0" w:color="auto"/>
            <w:left w:val="none" w:sz="0" w:space="0" w:color="auto"/>
            <w:bottom w:val="none" w:sz="0" w:space="0" w:color="auto"/>
            <w:right w:val="none" w:sz="0" w:space="0" w:color="auto"/>
          </w:divBdr>
        </w:div>
        <w:div w:id="1000811561">
          <w:marLeft w:val="0"/>
          <w:marRight w:val="0"/>
          <w:marTop w:val="77"/>
          <w:marBottom w:val="0"/>
          <w:divBdr>
            <w:top w:val="none" w:sz="0" w:space="0" w:color="auto"/>
            <w:left w:val="none" w:sz="0" w:space="0" w:color="auto"/>
            <w:bottom w:val="none" w:sz="0" w:space="0" w:color="auto"/>
            <w:right w:val="none" w:sz="0" w:space="0" w:color="auto"/>
          </w:divBdr>
        </w:div>
        <w:div w:id="1046299460">
          <w:marLeft w:val="0"/>
          <w:marRight w:val="0"/>
          <w:marTop w:val="77"/>
          <w:marBottom w:val="0"/>
          <w:divBdr>
            <w:top w:val="none" w:sz="0" w:space="0" w:color="auto"/>
            <w:left w:val="none" w:sz="0" w:space="0" w:color="auto"/>
            <w:bottom w:val="none" w:sz="0" w:space="0" w:color="auto"/>
            <w:right w:val="none" w:sz="0" w:space="0" w:color="auto"/>
          </w:divBdr>
        </w:div>
        <w:div w:id="1065253494">
          <w:marLeft w:val="0"/>
          <w:marRight w:val="0"/>
          <w:marTop w:val="77"/>
          <w:marBottom w:val="0"/>
          <w:divBdr>
            <w:top w:val="none" w:sz="0" w:space="0" w:color="auto"/>
            <w:left w:val="none" w:sz="0" w:space="0" w:color="auto"/>
            <w:bottom w:val="none" w:sz="0" w:space="0" w:color="auto"/>
            <w:right w:val="none" w:sz="0" w:space="0" w:color="auto"/>
          </w:divBdr>
        </w:div>
        <w:div w:id="1136336305">
          <w:marLeft w:val="0"/>
          <w:marRight w:val="0"/>
          <w:marTop w:val="77"/>
          <w:marBottom w:val="0"/>
          <w:divBdr>
            <w:top w:val="none" w:sz="0" w:space="0" w:color="auto"/>
            <w:left w:val="none" w:sz="0" w:space="0" w:color="auto"/>
            <w:bottom w:val="none" w:sz="0" w:space="0" w:color="auto"/>
            <w:right w:val="none" w:sz="0" w:space="0" w:color="auto"/>
          </w:divBdr>
        </w:div>
        <w:div w:id="1155296362">
          <w:marLeft w:val="0"/>
          <w:marRight w:val="0"/>
          <w:marTop w:val="77"/>
          <w:marBottom w:val="0"/>
          <w:divBdr>
            <w:top w:val="none" w:sz="0" w:space="0" w:color="auto"/>
            <w:left w:val="none" w:sz="0" w:space="0" w:color="auto"/>
            <w:bottom w:val="none" w:sz="0" w:space="0" w:color="auto"/>
            <w:right w:val="none" w:sz="0" w:space="0" w:color="auto"/>
          </w:divBdr>
        </w:div>
        <w:div w:id="1398283160">
          <w:marLeft w:val="0"/>
          <w:marRight w:val="0"/>
          <w:marTop w:val="77"/>
          <w:marBottom w:val="0"/>
          <w:divBdr>
            <w:top w:val="none" w:sz="0" w:space="0" w:color="auto"/>
            <w:left w:val="none" w:sz="0" w:space="0" w:color="auto"/>
            <w:bottom w:val="none" w:sz="0" w:space="0" w:color="auto"/>
            <w:right w:val="none" w:sz="0" w:space="0" w:color="auto"/>
          </w:divBdr>
        </w:div>
        <w:div w:id="1444612794">
          <w:marLeft w:val="0"/>
          <w:marRight w:val="0"/>
          <w:marTop w:val="77"/>
          <w:marBottom w:val="0"/>
          <w:divBdr>
            <w:top w:val="none" w:sz="0" w:space="0" w:color="auto"/>
            <w:left w:val="none" w:sz="0" w:space="0" w:color="auto"/>
            <w:bottom w:val="none" w:sz="0" w:space="0" w:color="auto"/>
            <w:right w:val="none" w:sz="0" w:space="0" w:color="auto"/>
          </w:divBdr>
        </w:div>
        <w:div w:id="1511291965">
          <w:marLeft w:val="0"/>
          <w:marRight w:val="0"/>
          <w:marTop w:val="77"/>
          <w:marBottom w:val="0"/>
          <w:divBdr>
            <w:top w:val="none" w:sz="0" w:space="0" w:color="auto"/>
            <w:left w:val="none" w:sz="0" w:space="0" w:color="auto"/>
            <w:bottom w:val="none" w:sz="0" w:space="0" w:color="auto"/>
            <w:right w:val="none" w:sz="0" w:space="0" w:color="auto"/>
          </w:divBdr>
        </w:div>
        <w:div w:id="1694306683">
          <w:marLeft w:val="0"/>
          <w:marRight w:val="0"/>
          <w:marTop w:val="77"/>
          <w:marBottom w:val="0"/>
          <w:divBdr>
            <w:top w:val="none" w:sz="0" w:space="0" w:color="auto"/>
            <w:left w:val="none" w:sz="0" w:space="0" w:color="auto"/>
            <w:bottom w:val="none" w:sz="0" w:space="0" w:color="auto"/>
            <w:right w:val="none" w:sz="0" w:space="0" w:color="auto"/>
          </w:divBdr>
        </w:div>
        <w:div w:id="1773548902">
          <w:marLeft w:val="0"/>
          <w:marRight w:val="0"/>
          <w:marTop w:val="77"/>
          <w:marBottom w:val="0"/>
          <w:divBdr>
            <w:top w:val="none" w:sz="0" w:space="0" w:color="auto"/>
            <w:left w:val="none" w:sz="0" w:space="0" w:color="auto"/>
            <w:bottom w:val="none" w:sz="0" w:space="0" w:color="auto"/>
            <w:right w:val="none" w:sz="0" w:space="0" w:color="auto"/>
          </w:divBdr>
        </w:div>
        <w:div w:id="2104370774">
          <w:marLeft w:val="0"/>
          <w:marRight w:val="0"/>
          <w:marTop w:val="77"/>
          <w:marBottom w:val="0"/>
          <w:divBdr>
            <w:top w:val="none" w:sz="0" w:space="0" w:color="auto"/>
            <w:left w:val="none" w:sz="0" w:space="0" w:color="auto"/>
            <w:bottom w:val="none" w:sz="0" w:space="0" w:color="auto"/>
            <w:right w:val="none" w:sz="0" w:space="0" w:color="auto"/>
          </w:divBdr>
        </w:div>
      </w:divsChild>
    </w:div>
    <w:div w:id="834144831">
      <w:bodyDiv w:val="1"/>
      <w:marLeft w:val="0"/>
      <w:marRight w:val="0"/>
      <w:marTop w:val="0"/>
      <w:marBottom w:val="0"/>
      <w:divBdr>
        <w:top w:val="none" w:sz="0" w:space="0" w:color="auto"/>
        <w:left w:val="none" w:sz="0" w:space="0" w:color="auto"/>
        <w:bottom w:val="none" w:sz="0" w:space="0" w:color="auto"/>
        <w:right w:val="none" w:sz="0" w:space="0" w:color="auto"/>
      </w:divBdr>
    </w:div>
    <w:div w:id="861240175">
      <w:bodyDiv w:val="1"/>
      <w:marLeft w:val="0"/>
      <w:marRight w:val="0"/>
      <w:marTop w:val="0"/>
      <w:marBottom w:val="0"/>
      <w:divBdr>
        <w:top w:val="none" w:sz="0" w:space="0" w:color="auto"/>
        <w:left w:val="none" w:sz="0" w:space="0" w:color="auto"/>
        <w:bottom w:val="none" w:sz="0" w:space="0" w:color="auto"/>
        <w:right w:val="none" w:sz="0" w:space="0" w:color="auto"/>
      </w:divBdr>
    </w:div>
    <w:div w:id="862859895">
      <w:bodyDiv w:val="1"/>
      <w:marLeft w:val="0"/>
      <w:marRight w:val="0"/>
      <w:marTop w:val="0"/>
      <w:marBottom w:val="0"/>
      <w:divBdr>
        <w:top w:val="none" w:sz="0" w:space="0" w:color="auto"/>
        <w:left w:val="none" w:sz="0" w:space="0" w:color="auto"/>
        <w:bottom w:val="none" w:sz="0" w:space="0" w:color="auto"/>
        <w:right w:val="none" w:sz="0" w:space="0" w:color="auto"/>
      </w:divBdr>
    </w:div>
    <w:div w:id="873931428">
      <w:bodyDiv w:val="1"/>
      <w:marLeft w:val="0"/>
      <w:marRight w:val="0"/>
      <w:marTop w:val="0"/>
      <w:marBottom w:val="0"/>
      <w:divBdr>
        <w:top w:val="none" w:sz="0" w:space="0" w:color="auto"/>
        <w:left w:val="none" w:sz="0" w:space="0" w:color="auto"/>
        <w:bottom w:val="none" w:sz="0" w:space="0" w:color="auto"/>
        <w:right w:val="none" w:sz="0" w:space="0" w:color="auto"/>
      </w:divBdr>
    </w:div>
    <w:div w:id="901254100">
      <w:bodyDiv w:val="1"/>
      <w:marLeft w:val="0"/>
      <w:marRight w:val="0"/>
      <w:marTop w:val="0"/>
      <w:marBottom w:val="0"/>
      <w:divBdr>
        <w:top w:val="none" w:sz="0" w:space="0" w:color="auto"/>
        <w:left w:val="none" w:sz="0" w:space="0" w:color="auto"/>
        <w:bottom w:val="none" w:sz="0" w:space="0" w:color="auto"/>
        <w:right w:val="none" w:sz="0" w:space="0" w:color="auto"/>
      </w:divBdr>
    </w:div>
    <w:div w:id="902332371">
      <w:bodyDiv w:val="1"/>
      <w:marLeft w:val="0"/>
      <w:marRight w:val="0"/>
      <w:marTop w:val="0"/>
      <w:marBottom w:val="0"/>
      <w:divBdr>
        <w:top w:val="none" w:sz="0" w:space="0" w:color="auto"/>
        <w:left w:val="none" w:sz="0" w:space="0" w:color="auto"/>
        <w:bottom w:val="none" w:sz="0" w:space="0" w:color="auto"/>
        <w:right w:val="none" w:sz="0" w:space="0" w:color="auto"/>
      </w:divBdr>
    </w:div>
    <w:div w:id="908224665">
      <w:bodyDiv w:val="1"/>
      <w:marLeft w:val="0"/>
      <w:marRight w:val="0"/>
      <w:marTop w:val="0"/>
      <w:marBottom w:val="0"/>
      <w:divBdr>
        <w:top w:val="none" w:sz="0" w:space="0" w:color="auto"/>
        <w:left w:val="none" w:sz="0" w:space="0" w:color="auto"/>
        <w:bottom w:val="none" w:sz="0" w:space="0" w:color="auto"/>
        <w:right w:val="none" w:sz="0" w:space="0" w:color="auto"/>
      </w:divBdr>
    </w:div>
    <w:div w:id="911424087">
      <w:bodyDiv w:val="1"/>
      <w:marLeft w:val="0"/>
      <w:marRight w:val="0"/>
      <w:marTop w:val="0"/>
      <w:marBottom w:val="0"/>
      <w:divBdr>
        <w:top w:val="none" w:sz="0" w:space="0" w:color="auto"/>
        <w:left w:val="none" w:sz="0" w:space="0" w:color="auto"/>
        <w:bottom w:val="none" w:sz="0" w:space="0" w:color="auto"/>
        <w:right w:val="none" w:sz="0" w:space="0" w:color="auto"/>
      </w:divBdr>
    </w:div>
    <w:div w:id="912810161">
      <w:bodyDiv w:val="1"/>
      <w:marLeft w:val="0"/>
      <w:marRight w:val="0"/>
      <w:marTop w:val="0"/>
      <w:marBottom w:val="0"/>
      <w:divBdr>
        <w:top w:val="none" w:sz="0" w:space="0" w:color="auto"/>
        <w:left w:val="none" w:sz="0" w:space="0" w:color="auto"/>
        <w:bottom w:val="none" w:sz="0" w:space="0" w:color="auto"/>
        <w:right w:val="none" w:sz="0" w:space="0" w:color="auto"/>
      </w:divBdr>
    </w:div>
    <w:div w:id="913664753">
      <w:bodyDiv w:val="1"/>
      <w:marLeft w:val="0"/>
      <w:marRight w:val="0"/>
      <w:marTop w:val="0"/>
      <w:marBottom w:val="0"/>
      <w:divBdr>
        <w:top w:val="none" w:sz="0" w:space="0" w:color="auto"/>
        <w:left w:val="none" w:sz="0" w:space="0" w:color="auto"/>
        <w:bottom w:val="none" w:sz="0" w:space="0" w:color="auto"/>
        <w:right w:val="none" w:sz="0" w:space="0" w:color="auto"/>
      </w:divBdr>
    </w:div>
    <w:div w:id="916283147">
      <w:bodyDiv w:val="1"/>
      <w:marLeft w:val="0"/>
      <w:marRight w:val="0"/>
      <w:marTop w:val="0"/>
      <w:marBottom w:val="0"/>
      <w:divBdr>
        <w:top w:val="none" w:sz="0" w:space="0" w:color="auto"/>
        <w:left w:val="none" w:sz="0" w:space="0" w:color="auto"/>
        <w:bottom w:val="none" w:sz="0" w:space="0" w:color="auto"/>
        <w:right w:val="none" w:sz="0" w:space="0" w:color="auto"/>
      </w:divBdr>
      <w:divsChild>
        <w:div w:id="1179926907">
          <w:marLeft w:val="446"/>
          <w:marRight w:val="0"/>
          <w:marTop w:val="0"/>
          <w:marBottom w:val="0"/>
          <w:divBdr>
            <w:top w:val="none" w:sz="0" w:space="0" w:color="auto"/>
            <w:left w:val="none" w:sz="0" w:space="0" w:color="auto"/>
            <w:bottom w:val="none" w:sz="0" w:space="0" w:color="auto"/>
            <w:right w:val="none" w:sz="0" w:space="0" w:color="auto"/>
          </w:divBdr>
        </w:div>
        <w:div w:id="1863862199">
          <w:marLeft w:val="446"/>
          <w:marRight w:val="0"/>
          <w:marTop w:val="0"/>
          <w:marBottom w:val="0"/>
          <w:divBdr>
            <w:top w:val="none" w:sz="0" w:space="0" w:color="auto"/>
            <w:left w:val="none" w:sz="0" w:space="0" w:color="auto"/>
            <w:bottom w:val="none" w:sz="0" w:space="0" w:color="auto"/>
            <w:right w:val="none" w:sz="0" w:space="0" w:color="auto"/>
          </w:divBdr>
        </w:div>
      </w:divsChild>
    </w:div>
    <w:div w:id="916787646">
      <w:bodyDiv w:val="1"/>
      <w:marLeft w:val="0"/>
      <w:marRight w:val="0"/>
      <w:marTop w:val="0"/>
      <w:marBottom w:val="0"/>
      <w:divBdr>
        <w:top w:val="none" w:sz="0" w:space="0" w:color="auto"/>
        <w:left w:val="none" w:sz="0" w:space="0" w:color="auto"/>
        <w:bottom w:val="none" w:sz="0" w:space="0" w:color="auto"/>
        <w:right w:val="none" w:sz="0" w:space="0" w:color="auto"/>
      </w:divBdr>
      <w:divsChild>
        <w:div w:id="1708093796">
          <w:marLeft w:val="0"/>
          <w:marRight w:val="0"/>
          <w:marTop w:val="0"/>
          <w:marBottom w:val="326"/>
          <w:divBdr>
            <w:top w:val="none" w:sz="0" w:space="0" w:color="auto"/>
            <w:left w:val="none" w:sz="0" w:space="0" w:color="auto"/>
            <w:bottom w:val="none" w:sz="0" w:space="0" w:color="auto"/>
            <w:right w:val="none" w:sz="0" w:space="0" w:color="auto"/>
          </w:divBdr>
        </w:div>
      </w:divsChild>
    </w:div>
    <w:div w:id="925655256">
      <w:bodyDiv w:val="1"/>
      <w:marLeft w:val="0"/>
      <w:marRight w:val="0"/>
      <w:marTop w:val="0"/>
      <w:marBottom w:val="0"/>
      <w:divBdr>
        <w:top w:val="none" w:sz="0" w:space="0" w:color="auto"/>
        <w:left w:val="none" w:sz="0" w:space="0" w:color="auto"/>
        <w:bottom w:val="none" w:sz="0" w:space="0" w:color="auto"/>
        <w:right w:val="none" w:sz="0" w:space="0" w:color="auto"/>
      </w:divBdr>
      <w:divsChild>
        <w:div w:id="1132136823">
          <w:marLeft w:val="274"/>
          <w:marRight w:val="0"/>
          <w:marTop w:val="0"/>
          <w:marBottom w:val="0"/>
          <w:divBdr>
            <w:top w:val="none" w:sz="0" w:space="0" w:color="auto"/>
            <w:left w:val="none" w:sz="0" w:space="0" w:color="auto"/>
            <w:bottom w:val="none" w:sz="0" w:space="0" w:color="auto"/>
            <w:right w:val="none" w:sz="0" w:space="0" w:color="auto"/>
          </w:divBdr>
        </w:div>
      </w:divsChild>
    </w:div>
    <w:div w:id="934558066">
      <w:bodyDiv w:val="1"/>
      <w:marLeft w:val="0"/>
      <w:marRight w:val="0"/>
      <w:marTop w:val="0"/>
      <w:marBottom w:val="0"/>
      <w:divBdr>
        <w:top w:val="none" w:sz="0" w:space="0" w:color="auto"/>
        <w:left w:val="none" w:sz="0" w:space="0" w:color="auto"/>
        <w:bottom w:val="none" w:sz="0" w:space="0" w:color="auto"/>
        <w:right w:val="none" w:sz="0" w:space="0" w:color="auto"/>
      </w:divBdr>
    </w:div>
    <w:div w:id="938830753">
      <w:bodyDiv w:val="1"/>
      <w:marLeft w:val="0"/>
      <w:marRight w:val="0"/>
      <w:marTop w:val="0"/>
      <w:marBottom w:val="0"/>
      <w:divBdr>
        <w:top w:val="none" w:sz="0" w:space="0" w:color="auto"/>
        <w:left w:val="none" w:sz="0" w:space="0" w:color="auto"/>
        <w:bottom w:val="none" w:sz="0" w:space="0" w:color="auto"/>
        <w:right w:val="none" w:sz="0" w:space="0" w:color="auto"/>
      </w:divBdr>
    </w:div>
    <w:div w:id="942112759">
      <w:bodyDiv w:val="1"/>
      <w:marLeft w:val="0"/>
      <w:marRight w:val="0"/>
      <w:marTop w:val="0"/>
      <w:marBottom w:val="0"/>
      <w:divBdr>
        <w:top w:val="none" w:sz="0" w:space="0" w:color="auto"/>
        <w:left w:val="none" w:sz="0" w:space="0" w:color="auto"/>
        <w:bottom w:val="none" w:sz="0" w:space="0" w:color="auto"/>
        <w:right w:val="none" w:sz="0" w:space="0" w:color="auto"/>
      </w:divBdr>
    </w:div>
    <w:div w:id="946353339">
      <w:bodyDiv w:val="1"/>
      <w:marLeft w:val="0"/>
      <w:marRight w:val="0"/>
      <w:marTop w:val="0"/>
      <w:marBottom w:val="0"/>
      <w:divBdr>
        <w:top w:val="none" w:sz="0" w:space="0" w:color="auto"/>
        <w:left w:val="none" w:sz="0" w:space="0" w:color="auto"/>
        <w:bottom w:val="none" w:sz="0" w:space="0" w:color="auto"/>
        <w:right w:val="none" w:sz="0" w:space="0" w:color="auto"/>
      </w:divBdr>
    </w:div>
    <w:div w:id="965888728">
      <w:bodyDiv w:val="1"/>
      <w:marLeft w:val="0"/>
      <w:marRight w:val="0"/>
      <w:marTop w:val="0"/>
      <w:marBottom w:val="0"/>
      <w:divBdr>
        <w:top w:val="none" w:sz="0" w:space="0" w:color="auto"/>
        <w:left w:val="none" w:sz="0" w:space="0" w:color="auto"/>
        <w:bottom w:val="none" w:sz="0" w:space="0" w:color="auto"/>
        <w:right w:val="none" w:sz="0" w:space="0" w:color="auto"/>
      </w:divBdr>
    </w:div>
    <w:div w:id="970667850">
      <w:bodyDiv w:val="1"/>
      <w:marLeft w:val="0"/>
      <w:marRight w:val="0"/>
      <w:marTop w:val="0"/>
      <w:marBottom w:val="0"/>
      <w:divBdr>
        <w:top w:val="none" w:sz="0" w:space="0" w:color="auto"/>
        <w:left w:val="none" w:sz="0" w:space="0" w:color="auto"/>
        <w:bottom w:val="none" w:sz="0" w:space="0" w:color="auto"/>
        <w:right w:val="none" w:sz="0" w:space="0" w:color="auto"/>
      </w:divBdr>
    </w:div>
    <w:div w:id="970987625">
      <w:bodyDiv w:val="1"/>
      <w:marLeft w:val="0"/>
      <w:marRight w:val="0"/>
      <w:marTop w:val="0"/>
      <w:marBottom w:val="0"/>
      <w:divBdr>
        <w:top w:val="none" w:sz="0" w:space="0" w:color="auto"/>
        <w:left w:val="none" w:sz="0" w:space="0" w:color="auto"/>
        <w:bottom w:val="none" w:sz="0" w:space="0" w:color="auto"/>
        <w:right w:val="none" w:sz="0" w:space="0" w:color="auto"/>
      </w:divBdr>
    </w:div>
    <w:div w:id="977222725">
      <w:bodyDiv w:val="1"/>
      <w:marLeft w:val="0"/>
      <w:marRight w:val="0"/>
      <w:marTop w:val="0"/>
      <w:marBottom w:val="0"/>
      <w:divBdr>
        <w:top w:val="none" w:sz="0" w:space="0" w:color="auto"/>
        <w:left w:val="none" w:sz="0" w:space="0" w:color="auto"/>
        <w:bottom w:val="none" w:sz="0" w:space="0" w:color="auto"/>
        <w:right w:val="none" w:sz="0" w:space="0" w:color="auto"/>
      </w:divBdr>
    </w:div>
    <w:div w:id="993533996">
      <w:bodyDiv w:val="1"/>
      <w:marLeft w:val="0"/>
      <w:marRight w:val="0"/>
      <w:marTop w:val="0"/>
      <w:marBottom w:val="0"/>
      <w:divBdr>
        <w:top w:val="none" w:sz="0" w:space="0" w:color="auto"/>
        <w:left w:val="none" w:sz="0" w:space="0" w:color="auto"/>
        <w:bottom w:val="none" w:sz="0" w:space="0" w:color="auto"/>
        <w:right w:val="none" w:sz="0" w:space="0" w:color="auto"/>
      </w:divBdr>
      <w:divsChild>
        <w:div w:id="1574974848">
          <w:marLeft w:val="677"/>
          <w:marRight w:val="0"/>
          <w:marTop w:val="0"/>
          <w:marBottom w:val="0"/>
          <w:divBdr>
            <w:top w:val="none" w:sz="0" w:space="0" w:color="auto"/>
            <w:left w:val="none" w:sz="0" w:space="0" w:color="auto"/>
            <w:bottom w:val="none" w:sz="0" w:space="0" w:color="auto"/>
            <w:right w:val="none" w:sz="0" w:space="0" w:color="auto"/>
          </w:divBdr>
        </w:div>
        <w:div w:id="1707874878">
          <w:marLeft w:val="677"/>
          <w:marRight w:val="0"/>
          <w:marTop w:val="0"/>
          <w:marBottom w:val="0"/>
          <w:divBdr>
            <w:top w:val="none" w:sz="0" w:space="0" w:color="auto"/>
            <w:left w:val="none" w:sz="0" w:space="0" w:color="auto"/>
            <w:bottom w:val="none" w:sz="0" w:space="0" w:color="auto"/>
            <w:right w:val="none" w:sz="0" w:space="0" w:color="auto"/>
          </w:divBdr>
        </w:div>
        <w:div w:id="2131196604">
          <w:marLeft w:val="677"/>
          <w:marRight w:val="0"/>
          <w:marTop w:val="0"/>
          <w:marBottom w:val="0"/>
          <w:divBdr>
            <w:top w:val="none" w:sz="0" w:space="0" w:color="auto"/>
            <w:left w:val="none" w:sz="0" w:space="0" w:color="auto"/>
            <w:bottom w:val="none" w:sz="0" w:space="0" w:color="auto"/>
            <w:right w:val="none" w:sz="0" w:space="0" w:color="auto"/>
          </w:divBdr>
        </w:div>
      </w:divsChild>
    </w:div>
    <w:div w:id="999849443">
      <w:bodyDiv w:val="1"/>
      <w:marLeft w:val="0"/>
      <w:marRight w:val="0"/>
      <w:marTop w:val="0"/>
      <w:marBottom w:val="0"/>
      <w:divBdr>
        <w:top w:val="none" w:sz="0" w:space="0" w:color="auto"/>
        <w:left w:val="none" w:sz="0" w:space="0" w:color="auto"/>
        <w:bottom w:val="none" w:sz="0" w:space="0" w:color="auto"/>
        <w:right w:val="none" w:sz="0" w:space="0" w:color="auto"/>
      </w:divBdr>
    </w:div>
    <w:div w:id="1002705447">
      <w:bodyDiv w:val="1"/>
      <w:marLeft w:val="0"/>
      <w:marRight w:val="0"/>
      <w:marTop w:val="0"/>
      <w:marBottom w:val="0"/>
      <w:divBdr>
        <w:top w:val="none" w:sz="0" w:space="0" w:color="auto"/>
        <w:left w:val="none" w:sz="0" w:space="0" w:color="auto"/>
        <w:bottom w:val="none" w:sz="0" w:space="0" w:color="auto"/>
        <w:right w:val="none" w:sz="0" w:space="0" w:color="auto"/>
      </w:divBdr>
    </w:div>
    <w:div w:id="1012488060">
      <w:bodyDiv w:val="1"/>
      <w:marLeft w:val="0"/>
      <w:marRight w:val="0"/>
      <w:marTop w:val="0"/>
      <w:marBottom w:val="0"/>
      <w:divBdr>
        <w:top w:val="none" w:sz="0" w:space="0" w:color="auto"/>
        <w:left w:val="none" w:sz="0" w:space="0" w:color="auto"/>
        <w:bottom w:val="none" w:sz="0" w:space="0" w:color="auto"/>
        <w:right w:val="none" w:sz="0" w:space="0" w:color="auto"/>
      </w:divBdr>
    </w:div>
    <w:div w:id="1019429948">
      <w:bodyDiv w:val="1"/>
      <w:marLeft w:val="0"/>
      <w:marRight w:val="0"/>
      <w:marTop w:val="0"/>
      <w:marBottom w:val="0"/>
      <w:divBdr>
        <w:top w:val="none" w:sz="0" w:space="0" w:color="auto"/>
        <w:left w:val="none" w:sz="0" w:space="0" w:color="auto"/>
        <w:bottom w:val="none" w:sz="0" w:space="0" w:color="auto"/>
        <w:right w:val="none" w:sz="0" w:space="0" w:color="auto"/>
      </w:divBdr>
    </w:div>
    <w:div w:id="1025980813">
      <w:bodyDiv w:val="1"/>
      <w:marLeft w:val="0"/>
      <w:marRight w:val="0"/>
      <w:marTop w:val="0"/>
      <w:marBottom w:val="0"/>
      <w:divBdr>
        <w:top w:val="none" w:sz="0" w:space="0" w:color="auto"/>
        <w:left w:val="none" w:sz="0" w:space="0" w:color="auto"/>
        <w:bottom w:val="none" w:sz="0" w:space="0" w:color="auto"/>
        <w:right w:val="none" w:sz="0" w:space="0" w:color="auto"/>
      </w:divBdr>
    </w:div>
    <w:div w:id="1047223707">
      <w:bodyDiv w:val="1"/>
      <w:marLeft w:val="0"/>
      <w:marRight w:val="0"/>
      <w:marTop w:val="0"/>
      <w:marBottom w:val="0"/>
      <w:divBdr>
        <w:top w:val="none" w:sz="0" w:space="0" w:color="auto"/>
        <w:left w:val="none" w:sz="0" w:space="0" w:color="auto"/>
        <w:bottom w:val="none" w:sz="0" w:space="0" w:color="auto"/>
        <w:right w:val="none" w:sz="0" w:space="0" w:color="auto"/>
      </w:divBdr>
    </w:div>
    <w:div w:id="1066757831">
      <w:bodyDiv w:val="1"/>
      <w:marLeft w:val="0"/>
      <w:marRight w:val="0"/>
      <w:marTop w:val="0"/>
      <w:marBottom w:val="0"/>
      <w:divBdr>
        <w:top w:val="none" w:sz="0" w:space="0" w:color="auto"/>
        <w:left w:val="none" w:sz="0" w:space="0" w:color="auto"/>
        <w:bottom w:val="none" w:sz="0" w:space="0" w:color="auto"/>
        <w:right w:val="none" w:sz="0" w:space="0" w:color="auto"/>
      </w:divBdr>
    </w:div>
    <w:div w:id="1077939224">
      <w:bodyDiv w:val="1"/>
      <w:marLeft w:val="0"/>
      <w:marRight w:val="0"/>
      <w:marTop w:val="0"/>
      <w:marBottom w:val="0"/>
      <w:divBdr>
        <w:top w:val="none" w:sz="0" w:space="0" w:color="auto"/>
        <w:left w:val="none" w:sz="0" w:space="0" w:color="auto"/>
        <w:bottom w:val="none" w:sz="0" w:space="0" w:color="auto"/>
        <w:right w:val="none" w:sz="0" w:space="0" w:color="auto"/>
      </w:divBdr>
    </w:div>
    <w:div w:id="1124812609">
      <w:bodyDiv w:val="1"/>
      <w:marLeft w:val="0"/>
      <w:marRight w:val="0"/>
      <w:marTop w:val="0"/>
      <w:marBottom w:val="0"/>
      <w:divBdr>
        <w:top w:val="none" w:sz="0" w:space="0" w:color="auto"/>
        <w:left w:val="none" w:sz="0" w:space="0" w:color="auto"/>
        <w:bottom w:val="none" w:sz="0" w:space="0" w:color="auto"/>
        <w:right w:val="none" w:sz="0" w:space="0" w:color="auto"/>
      </w:divBdr>
    </w:div>
    <w:div w:id="1126191565">
      <w:bodyDiv w:val="1"/>
      <w:marLeft w:val="0"/>
      <w:marRight w:val="0"/>
      <w:marTop w:val="0"/>
      <w:marBottom w:val="0"/>
      <w:divBdr>
        <w:top w:val="none" w:sz="0" w:space="0" w:color="auto"/>
        <w:left w:val="none" w:sz="0" w:space="0" w:color="auto"/>
        <w:bottom w:val="none" w:sz="0" w:space="0" w:color="auto"/>
        <w:right w:val="none" w:sz="0" w:space="0" w:color="auto"/>
      </w:divBdr>
      <w:divsChild>
        <w:div w:id="436947930">
          <w:marLeft w:val="446"/>
          <w:marRight w:val="0"/>
          <w:marTop w:val="60"/>
          <w:marBottom w:val="60"/>
          <w:divBdr>
            <w:top w:val="none" w:sz="0" w:space="0" w:color="auto"/>
            <w:left w:val="none" w:sz="0" w:space="0" w:color="auto"/>
            <w:bottom w:val="none" w:sz="0" w:space="0" w:color="auto"/>
            <w:right w:val="none" w:sz="0" w:space="0" w:color="auto"/>
          </w:divBdr>
        </w:div>
        <w:div w:id="608046279">
          <w:marLeft w:val="446"/>
          <w:marRight w:val="0"/>
          <w:marTop w:val="60"/>
          <w:marBottom w:val="60"/>
          <w:divBdr>
            <w:top w:val="none" w:sz="0" w:space="0" w:color="auto"/>
            <w:left w:val="none" w:sz="0" w:space="0" w:color="auto"/>
            <w:bottom w:val="none" w:sz="0" w:space="0" w:color="auto"/>
            <w:right w:val="none" w:sz="0" w:space="0" w:color="auto"/>
          </w:divBdr>
        </w:div>
      </w:divsChild>
    </w:div>
    <w:div w:id="1136801686">
      <w:bodyDiv w:val="1"/>
      <w:marLeft w:val="0"/>
      <w:marRight w:val="0"/>
      <w:marTop w:val="0"/>
      <w:marBottom w:val="0"/>
      <w:divBdr>
        <w:top w:val="none" w:sz="0" w:space="0" w:color="auto"/>
        <w:left w:val="none" w:sz="0" w:space="0" w:color="auto"/>
        <w:bottom w:val="none" w:sz="0" w:space="0" w:color="auto"/>
        <w:right w:val="none" w:sz="0" w:space="0" w:color="auto"/>
      </w:divBdr>
    </w:div>
    <w:div w:id="1159687010">
      <w:bodyDiv w:val="1"/>
      <w:marLeft w:val="0"/>
      <w:marRight w:val="0"/>
      <w:marTop w:val="0"/>
      <w:marBottom w:val="0"/>
      <w:divBdr>
        <w:top w:val="none" w:sz="0" w:space="0" w:color="auto"/>
        <w:left w:val="none" w:sz="0" w:space="0" w:color="auto"/>
        <w:bottom w:val="none" w:sz="0" w:space="0" w:color="auto"/>
        <w:right w:val="none" w:sz="0" w:space="0" w:color="auto"/>
      </w:divBdr>
    </w:div>
    <w:div w:id="1171144443">
      <w:bodyDiv w:val="1"/>
      <w:marLeft w:val="0"/>
      <w:marRight w:val="0"/>
      <w:marTop w:val="0"/>
      <w:marBottom w:val="0"/>
      <w:divBdr>
        <w:top w:val="none" w:sz="0" w:space="0" w:color="auto"/>
        <w:left w:val="none" w:sz="0" w:space="0" w:color="auto"/>
        <w:bottom w:val="none" w:sz="0" w:space="0" w:color="auto"/>
        <w:right w:val="none" w:sz="0" w:space="0" w:color="auto"/>
      </w:divBdr>
      <w:divsChild>
        <w:div w:id="366609737">
          <w:marLeft w:val="0"/>
          <w:marRight w:val="0"/>
          <w:marTop w:val="0"/>
          <w:marBottom w:val="0"/>
          <w:divBdr>
            <w:top w:val="none" w:sz="0" w:space="0" w:color="auto"/>
            <w:left w:val="none" w:sz="0" w:space="0" w:color="auto"/>
            <w:bottom w:val="none" w:sz="0" w:space="0" w:color="auto"/>
            <w:right w:val="none" w:sz="0" w:space="0" w:color="auto"/>
          </w:divBdr>
          <w:divsChild>
            <w:div w:id="139152097">
              <w:marLeft w:val="0"/>
              <w:marRight w:val="0"/>
              <w:marTop w:val="0"/>
              <w:marBottom w:val="0"/>
              <w:divBdr>
                <w:top w:val="none" w:sz="0" w:space="0" w:color="auto"/>
                <w:left w:val="none" w:sz="0" w:space="0" w:color="auto"/>
                <w:bottom w:val="none" w:sz="0" w:space="0" w:color="auto"/>
                <w:right w:val="none" w:sz="0" w:space="0" w:color="auto"/>
              </w:divBdr>
            </w:div>
            <w:div w:id="198592198">
              <w:marLeft w:val="0"/>
              <w:marRight w:val="0"/>
              <w:marTop w:val="0"/>
              <w:marBottom w:val="0"/>
              <w:divBdr>
                <w:top w:val="none" w:sz="0" w:space="0" w:color="auto"/>
                <w:left w:val="none" w:sz="0" w:space="0" w:color="auto"/>
                <w:bottom w:val="none" w:sz="0" w:space="0" w:color="auto"/>
                <w:right w:val="none" w:sz="0" w:space="0" w:color="auto"/>
              </w:divBdr>
            </w:div>
            <w:div w:id="214858676">
              <w:marLeft w:val="0"/>
              <w:marRight w:val="0"/>
              <w:marTop w:val="0"/>
              <w:marBottom w:val="0"/>
              <w:divBdr>
                <w:top w:val="none" w:sz="0" w:space="0" w:color="auto"/>
                <w:left w:val="none" w:sz="0" w:space="0" w:color="auto"/>
                <w:bottom w:val="none" w:sz="0" w:space="0" w:color="auto"/>
                <w:right w:val="none" w:sz="0" w:space="0" w:color="auto"/>
              </w:divBdr>
            </w:div>
            <w:div w:id="1139154884">
              <w:marLeft w:val="0"/>
              <w:marRight w:val="0"/>
              <w:marTop w:val="0"/>
              <w:marBottom w:val="0"/>
              <w:divBdr>
                <w:top w:val="none" w:sz="0" w:space="0" w:color="auto"/>
                <w:left w:val="none" w:sz="0" w:space="0" w:color="auto"/>
                <w:bottom w:val="none" w:sz="0" w:space="0" w:color="auto"/>
                <w:right w:val="none" w:sz="0" w:space="0" w:color="auto"/>
              </w:divBdr>
            </w:div>
            <w:div w:id="1440443583">
              <w:marLeft w:val="0"/>
              <w:marRight w:val="0"/>
              <w:marTop w:val="0"/>
              <w:marBottom w:val="0"/>
              <w:divBdr>
                <w:top w:val="none" w:sz="0" w:space="0" w:color="auto"/>
                <w:left w:val="none" w:sz="0" w:space="0" w:color="auto"/>
                <w:bottom w:val="none" w:sz="0" w:space="0" w:color="auto"/>
                <w:right w:val="none" w:sz="0" w:space="0" w:color="auto"/>
              </w:divBdr>
            </w:div>
            <w:div w:id="1479686707">
              <w:marLeft w:val="0"/>
              <w:marRight w:val="0"/>
              <w:marTop w:val="0"/>
              <w:marBottom w:val="0"/>
              <w:divBdr>
                <w:top w:val="none" w:sz="0" w:space="0" w:color="auto"/>
                <w:left w:val="none" w:sz="0" w:space="0" w:color="auto"/>
                <w:bottom w:val="none" w:sz="0" w:space="0" w:color="auto"/>
                <w:right w:val="none" w:sz="0" w:space="0" w:color="auto"/>
              </w:divBdr>
            </w:div>
            <w:div w:id="1562328638">
              <w:marLeft w:val="0"/>
              <w:marRight w:val="0"/>
              <w:marTop w:val="0"/>
              <w:marBottom w:val="0"/>
              <w:divBdr>
                <w:top w:val="none" w:sz="0" w:space="0" w:color="auto"/>
                <w:left w:val="none" w:sz="0" w:space="0" w:color="auto"/>
                <w:bottom w:val="none" w:sz="0" w:space="0" w:color="auto"/>
                <w:right w:val="none" w:sz="0" w:space="0" w:color="auto"/>
              </w:divBdr>
            </w:div>
            <w:div w:id="1683773467">
              <w:marLeft w:val="0"/>
              <w:marRight w:val="0"/>
              <w:marTop w:val="0"/>
              <w:marBottom w:val="0"/>
              <w:divBdr>
                <w:top w:val="none" w:sz="0" w:space="0" w:color="auto"/>
                <w:left w:val="none" w:sz="0" w:space="0" w:color="auto"/>
                <w:bottom w:val="none" w:sz="0" w:space="0" w:color="auto"/>
                <w:right w:val="none" w:sz="0" w:space="0" w:color="auto"/>
              </w:divBdr>
            </w:div>
            <w:div w:id="205226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2063163">
      <w:bodyDiv w:val="1"/>
      <w:marLeft w:val="0"/>
      <w:marRight w:val="0"/>
      <w:marTop w:val="0"/>
      <w:marBottom w:val="0"/>
      <w:divBdr>
        <w:top w:val="none" w:sz="0" w:space="0" w:color="auto"/>
        <w:left w:val="none" w:sz="0" w:space="0" w:color="auto"/>
        <w:bottom w:val="none" w:sz="0" w:space="0" w:color="auto"/>
        <w:right w:val="none" w:sz="0" w:space="0" w:color="auto"/>
      </w:divBdr>
      <w:divsChild>
        <w:div w:id="2116635325">
          <w:marLeft w:val="0"/>
          <w:marRight w:val="0"/>
          <w:marTop w:val="0"/>
          <w:marBottom w:val="0"/>
          <w:divBdr>
            <w:top w:val="none" w:sz="0" w:space="0" w:color="auto"/>
            <w:left w:val="none" w:sz="0" w:space="0" w:color="auto"/>
            <w:bottom w:val="none" w:sz="0" w:space="0" w:color="auto"/>
            <w:right w:val="none" w:sz="0" w:space="0" w:color="auto"/>
          </w:divBdr>
        </w:div>
      </w:divsChild>
    </w:div>
    <w:div w:id="1213151822">
      <w:bodyDiv w:val="1"/>
      <w:marLeft w:val="0"/>
      <w:marRight w:val="0"/>
      <w:marTop w:val="0"/>
      <w:marBottom w:val="0"/>
      <w:divBdr>
        <w:top w:val="none" w:sz="0" w:space="0" w:color="auto"/>
        <w:left w:val="none" w:sz="0" w:space="0" w:color="auto"/>
        <w:bottom w:val="none" w:sz="0" w:space="0" w:color="auto"/>
        <w:right w:val="none" w:sz="0" w:space="0" w:color="auto"/>
      </w:divBdr>
      <w:divsChild>
        <w:div w:id="1860701443">
          <w:marLeft w:val="0"/>
          <w:marRight w:val="0"/>
          <w:marTop w:val="0"/>
          <w:marBottom w:val="326"/>
          <w:divBdr>
            <w:top w:val="none" w:sz="0" w:space="0" w:color="auto"/>
            <w:left w:val="none" w:sz="0" w:space="0" w:color="auto"/>
            <w:bottom w:val="none" w:sz="0" w:space="0" w:color="auto"/>
            <w:right w:val="none" w:sz="0" w:space="0" w:color="auto"/>
          </w:divBdr>
        </w:div>
      </w:divsChild>
    </w:div>
    <w:div w:id="1220895906">
      <w:bodyDiv w:val="1"/>
      <w:marLeft w:val="0"/>
      <w:marRight w:val="0"/>
      <w:marTop w:val="0"/>
      <w:marBottom w:val="0"/>
      <w:divBdr>
        <w:top w:val="none" w:sz="0" w:space="0" w:color="auto"/>
        <w:left w:val="none" w:sz="0" w:space="0" w:color="auto"/>
        <w:bottom w:val="none" w:sz="0" w:space="0" w:color="auto"/>
        <w:right w:val="none" w:sz="0" w:space="0" w:color="auto"/>
      </w:divBdr>
      <w:divsChild>
        <w:div w:id="1599101450">
          <w:marLeft w:val="274"/>
          <w:marRight w:val="0"/>
          <w:marTop w:val="60"/>
          <w:marBottom w:val="60"/>
          <w:divBdr>
            <w:top w:val="none" w:sz="0" w:space="0" w:color="auto"/>
            <w:left w:val="none" w:sz="0" w:space="0" w:color="auto"/>
            <w:bottom w:val="none" w:sz="0" w:space="0" w:color="auto"/>
            <w:right w:val="none" w:sz="0" w:space="0" w:color="auto"/>
          </w:divBdr>
        </w:div>
      </w:divsChild>
    </w:div>
    <w:div w:id="1225330629">
      <w:bodyDiv w:val="1"/>
      <w:marLeft w:val="0"/>
      <w:marRight w:val="0"/>
      <w:marTop w:val="0"/>
      <w:marBottom w:val="0"/>
      <w:divBdr>
        <w:top w:val="none" w:sz="0" w:space="0" w:color="auto"/>
        <w:left w:val="none" w:sz="0" w:space="0" w:color="auto"/>
        <w:bottom w:val="none" w:sz="0" w:space="0" w:color="auto"/>
        <w:right w:val="none" w:sz="0" w:space="0" w:color="auto"/>
      </w:divBdr>
    </w:div>
    <w:div w:id="1268074814">
      <w:bodyDiv w:val="1"/>
      <w:marLeft w:val="0"/>
      <w:marRight w:val="0"/>
      <w:marTop w:val="0"/>
      <w:marBottom w:val="0"/>
      <w:divBdr>
        <w:top w:val="none" w:sz="0" w:space="0" w:color="auto"/>
        <w:left w:val="none" w:sz="0" w:space="0" w:color="auto"/>
        <w:bottom w:val="none" w:sz="0" w:space="0" w:color="auto"/>
        <w:right w:val="none" w:sz="0" w:space="0" w:color="auto"/>
      </w:divBdr>
    </w:div>
    <w:div w:id="1268854466">
      <w:bodyDiv w:val="1"/>
      <w:marLeft w:val="0"/>
      <w:marRight w:val="0"/>
      <w:marTop w:val="0"/>
      <w:marBottom w:val="0"/>
      <w:divBdr>
        <w:top w:val="none" w:sz="0" w:space="0" w:color="auto"/>
        <w:left w:val="none" w:sz="0" w:space="0" w:color="auto"/>
        <w:bottom w:val="none" w:sz="0" w:space="0" w:color="auto"/>
        <w:right w:val="none" w:sz="0" w:space="0" w:color="auto"/>
      </w:divBdr>
    </w:div>
    <w:div w:id="1294680514">
      <w:bodyDiv w:val="1"/>
      <w:marLeft w:val="0"/>
      <w:marRight w:val="0"/>
      <w:marTop w:val="0"/>
      <w:marBottom w:val="0"/>
      <w:divBdr>
        <w:top w:val="none" w:sz="0" w:space="0" w:color="auto"/>
        <w:left w:val="none" w:sz="0" w:space="0" w:color="auto"/>
        <w:bottom w:val="none" w:sz="0" w:space="0" w:color="auto"/>
        <w:right w:val="none" w:sz="0" w:space="0" w:color="auto"/>
      </w:divBdr>
    </w:div>
    <w:div w:id="1309432971">
      <w:bodyDiv w:val="1"/>
      <w:marLeft w:val="0"/>
      <w:marRight w:val="0"/>
      <w:marTop w:val="0"/>
      <w:marBottom w:val="0"/>
      <w:divBdr>
        <w:top w:val="none" w:sz="0" w:space="0" w:color="auto"/>
        <w:left w:val="none" w:sz="0" w:space="0" w:color="auto"/>
        <w:bottom w:val="none" w:sz="0" w:space="0" w:color="auto"/>
        <w:right w:val="none" w:sz="0" w:space="0" w:color="auto"/>
      </w:divBdr>
    </w:div>
    <w:div w:id="1314797885">
      <w:bodyDiv w:val="1"/>
      <w:marLeft w:val="0"/>
      <w:marRight w:val="0"/>
      <w:marTop w:val="0"/>
      <w:marBottom w:val="0"/>
      <w:divBdr>
        <w:top w:val="none" w:sz="0" w:space="0" w:color="auto"/>
        <w:left w:val="none" w:sz="0" w:space="0" w:color="auto"/>
        <w:bottom w:val="none" w:sz="0" w:space="0" w:color="auto"/>
        <w:right w:val="none" w:sz="0" w:space="0" w:color="auto"/>
      </w:divBdr>
      <w:divsChild>
        <w:div w:id="1181504747">
          <w:marLeft w:val="0"/>
          <w:marRight w:val="0"/>
          <w:marTop w:val="0"/>
          <w:marBottom w:val="326"/>
          <w:divBdr>
            <w:top w:val="none" w:sz="0" w:space="0" w:color="auto"/>
            <w:left w:val="none" w:sz="0" w:space="0" w:color="auto"/>
            <w:bottom w:val="none" w:sz="0" w:space="0" w:color="auto"/>
            <w:right w:val="none" w:sz="0" w:space="0" w:color="auto"/>
          </w:divBdr>
        </w:div>
      </w:divsChild>
    </w:div>
    <w:div w:id="1322150846">
      <w:bodyDiv w:val="1"/>
      <w:marLeft w:val="0"/>
      <w:marRight w:val="0"/>
      <w:marTop w:val="0"/>
      <w:marBottom w:val="0"/>
      <w:divBdr>
        <w:top w:val="none" w:sz="0" w:space="0" w:color="auto"/>
        <w:left w:val="none" w:sz="0" w:space="0" w:color="auto"/>
        <w:bottom w:val="none" w:sz="0" w:space="0" w:color="auto"/>
        <w:right w:val="none" w:sz="0" w:space="0" w:color="auto"/>
      </w:divBdr>
    </w:div>
    <w:div w:id="1322270829">
      <w:bodyDiv w:val="1"/>
      <w:marLeft w:val="0"/>
      <w:marRight w:val="0"/>
      <w:marTop w:val="0"/>
      <w:marBottom w:val="0"/>
      <w:divBdr>
        <w:top w:val="none" w:sz="0" w:space="0" w:color="auto"/>
        <w:left w:val="none" w:sz="0" w:space="0" w:color="auto"/>
        <w:bottom w:val="none" w:sz="0" w:space="0" w:color="auto"/>
        <w:right w:val="none" w:sz="0" w:space="0" w:color="auto"/>
      </w:divBdr>
    </w:div>
    <w:div w:id="1331757235">
      <w:bodyDiv w:val="1"/>
      <w:marLeft w:val="0"/>
      <w:marRight w:val="0"/>
      <w:marTop w:val="0"/>
      <w:marBottom w:val="0"/>
      <w:divBdr>
        <w:top w:val="none" w:sz="0" w:space="0" w:color="auto"/>
        <w:left w:val="none" w:sz="0" w:space="0" w:color="auto"/>
        <w:bottom w:val="none" w:sz="0" w:space="0" w:color="auto"/>
        <w:right w:val="none" w:sz="0" w:space="0" w:color="auto"/>
      </w:divBdr>
      <w:divsChild>
        <w:div w:id="42019678">
          <w:marLeft w:val="446"/>
          <w:marRight w:val="0"/>
          <w:marTop w:val="60"/>
          <w:marBottom w:val="60"/>
          <w:divBdr>
            <w:top w:val="none" w:sz="0" w:space="0" w:color="auto"/>
            <w:left w:val="none" w:sz="0" w:space="0" w:color="auto"/>
            <w:bottom w:val="none" w:sz="0" w:space="0" w:color="auto"/>
            <w:right w:val="none" w:sz="0" w:space="0" w:color="auto"/>
          </w:divBdr>
        </w:div>
      </w:divsChild>
    </w:div>
    <w:div w:id="1346207338">
      <w:bodyDiv w:val="1"/>
      <w:marLeft w:val="0"/>
      <w:marRight w:val="0"/>
      <w:marTop w:val="0"/>
      <w:marBottom w:val="0"/>
      <w:divBdr>
        <w:top w:val="none" w:sz="0" w:space="0" w:color="auto"/>
        <w:left w:val="none" w:sz="0" w:space="0" w:color="auto"/>
        <w:bottom w:val="none" w:sz="0" w:space="0" w:color="auto"/>
        <w:right w:val="none" w:sz="0" w:space="0" w:color="auto"/>
      </w:divBdr>
      <w:divsChild>
        <w:div w:id="592518505">
          <w:marLeft w:val="0"/>
          <w:marRight w:val="0"/>
          <w:marTop w:val="0"/>
          <w:marBottom w:val="326"/>
          <w:divBdr>
            <w:top w:val="none" w:sz="0" w:space="0" w:color="auto"/>
            <w:left w:val="none" w:sz="0" w:space="0" w:color="auto"/>
            <w:bottom w:val="none" w:sz="0" w:space="0" w:color="auto"/>
            <w:right w:val="none" w:sz="0" w:space="0" w:color="auto"/>
          </w:divBdr>
        </w:div>
      </w:divsChild>
    </w:div>
    <w:div w:id="1349213658">
      <w:bodyDiv w:val="1"/>
      <w:marLeft w:val="0"/>
      <w:marRight w:val="0"/>
      <w:marTop w:val="0"/>
      <w:marBottom w:val="0"/>
      <w:divBdr>
        <w:top w:val="none" w:sz="0" w:space="0" w:color="auto"/>
        <w:left w:val="none" w:sz="0" w:space="0" w:color="auto"/>
        <w:bottom w:val="none" w:sz="0" w:space="0" w:color="auto"/>
        <w:right w:val="none" w:sz="0" w:space="0" w:color="auto"/>
      </w:divBdr>
      <w:divsChild>
        <w:div w:id="864637056">
          <w:marLeft w:val="0"/>
          <w:marRight w:val="0"/>
          <w:marTop w:val="0"/>
          <w:marBottom w:val="326"/>
          <w:divBdr>
            <w:top w:val="none" w:sz="0" w:space="0" w:color="auto"/>
            <w:left w:val="none" w:sz="0" w:space="0" w:color="auto"/>
            <w:bottom w:val="none" w:sz="0" w:space="0" w:color="auto"/>
            <w:right w:val="none" w:sz="0" w:space="0" w:color="auto"/>
          </w:divBdr>
        </w:div>
      </w:divsChild>
    </w:div>
    <w:div w:id="1365204274">
      <w:bodyDiv w:val="1"/>
      <w:marLeft w:val="0"/>
      <w:marRight w:val="0"/>
      <w:marTop w:val="0"/>
      <w:marBottom w:val="0"/>
      <w:divBdr>
        <w:top w:val="none" w:sz="0" w:space="0" w:color="auto"/>
        <w:left w:val="none" w:sz="0" w:space="0" w:color="auto"/>
        <w:bottom w:val="none" w:sz="0" w:space="0" w:color="auto"/>
        <w:right w:val="none" w:sz="0" w:space="0" w:color="auto"/>
      </w:divBdr>
    </w:div>
    <w:div w:id="1368481005">
      <w:bodyDiv w:val="1"/>
      <w:marLeft w:val="0"/>
      <w:marRight w:val="0"/>
      <w:marTop w:val="0"/>
      <w:marBottom w:val="0"/>
      <w:divBdr>
        <w:top w:val="none" w:sz="0" w:space="0" w:color="auto"/>
        <w:left w:val="none" w:sz="0" w:space="0" w:color="auto"/>
        <w:bottom w:val="none" w:sz="0" w:space="0" w:color="auto"/>
        <w:right w:val="none" w:sz="0" w:space="0" w:color="auto"/>
      </w:divBdr>
    </w:div>
    <w:div w:id="1373505889">
      <w:bodyDiv w:val="1"/>
      <w:marLeft w:val="0"/>
      <w:marRight w:val="0"/>
      <w:marTop w:val="0"/>
      <w:marBottom w:val="0"/>
      <w:divBdr>
        <w:top w:val="none" w:sz="0" w:space="0" w:color="auto"/>
        <w:left w:val="none" w:sz="0" w:space="0" w:color="auto"/>
        <w:bottom w:val="none" w:sz="0" w:space="0" w:color="auto"/>
        <w:right w:val="none" w:sz="0" w:space="0" w:color="auto"/>
      </w:divBdr>
    </w:div>
    <w:div w:id="1379432489">
      <w:bodyDiv w:val="1"/>
      <w:marLeft w:val="0"/>
      <w:marRight w:val="0"/>
      <w:marTop w:val="0"/>
      <w:marBottom w:val="0"/>
      <w:divBdr>
        <w:top w:val="none" w:sz="0" w:space="0" w:color="auto"/>
        <w:left w:val="none" w:sz="0" w:space="0" w:color="auto"/>
        <w:bottom w:val="none" w:sz="0" w:space="0" w:color="auto"/>
        <w:right w:val="none" w:sz="0" w:space="0" w:color="auto"/>
      </w:divBdr>
    </w:div>
    <w:div w:id="1393118061">
      <w:bodyDiv w:val="1"/>
      <w:marLeft w:val="204"/>
      <w:marRight w:val="204"/>
      <w:marTop w:val="204"/>
      <w:marBottom w:val="204"/>
      <w:divBdr>
        <w:top w:val="none" w:sz="0" w:space="0" w:color="auto"/>
        <w:left w:val="none" w:sz="0" w:space="0" w:color="auto"/>
        <w:bottom w:val="none" w:sz="0" w:space="0" w:color="auto"/>
        <w:right w:val="none" w:sz="0" w:space="0" w:color="auto"/>
      </w:divBdr>
      <w:divsChild>
        <w:div w:id="1215579280">
          <w:marLeft w:val="0"/>
          <w:marRight w:val="0"/>
          <w:marTop w:val="0"/>
          <w:marBottom w:val="326"/>
          <w:divBdr>
            <w:top w:val="none" w:sz="0" w:space="0" w:color="auto"/>
            <w:left w:val="none" w:sz="0" w:space="0" w:color="auto"/>
            <w:bottom w:val="none" w:sz="0" w:space="0" w:color="auto"/>
            <w:right w:val="none" w:sz="0" w:space="0" w:color="auto"/>
          </w:divBdr>
        </w:div>
      </w:divsChild>
    </w:div>
    <w:div w:id="1404329505">
      <w:bodyDiv w:val="1"/>
      <w:marLeft w:val="0"/>
      <w:marRight w:val="0"/>
      <w:marTop w:val="0"/>
      <w:marBottom w:val="0"/>
      <w:divBdr>
        <w:top w:val="none" w:sz="0" w:space="0" w:color="auto"/>
        <w:left w:val="none" w:sz="0" w:space="0" w:color="auto"/>
        <w:bottom w:val="none" w:sz="0" w:space="0" w:color="auto"/>
        <w:right w:val="none" w:sz="0" w:space="0" w:color="auto"/>
      </w:divBdr>
    </w:div>
    <w:div w:id="1417284991">
      <w:bodyDiv w:val="1"/>
      <w:marLeft w:val="0"/>
      <w:marRight w:val="0"/>
      <w:marTop w:val="0"/>
      <w:marBottom w:val="0"/>
      <w:divBdr>
        <w:top w:val="none" w:sz="0" w:space="0" w:color="auto"/>
        <w:left w:val="none" w:sz="0" w:space="0" w:color="auto"/>
        <w:bottom w:val="none" w:sz="0" w:space="0" w:color="auto"/>
        <w:right w:val="none" w:sz="0" w:space="0" w:color="auto"/>
      </w:divBdr>
    </w:div>
    <w:div w:id="1428621178">
      <w:bodyDiv w:val="1"/>
      <w:marLeft w:val="0"/>
      <w:marRight w:val="0"/>
      <w:marTop w:val="0"/>
      <w:marBottom w:val="0"/>
      <w:divBdr>
        <w:top w:val="none" w:sz="0" w:space="0" w:color="auto"/>
        <w:left w:val="none" w:sz="0" w:space="0" w:color="auto"/>
        <w:bottom w:val="none" w:sz="0" w:space="0" w:color="auto"/>
        <w:right w:val="none" w:sz="0" w:space="0" w:color="auto"/>
      </w:divBdr>
    </w:div>
    <w:div w:id="1431699516">
      <w:bodyDiv w:val="1"/>
      <w:marLeft w:val="0"/>
      <w:marRight w:val="0"/>
      <w:marTop w:val="0"/>
      <w:marBottom w:val="0"/>
      <w:divBdr>
        <w:top w:val="none" w:sz="0" w:space="0" w:color="auto"/>
        <w:left w:val="none" w:sz="0" w:space="0" w:color="auto"/>
        <w:bottom w:val="none" w:sz="0" w:space="0" w:color="auto"/>
        <w:right w:val="none" w:sz="0" w:space="0" w:color="auto"/>
      </w:divBdr>
      <w:divsChild>
        <w:div w:id="1893997048">
          <w:marLeft w:val="0"/>
          <w:marRight w:val="0"/>
          <w:marTop w:val="0"/>
          <w:marBottom w:val="326"/>
          <w:divBdr>
            <w:top w:val="none" w:sz="0" w:space="0" w:color="auto"/>
            <w:left w:val="none" w:sz="0" w:space="0" w:color="auto"/>
            <w:bottom w:val="none" w:sz="0" w:space="0" w:color="auto"/>
            <w:right w:val="none" w:sz="0" w:space="0" w:color="auto"/>
          </w:divBdr>
        </w:div>
      </w:divsChild>
    </w:div>
    <w:div w:id="1434400723">
      <w:bodyDiv w:val="1"/>
      <w:marLeft w:val="0"/>
      <w:marRight w:val="0"/>
      <w:marTop w:val="0"/>
      <w:marBottom w:val="0"/>
      <w:divBdr>
        <w:top w:val="none" w:sz="0" w:space="0" w:color="auto"/>
        <w:left w:val="none" w:sz="0" w:space="0" w:color="auto"/>
        <w:bottom w:val="none" w:sz="0" w:space="0" w:color="auto"/>
        <w:right w:val="none" w:sz="0" w:space="0" w:color="auto"/>
      </w:divBdr>
    </w:div>
    <w:div w:id="1449616587">
      <w:bodyDiv w:val="1"/>
      <w:marLeft w:val="0"/>
      <w:marRight w:val="0"/>
      <w:marTop w:val="0"/>
      <w:marBottom w:val="0"/>
      <w:divBdr>
        <w:top w:val="none" w:sz="0" w:space="0" w:color="auto"/>
        <w:left w:val="none" w:sz="0" w:space="0" w:color="auto"/>
        <w:bottom w:val="none" w:sz="0" w:space="0" w:color="auto"/>
        <w:right w:val="none" w:sz="0" w:space="0" w:color="auto"/>
      </w:divBdr>
      <w:divsChild>
        <w:div w:id="31199749">
          <w:marLeft w:val="0"/>
          <w:marRight w:val="0"/>
          <w:marTop w:val="0"/>
          <w:marBottom w:val="0"/>
          <w:divBdr>
            <w:top w:val="none" w:sz="0" w:space="0" w:color="auto"/>
            <w:left w:val="none" w:sz="0" w:space="0" w:color="auto"/>
            <w:bottom w:val="none" w:sz="0" w:space="0" w:color="auto"/>
            <w:right w:val="none" w:sz="0" w:space="0" w:color="auto"/>
          </w:divBdr>
        </w:div>
      </w:divsChild>
    </w:div>
    <w:div w:id="1452820625">
      <w:bodyDiv w:val="1"/>
      <w:marLeft w:val="0"/>
      <w:marRight w:val="0"/>
      <w:marTop w:val="0"/>
      <w:marBottom w:val="0"/>
      <w:divBdr>
        <w:top w:val="none" w:sz="0" w:space="0" w:color="auto"/>
        <w:left w:val="none" w:sz="0" w:space="0" w:color="auto"/>
        <w:bottom w:val="none" w:sz="0" w:space="0" w:color="auto"/>
        <w:right w:val="none" w:sz="0" w:space="0" w:color="auto"/>
      </w:divBdr>
      <w:divsChild>
        <w:div w:id="147215004">
          <w:marLeft w:val="0"/>
          <w:marRight w:val="0"/>
          <w:marTop w:val="0"/>
          <w:marBottom w:val="0"/>
          <w:divBdr>
            <w:top w:val="none" w:sz="0" w:space="0" w:color="auto"/>
            <w:left w:val="none" w:sz="0" w:space="0" w:color="auto"/>
            <w:bottom w:val="none" w:sz="0" w:space="0" w:color="auto"/>
            <w:right w:val="none" w:sz="0" w:space="0" w:color="auto"/>
          </w:divBdr>
          <w:divsChild>
            <w:div w:id="1006175306">
              <w:marLeft w:val="0"/>
              <w:marRight w:val="0"/>
              <w:marTop w:val="0"/>
              <w:marBottom w:val="0"/>
              <w:divBdr>
                <w:top w:val="none" w:sz="0" w:space="0" w:color="auto"/>
                <w:left w:val="none" w:sz="0" w:space="0" w:color="auto"/>
                <w:bottom w:val="none" w:sz="0" w:space="0" w:color="auto"/>
                <w:right w:val="none" w:sz="0" w:space="0" w:color="auto"/>
              </w:divBdr>
              <w:divsChild>
                <w:div w:id="10303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594000">
      <w:bodyDiv w:val="1"/>
      <w:marLeft w:val="0"/>
      <w:marRight w:val="0"/>
      <w:marTop w:val="0"/>
      <w:marBottom w:val="0"/>
      <w:divBdr>
        <w:top w:val="none" w:sz="0" w:space="0" w:color="auto"/>
        <w:left w:val="none" w:sz="0" w:space="0" w:color="auto"/>
        <w:bottom w:val="none" w:sz="0" w:space="0" w:color="auto"/>
        <w:right w:val="none" w:sz="0" w:space="0" w:color="auto"/>
      </w:divBdr>
    </w:div>
    <w:div w:id="1455640787">
      <w:bodyDiv w:val="1"/>
      <w:marLeft w:val="0"/>
      <w:marRight w:val="0"/>
      <w:marTop w:val="0"/>
      <w:marBottom w:val="0"/>
      <w:divBdr>
        <w:top w:val="none" w:sz="0" w:space="0" w:color="auto"/>
        <w:left w:val="none" w:sz="0" w:space="0" w:color="auto"/>
        <w:bottom w:val="none" w:sz="0" w:space="0" w:color="auto"/>
        <w:right w:val="none" w:sz="0" w:space="0" w:color="auto"/>
      </w:divBdr>
    </w:div>
    <w:div w:id="1461220419">
      <w:bodyDiv w:val="1"/>
      <w:marLeft w:val="0"/>
      <w:marRight w:val="0"/>
      <w:marTop w:val="0"/>
      <w:marBottom w:val="0"/>
      <w:divBdr>
        <w:top w:val="none" w:sz="0" w:space="0" w:color="auto"/>
        <w:left w:val="none" w:sz="0" w:space="0" w:color="auto"/>
        <w:bottom w:val="none" w:sz="0" w:space="0" w:color="auto"/>
        <w:right w:val="none" w:sz="0" w:space="0" w:color="auto"/>
      </w:divBdr>
    </w:div>
    <w:div w:id="1478570988">
      <w:bodyDiv w:val="1"/>
      <w:marLeft w:val="0"/>
      <w:marRight w:val="0"/>
      <w:marTop w:val="0"/>
      <w:marBottom w:val="0"/>
      <w:divBdr>
        <w:top w:val="none" w:sz="0" w:space="0" w:color="auto"/>
        <w:left w:val="none" w:sz="0" w:space="0" w:color="auto"/>
        <w:bottom w:val="none" w:sz="0" w:space="0" w:color="auto"/>
        <w:right w:val="none" w:sz="0" w:space="0" w:color="auto"/>
      </w:divBdr>
    </w:div>
    <w:div w:id="1478768646">
      <w:bodyDiv w:val="1"/>
      <w:marLeft w:val="0"/>
      <w:marRight w:val="0"/>
      <w:marTop w:val="0"/>
      <w:marBottom w:val="0"/>
      <w:divBdr>
        <w:top w:val="none" w:sz="0" w:space="0" w:color="auto"/>
        <w:left w:val="none" w:sz="0" w:space="0" w:color="auto"/>
        <w:bottom w:val="none" w:sz="0" w:space="0" w:color="auto"/>
        <w:right w:val="none" w:sz="0" w:space="0" w:color="auto"/>
      </w:divBdr>
      <w:divsChild>
        <w:div w:id="1953974016">
          <w:marLeft w:val="0"/>
          <w:marRight w:val="0"/>
          <w:marTop w:val="0"/>
          <w:marBottom w:val="326"/>
          <w:divBdr>
            <w:top w:val="none" w:sz="0" w:space="0" w:color="auto"/>
            <w:left w:val="none" w:sz="0" w:space="0" w:color="auto"/>
            <w:bottom w:val="none" w:sz="0" w:space="0" w:color="auto"/>
            <w:right w:val="none" w:sz="0" w:space="0" w:color="auto"/>
          </w:divBdr>
        </w:div>
      </w:divsChild>
    </w:div>
    <w:div w:id="1513837206">
      <w:bodyDiv w:val="1"/>
      <w:marLeft w:val="0"/>
      <w:marRight w:val="0"/>
      <w:marTop w:val="0"/>
      <w:marBottom w:val="0"/>
      <w:divBdr>
        <w:top w:val="none" w:sz="0" w:space="0" w:color="auto"/>
        <w:left w:val="none" w:sz="0" w:space="0" w:color="auto"/>
        <w:bottom w:val="none" w:sz="0" w:space="0" w:color="auto"/>
        <w:right w:val="none" w:sz="0" w:space="0" w:color="auto"/>
      </w:divBdr>
    </w:div>
    <w:div w:id="1515463200">
      <w:bodyDiv w:val="1"/>
      <w:marLeft w:val="0"/>
      <w:marRight w:val="0"/>
      <w:marTop w:val="0"/>
      <w:marBottom w:val="0"/>
      <w:divBdr>
        <w:top w:val="none" w:sz="0" w:space="0" w:color="auto"/>
        <w:left w:val="none" w:sz="0" w:space="0" w:color="auto"/>
        <w:bottom w:val="none" w:sz="0" w:space="0" w:color="auto"/>
        <w:right w:val="none" w:sz="0" w:space="0" w:color="auto"/>
      </w:divBdr>
    </w:div>
    <w:div w:id="1530221022">
      <w:bodyDiv w:val="1"/>
      <w:marLeft w:val="0"/>
      <w:marRight w:val="0"/>
      <w:marTop w:val="0"/>
      <w:marBottom w:val="0"/>
      <w:divBdr>
        <w:top w:val="none" w:sz="0" w:space="0" w:color="auto"/>
        <w:left w:val="none" w:sz="0" w:space="0" w:color="auto"/>
        <w:bottom w:val="none" w:sz="0" w:space="0" w:color="auto"/>
        <w:right w:val="none" w:sz="0" w:space="0" w:color="auto"/>
      </w:divBdr>
      <w:divsChild>
        <w:div w:id="1295915232">
          <w:marLeft w:val="0"/>
          <w:marRight w:val="0"/>
          <w:marTop w:val="0"/>
          <w:marBottom w:val="326"/>
          <w:divBdr>
            <w:top w:val="none" w:sz="0" w:space="0" w:color="auto"/>
            <w:left w:val="none" w:sz="0" w:space="0" w:color="auto"/>
            <w:bottom w:val="none" w:sz="0" w:space="0" w:color="auto"/>
            <w:right w:val="none" w:sz="0" w:space="0" w:color="auto"/>
          </w:divBdr>
        </w:div>
      </w:divsChild>
    </w:div>
    <w:div w:id="1558122405">
      <w:bodyDiv w:val="1"/>
      <w:marLeft w:val="0"/>
      <w:marRight w:val="0"/>
      <w:marTop w:val="0"/>
      <w:marBottom w:val="0"/>
      <w:divBdr>
        <w:top w:val="none" w:sz="0" w:space="0" w:color="auto"/>
        <w:left w:val="none" w:sz="0" w:space="0" w:color="auto"/>
        <w:bottom w:val="none" w:sz="0" w:space="0" w:color="auto"/>
        <w:right w:val="none" w:sz="0" w:space="0" w:color="auto"/>
      </w:divBdr>
      <w:divsChild>
        <w:div w:id="1414281262">
          <w:marLeft w:val="0"/>
          <w:marRight w:val="0"/>
          <w:marTop w:val="0"/>
          <w:marBottom w:val="0"/>
          <w:divBdr>
            <w:top w:val="none" w:sz="0" w:space="0" w:color="auto"/>
            <w:left w:val="none" w:sz="0" w:space="0" w:color="auto"/>
            <w:bottom w:val="none" w:sz="0" w:space="0" w:color="auto"/>
            <w:right w:val="none" w:sz="0" w:space="0" w:color="auto"/>
          </w:divBdr>
        </w:div>
      </w:divsChild>
    </w:div>
    <w:div w:id="1564684182">
      <w:bodyDiv w:val="1"/>
      <w:marLeft w:val="0"/>
      <w:marRight w:val="0"/>
      <w:marTop w:val="0"/>
      <w:marBottom w:val="0"/>
      <w:divBdr>
        <w:top w:val="none" w:sz="0" w:space="0" w:color="auto"/>
        <w:left w:val="none" w:sz="0" w:space="0" w:color="auto"/>
        <w:bottom w:val="none" w:sz="0" w:space="0" w:color="auto"/>
        <w:right w:val="none" w:sz="0" w:space="0" w:color="auto"/>
      </w:divBdr>
    </w:div>
    <w:div w:id="1565604209">
      <w:bodyDiv w:val="1"/>
      <w:marLeft w:val="0"/>
      <w:marRight w:val="0"/>
      <w:marTop w:val="0"/>
      <w:marBottom w:val="0"/>
      <w:divBdr>
        <w:top w:val="none" w:sz="0" w:space="0" w:color="auto"/>
        <w:left w:val="none" w:sz="0" w:space="0" w:color="auto"/>
        <w:bottom w:val="none" w:sz="0" w:space="0" w:color="auto"/>
        <w:right w:val="none" w:sz="0" w:space="0" w:color="auto"/>
      </w:divBdr>
    </w:div>
    <w:div w:id="1581914691">
      <w:bodyDiv w:val="1"/>
      <w:marLeft w:val="0"/>
      <w:marRight w:val="0"/>
      <w:marTop w:val="0"/>
      <w:marBottom w:val="0"/>
      <w:divBdr>
        <w:top w:val="none" w:sz="0" w:space="0" w:color="auto"/>
        <w:left w:val="none" w:sz="0" w:space="0" w:color="auto"/>
        <w:bottom w:val="none" w:sz="0" w:space="0" w:color="auto"/>
        <w:right w:val="none" w:sz="0" w:space="0" w:color="auto"/>
      </w:divBdr>
    </w:div>
    <w:div w:id="1594900667">
      <w:bodyDiv w:val="1"/>
      <w:marLeft w:val="0"/>
      <w:marRight w:val="0"/>
      <w:marTop w:val="0"/>
      <w:marBottom w:val="0"/>
      <w:divBdr>
        <w:top w:val="none" w:sz="0" w:space="0" w:color="auto"/>
        <w:left w:val="none" w:sz="0" w:space="0" w:color="auto"/>
        <w:bottom w:val="none" w:sz="0" w:space="0" w:color="auto"/>
        <w:right w:val="none" w:sz="0" w:space="0" w:color="auto"/>
      </w:divBdr>
      <w:divsChild>
        <w:div w:id="1029063053">
          <w:marLeft w:val="274"/>
          <w:marRight w:val="0"/>
          <w:marTop w:val="60"/>
          <w:marBottom w:val="60"/>
          <w:divBdr>
            <w:top w:val="none" w:sz="0" w:space="0" w:color="auto"/>
            <w:left w:val="none" w:sz="0" w:space="0" w:color="auto"/>
            <w:bottom w:val="none" w:sz="0" w:space="0" w:color="auto"/>
            <w:right w:val="none" w:sz="0" w:space="0" w:color="auto"/>
          </w:divBdr>
        </w:div>
      </w:divsChild>
    </w:div>
    <w:div w:id="1603807236">
      <w:bodyDiv w:val="1"/>
      <w:marLeft w:val="0"/>
      <w:marRight w:val="0"/>
      <w:marTop w:val="0"/>
      <w:marBottom w:val="0"/>
      <w:divBdr>
        <w:top w:val="none" w:sz="0" w:space="0" w:color="auto"/>
        <w:left w:val="none" w:sz="0" w:space="0" w:color="auto"/>
        <w:bottom w:val="none" w:sz="0" w:space="0" w:color="auto"/>
        <w:right w:val="none" w:sz="0" w:space="0" w:color="auto"/>
      </w:divBdr>
    </w:div>
    <w:div w:id="1609242196">
      <w:bodyDiv w:val="1"/>
      <w:marLeft w:val="0"/>
      <w:marRight w:val="0"/>
      <w:marTop w:val="0"/>
      <w:marBottom w:val="0"/>
      <w:divBdr>
        <w:top w:val="none" w:sz="0" w:space="0" w:color="auto"/>
        <w:left w:val="none" w:sz="0" w:space="0" w:color="auto"/>
        <w:bottom w:val="none" w:sz="0" w:space="0" w:color="auto"/>
        <w:right w:val="none" w:sz="0" w:space="0" w:color="auto"/>
      </w:divBdr>
    </w:div>
    <w:div w:id="1610158108">
      <w:bodyDiv w:val="1"/>
      <w:marLeft w:val="0"/>
      <w:marRight w:val="0"/>
      <w:marTop w:val="0"/>
      <w:marBottom w:val="0"/>
      <w:divBdr>
        <w:top w:val="none" w:sz="0" w:space="0" w:color="auto"/>
        <w:left w:val="none" w:sz="0" w:space="0" w:color="auto"/>
        <w:bottom w:val="none" w:sz="0" w:space="0" w:color="auto"/>
        <w:right w:val="none" w:sz="0" w:space="0" w:color="auto"/>
      </w:divBdr>
      <w:divsChild>
        <w:div w:id="1745830899">
          <w:marLeft w:val="0"/>
          <w:marRight w:val="0"/>
          <w:marTop w:val="0"/>
          <w:marBottom w:val="326"/>
          <w:divBdr>
            <w:top w:val="none" w:sz="0" w:space="0" w:color="auto"/>
            <w:left w:val="none" w:sz="0" w:space="0" w:color="auto"/>
            <w:bottom w:val="none" w:sz="0" w:space="0" w:color="auto"/>
            <w:right w:val="none" w:sz="0" w:space="0" w:color="auto"/>
          </w:divBdr>
        </w:div>
      </w:divsChild>
    </w:div>
    <w:div w:id="1618677159">
      <w:bodyDiv w:val="1"/>
      <w:marLeft w:val="0"/>
      <w:marRight w:val="0"/>
      <w:marTop w:val="0"/>
      <w:marBottom w:val="0"/>
      <w:divBdr>
        <w:top w:val="none" w:sz="0" w:space="0" w:color="auto"/>
        <w:left w:val="none" w:sz="0" w:space="0" w:color="auto"/>
        <w:bottom w:val="none" w:sz="0" w:space="0" w:color="auto"/>
        <w:right w:val="none" w:sz="0" w:space="0" w:color="auto"/>
      </w:divBdr>
    </w:div>
    <w:div w:id="1633515365">
      <w:bodyDiv w:val="1"/>
      <w:marLeft w:val="0"/>
      <w:marRight w:val="0"/>
      <w:marTop w:val="0"/>
      <w:marBottom w:val="0"/>
      <w:divBdr>
        <w:top w:val="none" w:sz="0" w:space="0" w:color="auto"/>
        <w:left w:val="none" w:sz="0" w:space="0" w:color="auto"/>
        <w:bottom w:val="none" w:sz="0" w:space="0" w:color="auto"/>
        <w:right w:val="none" w:sz="0" w:space="0" w:color="auto"/>
      </w:divBdr>
    </w:div>
    <w:div w:id="1638603083">
      <w:bodyDiv w:val="1"/>
      <w:marLeft w:val="0"/>
      <w:marRight w:val="0"/>
      <w:marTop w:val="0"/>
      <w:marBottom w:val="0"/>
      <w:divBdr>
        <w:top w:val="none" w:sz="0" w:space="0" w:color="auto"/>
        <w:left w:val="none" w:sz="0" w:space="0" w:color="auto"/>
        <w:bottom w:val="none" w:sz="0" w:space="0" w:color="auto"/>
        <w:right w:val="none" w:sz="0" w:space="0" w:color="auto"/>
      </w:divBdr>
    </w:div>
    <w:div w:id="1640577304">
      <w:bodyDiv w:val="1"/>
      <w:marLeft w:val="0"/>
      <w:marRight w:val="0"/>
      <w:marTop w:val="0"/>
      <w:marBottom w:val="0"/>
      <w:divBdr>
        <w:top w:val="none" w:sz="0" w:space="0" w:color="auto"/>
        <w:left w:val="none" w:sz="0" w:space="0" w:color="auto"/>
        <w:bottom w:val="none" w:sz="0" w:space="0" w:color="auto"/>
        <w:right w:val="none" w:sz="0" w:space="0" w:color="auto"/>
      </w:divBdr>
    </w:div>
    <w:div w:id="1653366454">
      <w:bodyDiv w:val="1"/>
      <w:marLeft w:val="0"/>
      <w:marRight w:val="0"/>
      <w:marTop w:val="0"/>
      <w:marBottom w:val="0"/>
      <w:divBdr>
        <w:top w:val="none" w:sz="0" w:space="0" w:color="auto"/>
        <w:left w:val="none" w:sz="0" w:space="0" w:color="auto"/>
        <w:bottom w:val="none" w:sz="0" w:space="0" w:color="auto"/>
        <w:right w:val="none" w:sz="0" w:space="0" w:color="auto"/>
      </w:divBdr>
    </w:div>
    <w:div w:id="1656030823">
      <w:bodyDiv w:val="1"/>
      <w:marLeft w:val="0"/>
      <w:marRight w:val="0"/>
      <w:marTop w:val="0"/>
      <w:marBottom w:val="0"/>
      <w:divBdr>
        <w:top w:val="none" w:sz="0" w:space="0" w:color="auto"/>
        <w:left w:val="none" w:sz="0" w:space="0" w:color="auto"/>
        <w:bottom w:val="none" w:sz="0" w:space="0" w:color="auto"/>
        <w:right w:val="none" w:sz="0" w:space="0" w:color="auto"/>
      </w:divBdr>
      <w:divsChild>
        <w:div w:id="262109639">
          <w:marLeft w:val="274"/>
          <w:marRight w:val="0"/>
          <w:marTop w:val="0"/>
          <w:marBottom w:val="60"/>
          <w:divBdr>
            <w:top w:val="none" w:sz="0" w:space="0" w:color="auto"/>
            <w:left w:val="none" w:sz="0" w:space="0" w:color="auto"/>
            <w:bottom w:val="none" w:sz="0" w:space="0" w:color="auto"/>
            <w:right w:val="none" w:sz="0" w:space="0" w:color="auto"/>
          </w:divBdr>
        </w:div>
        <w:div w:id="760562358">
          <w:marLeft w:val="274"/>
          <w:marRight w:val="0"/>
          <w:marTop w:val="0"/>
          <w:marBottom w:val="60"/>
          <w:divBdr>
            <w:top w:val="none" w:sz="0" w:space="0" w:color="auto"/>
            <w:left w:val="none" w:sz="0" w:space="0" w:color="auto"/>
            <w:bottom w:val="none" w:sz="0" w:space="0" w:color="auto"/>
            <w:right w:val="none" w:sz="0" w:space="0" w:color="auto"/>
          </w:divBdr>
        </w:div>
        <w:div w:id="1109081822">
          <w:marLeft w:val="274"/>
          <w:marRight w:val="0"/>
          <w:marTop w:val="0"/>
          <w:marBottom w:val="60"/>
          <w:divBdr>
            <w:top w:val="none" w:sz="0" w:space="0" w:color="auto"/>
            <w:left w:val="none" w:sz="0" w:space="0" w:color="auto"/>
            <w:bottom w:val="none" w:sz="0" w:space="0" w:color="auto"/>
            <w:right w:val="none" w:sz="0" w:space="0" w:color="auto"/>
          </w:divBdr>
        </w:div>
      </w:divsChild>
    </w:div>
    <w:div w:id="1665477790">
      <w:bodyDiv w:val="1"/>
      <w:marLeft w:val="0"/>
      <w:marRight w:val="0"/>
      <w:marTop w:val="0"/>
      <w:marBottom w:val="0"/>
      <w:divBdr>
        <w:top w:val="none" w:sz="0" w:space="0" w:color="auto"/>
        <w:left w:val="none" w:sz="0" w:space="0" w:color="auto"/>
        <w:bottom w:val="none" w:sz="0" w:space="0" w:color="auto"/>
        <w:right w:val="none" w:sz="0" w:space="0" w:color="auto"/>
      </w:divBdr>
    </w:div>
    <w:div w:id="1666589668">
      <w:bodyDiv w:val="1"/>
      <w:marLeft w:val="0"/>
      <w:marRight w:val="0"/>
      <w:marTop w:val="0"/>
      <w:marBottom w:val="0"/>
      <w:divBdr>
        <w:top w:val="none" w:sz="0" w:space="0" w:color="auto"/>
        <w:left w:val="none" w:sz="0" w:space="0" w:color="auto"/>
        <w:bottom w:val="none" w:sz="0" w:space="0" w:color="auto"/>
        <w:right w:val="none" w:sz="0" w:space="0" w:color="auto"/>
      </w:divBdr>
    </w:div>
    <w:div w:id="1679766790">
      <w:bodyDiv w:val="1"/>
      <w:marLeft w:val="0"/>
      <w:marRight w:val="0"/>
      <w:marTop w:val="0"/>
      <w:marBottom w:val="0"/>
      <w:divBdr>
        <w:top w:val="none" w:sz="0" w:space="0" w:color="auto"/>
        <w:left w:val="none" w:sz="0" w:space="0" w:color="auto"/>
        <w:bottom w:val="none" w:sz="0" w:space="0" w:color="auto"/>
        <w:right w:val="none" w:sz="0" w:space="0" w:color="auto"/>
      </w:divBdr>
    </w:div>
    <w:div w:id="1680429390">
      <w:bodyDiv w:val="1"/>
      <w:marLeft w:val="0"/>
      <w:marRight w:val="0"/>
      <w:marTop w:val="0"/>
      <w:marBottom w:val="0"/>
      <w:divBdr>
        <w:top w:val="none" w:sz="0" w:space="0" w:color="auto"/>
        <w:left w:val="none" w:sz="0" w:space="0" w:color="auto"/>
        <w:bottom w:val="none" w:sz="0" w:space="0" w:color="auto"/>
        <w:right w:val="none" w:sz="0" w:space="0" w:color="auto"/>
      </w:divBdr>
    </w:div>
    <w:div w:id="1703286832">
      <w:bodyDiv w:val="1"/>
      <w:marLeft w:val="0"/>
      <w:marRight w:val="0"/>
      <w:marTop w:val="0"/>
      <w:marBottom w:val="0"/>
      <w:divBdr>
        <w:top w:val="none" w:sz="0" w:space="0" w:color="auto"/>
        <w:left w:val="none" w:sz="0" w:space="0" w:color="auto"/>
        <w:bottom w:val="none" w:sz="0" w:space="0" w:color="auto"/>
        <w:right w:val="none" w:sz="0" w:space="0" w:color="auto"/>
      </w:divBdr>
      <w:divsChild>
        <w:div w:id="199166534">
          <w:marLeft w:val="547"/>
          <w:marRight w:val="0"/>
          <w:marTop w:val="0"/>
          <w:marBottom w:val="0"/>
          <w:divBdr>
            <w:top w:val="none" w:sz="0" w:space="0" w:color="auto"/>
            <w:left w:val="none" w:sz="0" w:space="0" w:color="auto"/>
            <w:bottom w:val="none" w:sz="0" w:space="0" w:color="auto"/>
            <w:right w:val="none" w:sz="0" w:space="0" w:color="auto"/>
          </w:divBdr>
        </w:div>
        <w:div w:id="541751993">
          <w:marLeft w:val="547"/>
          <w:marRight w:val="0"/>
          <w:marTop w:val="0"/>
          <w:marBottom w:val="0"/>
          <w:divBdr>
            <w:top w:val="none" w:sz="0" w:space="0" w:color="auto"/>
            <w:left w:val="none" w:sz="0" w:space="0" w:color="auto"/>
            <w:bottom w:val="none" w:sz="0" w:space="0" w:color="auto"/>
            <w:right w:val="none" w:sz="0" w:space="0" w:color="auto"/>
          </w:divBdr>
        </w:div>
        <w:div w:id="751393917">
          <w:marLeft w:val="547"/>
          <w:marRight w:val="0"/>
          <w:marTop w:val="0"/>
          <w:marBottom w:val="0"/>
          <w:divBdr>
            <w:top w:val="none" w:sz="0" w:space="0" w:color="auto"/>
            <w:left w:val="none" w:sz="0" w:space="0" w:color="auto"/>
            <w:bottom w:val="none" w:sz="0" w:space="0" w:color="auto"/>
            <w:right w:val="none" w:sz="0" w:space="0" w:color="auto"/>
          </w:divBdr>
        </w:div>
        <w:div w:id="1254044808">
          <w:marLeft w:val="547"/>
          <w:marRight w:val="0"/>
          <w:marTop w:val="0"/>
          <w:marBottom w:val="0"/>
          <w:divBdr>
            <w:top w:val="none" w:sz="0" w:space="0" w:color="auto"/>
            <w:left w:val="none" w:sz="0" w:space="0" w:color="auto"/>
            <w:bottom w:val="none" w:sz="0" w:space="0" w:color="auto"/>
            <w:right w:val="none" w:sz="0" w:space="0" w:color="auto"/>
          </w:divBdr>
        </w:div>
        <w:div w:id="1476334152">
          <w:marLeft w:val="547"/>
          <w:marRight w:val="0"/>
          <w:marTop w:val="0"/>
          <w:marBottom w:val="0"/>
          <w:divBdr>
            <w:top w:val="none" w:sz="0" w:space="0" w:color="auto"/>
            <w:left w:val="none" w:sz="0" w:space="0" w:color="auto"/>
            <w:bottom w:val="none" w:sz="0" w:space="0" w:color="auto"/>
            <w:right w:val="none" w:sz="0" w:space="0" w:color="auto"/>
          </w:divBdr>
        </w:div>
        <w:div w:id="1630359685">
          <w:marLeft w:val="547"/>
          <w:marRight w:val="0"/>
          <w:marTop w:val="0"/>
          <w:marBottom w:val="0"/>
          <w:divBdr>
            <w:top w:val="none" w:sz="0" w:space="0" w:color="auto"/>
            <w:left w:val="none" w:sz="0" w:space="0" w:color="auto"/>
            <w:bottom w:val="none" w:sz="0" w:space="0" w:color="auto"/>
            <w:right w:val="none" w:sz="0" w:space="0" w:color="auto"/>
          </w:divBdr>
        </w:div>
      </w:divsChild>
    </w:div>
    <w:div w:id="1722050862">
      <w:bodyDiv w:val="1"/>
      <w:marLeft w:val="0"/>
      <w:marRight w:val="0"/>
      <w:marTop w:val="0"/>
      <w:marBottom w:val="0"/>
      <w:divBdr>
        <w:top w:val="none" w:sz="0" w:space="0" w:color="auto"/>
        <w:left w:val="none" w:sz="0" w:space="0" w:color="auto"/>
        <w:bottom w:val="none" w:sz="0" w:space="0" w:color="auto"/>
        <w:right w:val="none" w:sz="0" w:space="0" w:color="auto"/>
      </w:divBdr>
    </w:div>
    <w:div w:id="1727949751">
      <w:bodyDiv w:val="1"/>
      <w:marLeft w:val="0"/>
      <w:marRight w:val="0"/>
      <w:marTop w:val="0"/>
      <w:marBottom w:val="0"/>
      <w:divBdr>
        <w:top w:val="none" w:sz="0" w:space="0" w:color="auto"/>
        <w:left w:val="none" w:sz="0" w:space="0" w:color="auto"/>
        <w:bottom w:val="none" w:sz="0" w:space="0" w:color="auto"/>
        <w:right w:val="none" w:sz="0" w:space="0" w:color="auto"/>
      </w:divBdr>
    </w:div>
    <w:div w:id="1734162452">
      <w:bodyDiv w:val="1"/>
      <w:marLeft w:val="0"/>
      <w:marRight w:val="0"/>
      <w:marTop w:val="0"/>
      <w:marBottom w:val="0"/>
      <w:divBdr>
        <w:top w:val="none" w:sz="0" w:space="0" w:color="auto"/>
        <w:left w:val="none" w:sz="0" w:space="0" w:color="auto"/>
        <w:bottom w:val="none" w:sz="0" w:space="0" w:color="auto"/>
        <w:right w:val="none" w:sz="0" w:space="0" w:color="auto"/>
      </w:divBdr>
    </w:div>
    <w:div w:id="1734890787">
      <w:bodyDiv w:val="1"/>
      <w:marLeft w:val="0"/>
      <w:marRight w:val="0"/>
      <w:marTop w:val="0"/>
      <w:marBottom w:val="0"/>
      <w:divBdr>
        <w:top w:val="none" w:sz="0" w:space="0" w:color="auto"/>
        <w:left w:val="none" w:sz="0" w:space="0" w:color="auto"/>
        <w:bottom w:val="none" w:sz="0" w:space="0" w:color="auto"/>
        <w:right w:val="none" w:sz="0" w:space="0" w:color="auto"/>
      </w:divBdr>
    </w:div>
    <w:div w:id="1746413071">
      <w:bodyDiv w:val="1"/>
      <w:marLeft w:val="0"/>
      <w:marRight w:val="0"/>
      <w:marTop w:val="0"/>
      <w:marBottom w:val="0"/>
      <w:divBdr>
        <w:top w:val="none" w:sz="0" w:space="0" w:color="auto"/>
        <w:left w:val="none" w:sz="0" w:space="0" w:color="auto"/>
        <w:bottom w:val="none" w:sz="0" w:space="0" w:color="auto"/>
        <w:right w:val="none" w:sz="0" w:space="0" w:color="auto"/>
      </w:divBdr>
    </w:div>
    <w:div w:id="1746415178">
      <w:bodyDiv w:val="1"/>
      <w:marLeft w:val="0"/>
      <w:marRight w:val="0"/>
      <w:marTop w:val="0"/>
      <w:marBottom w:val="0"/>
      <w:divBdr>
        <w:top w:val="none" w:sz="0" w:space="0" w:color="auto"/>
        <w:left w:val="none" w:sz="0" w:space="0" w:color="auto"/>
        <w:bottom w:val="none" w:sz="0" w:space="0" w:color="auto"/>
        <w:right w:val="none" w:sz="0" w:space="0" w:color="auto"/>
      </w:divBdr>
      <w:divsChild>
        <w:div w:id="2017613302">
          <w:marLeft w:val="0"/>
          <w:marRight w:val="0"/>
          <w:marTop w:val="0"/>
          <w:marBottom w:val="0"/>
          <w:divBdr>
            <w:top w:val="none" w:sz="0" w:space="0" w:color="auto"/>
            <w:left w:val="none" w:sz="0" w:space="0" w:color="auto"/>
            <w:bottom w:val="none" w:sz="0" w:space="0" w:color="auto"/>
            <w:right w:val="none" w:sz="0" w:space="0" w:color="auto"/>
          </w:divBdr>
        </w:div>
      </w:divsChild>
    </w:div>
    <w:div w:id="1748304789">
      <w:bodyDiv w:val="1"/>
      <w:marLeft w:val="0"/>
      <w:marRight w:val="0"/>
      <w:marTop w:val="0"/>
      <w:marBottom w:val="0"/>
      <w:divBdr>
        <w:top w:val="none" w:sz="0" w:space="0" w:color="auto"/>
        <w:left w:val="none" w:sz="0" w:space="0" w:color="auto"/>
        <w:bottom w:val="none" w:sz="0" w:space="0" w:color="auto"/>
        <w:right w:val="none" w:sz="0" w:space="0" w:color="auto"/>
      </w:divBdr>
      <w:divsChild>
        <w:div w:id="170605561">
          <w:marLeft w:val="0"/>
          <w:marRight w:val="0"/>
          <w:marTop w:val="0"/>
          <w:marBottom w:val="0"/>
          <w:divBdr>
            <w:top w:val="none" w:sz="0" w:space="0" w:color="auto"/>
            <w:left w:val="none" w:sz="0" w:space="0" w:color="auto"/>
            <w:bottom w:val="none" w:sz="0" w:space="0" w:color="auto"/>
            <w:right w:val="none" w:sz="0" w:space="0" w:color="auto"/>
          </w:divBdr>
          <w:divsChild>
            <w:div w:id="1652902053">
              <w:marLeft w:val="0"/>
              <w:marRight w:val="0"/>
              <w:marTop w:val="0"/>
              <w:marBottom w:val="0"/>
              <w:divBdr>
                <w:top w:val="single" w:sz="6" w:space="0" w:color="C0C0C0"/>
                <w:left w:val="single" w:sz="6" w:space="0" w:color="C0C0C0"/>
                <w:bottom w:val="single" w:sz="6" w:space="0" w:color="C0C0C0"/>
                <w:right w:val="single" w:sz="6" w:space="0" w:color="C0C0C0"/>
              </w:divBdr>
            </w:div>
          </w:divsChild>
        </w:div>
      </w:divsChild>
    </w:div>
    <w:div w:id="1757752072">
      <w:bodyDiv w:val="1"/>
      <w:marLeft w:val="0"/>
      <w:marRight w:val="0"/>
      <w:marTop w:val="0"/>
      <w:marBottom w:val="0"/>
      <w:divBdr>
        <w:top w:val="none" w:sz="0" w:space="0" w:color="auto"/>
        <w:left w:val="none" w:sz="0" w:space="0" w:color="auto"/>
        <w:bottom w:val="none" w:sz="0" w:space="0" w:color="auto"/>
        <w:right w:val="none" w:sz="0" w:space="0" w:color="auto"/>
      </w:divBdr>
    </w:div>
    <w:div w:id="1764641833">
      <w:bodyDiv w:val="1"/>
      <w:marLeft w:val="0"/>
      <w:marRight w:val="0"/>
      <w:marTop w:val="0"/>
      <w:marBottom w:val="0"/>
      <w:divBdr>
        <w:top w:val="none" w:sz="0" w:space="0" w:color="auto"/>
        <w:left w:val="none" w:sz="0" w:space="0" w:color="auto"/>
        <w:bottom w:val="none" w:sz="0" w:space="0" w:color="auto"/>
        <w:right w:val="none" w:sz="0" w:space="0" w:color="auto"/>
      </w:divBdr>
      <w:divsChild>
        <w:div w:id="33847110">
          <w:marLeft w:val="0"/>
          <w:marRight w:val="0"/>
          <w:marTop w:val="0"/>
          <w:marBottom w:val="0"/>
          <w:divBdr>
            <w:top w:val="none" w:sz="0" w:space="0" w:color="auto"/>
            <w:left w:val="none" w:sz="0" w:space="0" w:color="auto"/>
            <w:bottom w:val="none" w:sz="0" w:space="0" w:color="auto"/>
            <w:right w:val="none" w:sz="0" w:space="0" w:color="auto"/>
          </w:divBdr>
        </w:div>
      </w:divsChild>
    </w:div>
    <w:div w:id="1772160862">
      <w:bodyDiv w:val="1"/>
      <w:marLeft w:val="0"/>
      <w:marRight w:val="0"/>
      <w:marTop w:val="0"/>
      <w:marBottom w:val="0"/>
      <w:divBdr>
        <w:top w:val="none" w:sz="0" w:space="0" w:color="auto"/>
        <w:left w:val="none" w:sz="0" w:space="0" w:color="auto"/>
        <w:bottom w:val="none" w:sz="0" w:space="0" w:color="auto"/>
        <w:right w:val="none" w:sz="0" w:space="0" w:color="auto"/>
      </w:divBdr>
    </w:div>
    <w:div w:id="1773233987">
      <w:bodyDiv w:val="1"/>
      <w:marLeft w:val="0"/>
      <w:marRight w:val="0"/>
      <w:marTop w:val="0"/>
      <w:marBottom w:val="0"/>
      <w:divBdr>
        <w:top w:val="none" w:sz="0" w:space="0" w:color="auto"/>
        <w:left w:val="none" w:sz="0" w:space="0" w:color="auto"/>
        <w:bottom w:val="none" w:sz="0" w:space="0" w:color="auto"/>
        <w:right w:val="none" w:sz="0" w:space="0" w:color="auto"/>
      </w:divBdr>
      <w:divsChild>
        <w:div w:id="951866070">
          <w:marLeft w:val="0"/>
          <w:marRight w:val="0"/>
          <w:marTop w:val="0"/>
          <w:marBottom w:val="326"/>
          <w:divBdr>
            <w:top w:val="none" w:sz="0" w:space="0" w:color="auto"/>
            <w:left w:val="none" w:sz="0" w:space="0" w:color="auto"/>
            <w:bottom w:val="none" w:sz="0" w:space="0" w:color="auto"/>
            <w:right w:val="none" w:sz="0" w:space="0" w:color="auto"/>
          </w:divBdr>
          <w:divsChild>
            <w:div w:id="70084646">
              <w:blockQuote w:val="1"/>
              <w:marLeft w:val="720"/>
              <w:marRight w:val="720"/>
              <w:marTop w:val="100"/>
              <w:marBottom w:val="100"/>
              <w:divBdr>
                <w:top w:val="none" w:sz="0" w:space="0" w:color="auto"/>
                <w:left w:val="none" w:sz="0" w:space="0" w:color="auto"/>
                <w:bottom w:val="none" w:sz="0" w:space="0" w:color="auto"/>
                <w:right w:val="none" w:sz="0" w:space="0" w:color="auto"/>
              </w:divBdr>
            </w:div>
            <w:div w:id="128323559">
              <w:blockQuote w:val="1"/>
              <w:marLeft w:val="720"/>
              <w:marRight w:val="720"/>
              <w:marTop w:val="100"/>
              <w:marBottom w:val="100"/>
              <w:divBdr>
                <w:top w:val="none" w:sz="0" w:space="0" w:color="auto"/>
                <w:left w:val="none" w:sz="0" w:space="0" w:color="auto"/>
                <w:bottom w:val="none" w:sz="0" w:space="0" w:color="auto"/>
                <w:right w:val="none" w:sz="0" w:space="0" w:color="auto"/>
              </w:divBdr>
            </w:div>
            <w:div w:id="9972717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74667389">
      <w:bodyDiv w:val="1"/>
      <w:marLeft w:val="0"/>
      <w:marRight w:val="0"/>
      <w:marTop w:val="0"/>
      <w:marBottom w:val="0"/>
      <w:divBdr>
        <w:top w:val="none" w:sz="0" w:space="0" w:color="auto"/>
        <w:left w:val="none" w:sz="0" w:space="0" w:color="auto"/>
        <w:bottom w:val="none" w:sz="0" w:space="0" w:color="auto"/>
        <w:right w:val="none" w:sz="0" w:space="0" w:color="auto"/>
      </w:divBdr>
    </w:div>
    <w:div w:id="1778717030">
      <w:bodyDiv w:val="1"/>
      <w:marLeft w:val="0"/>
      <w:marRight w:val="0"/>
      <w:marTop w:val="0"/>
      <w:marBottom w:val="0"/>
      <w:divBdr>
        <w:top w:val="none" w:sz="0" w:space="0" w:color="auto"/>
        <w:left w:val="none" w:sz="0" w:space="0" w:color="auto"/>
        <w:bottom w:val="none" w:sz="0" w:space="0" w:color="auto"/>
        <w:right w:val="none" w:sz="0" w:space="0" w:color="auto"/>
      </w:divBdr>
    </w:div>
    <w:div w:id="1795247816">
      <w:bodyDiv w:val="1"/>
      <w:marLeft w:val="0"/>
      <w:marRight w:val="0"/>
      <w:marTop w:val="0"/>
      <w:marBottom w:val="0"/>
      <w:divBdr>
        <w:top w:val="none" w:sz="0" w:space="0" w:color="auto"/>
        <w:left w:val="none" w:sz="0" w:space="0" w:color="auto"/>
        <w:bottom w:val="none" w:sz="0" w:space="0" w:color="auto"/>
        <w:right w:val="none" w:sz="0" w:space="0" w:color="auto"/>
      </w:divBdr>
    </w:div>
    <w:div w:id="1799177773">
      <w:bodyDiv w:val="1"/>
      <w:marLeft w:val="0"/>
      <w:marRight w:val="0"/>
      <w:marTop w:val="0"/>
      <w:marBottom w:val="0"/>
      <w:divBdr>
        <w:top w:val="none" w:sz="0" w:space="0" w:color="auto"/>
        <w:left w:val="none" w:sz="0" w:space="0" w:color="auto"/>
        <w:bottom w:val="none" w:sz="0" w:space="0" w:color="auto"/>
        <w:right w:val="none" w:sz="0" w:space="0" w:color="auto"/>
      </w:divBdr>
    </w:div>
    <w:div w:id="1810974027">
      <w:bodyDiv w:val="1"/>
      <w:marLeft w:val="0"/>
      <w:marRight w:val="0"/>
      <w:marTop w:val="0"/>
      <w:marBottom w:val="0"/>
      <w:divBdr>
        <w:top w:val="none" w:sz="0" w:space="0" w:color="auto"/>
        <w:left w:val="none" w:sz="0" w:space="0" w:color="auto"/>
        <w:bottom w:val="none" w:sz="0" w:space="0" w:color="auto"/>
        <w:right w:val="none" w:sz="0" w:space="0" w:color="auto"/>
      </w:divBdr>
    </w:div>
    <w:div w:id="1811022701">
      <w:bodyDiv w:val="1"/>
      <w:marLeft w:val="0"/>
      <w:marRight w:val="0"/>
      <w:marTop w:val="0"/>
      <w:marBottom w:val="0"/>
      <w:divBdr>
        <w:top w:val="none" w:sz="0" w:space="0" w:color="auto"/>
        <w:left w:val="none" w:sz="0" w:space="0" w:color="auto"/>
        <w:bottom w:val="none" w:sz="0" w:space="0" w:color="auto"/>
        <w:right w:val="none" w:sz="0" w:space="0" w:color="auto"/>
      </w:divBdr>
    </w:div>
    <w:div w:id="1811899637">
      <w:bodyDiv w:val="1"/>
      <w:marLeft w:val="0"/>
      <w:marRight w:val="0"/>
      <w:marTop w:val="0"/>
      <w:marBottom w:val="0"/>
      <w:divBdr>
        <w:top w:val="none" w:sz="0" w:space="0" w:color="auto"/>
        <w:left w:val="none" w:sz="0" w:space="0" w:color="auto"/>
        <w:bottom w:val="none" w:sz="0" w:space="0" w:color="auto"/>
        <w:right w:val="none" w:sz="0" w:space="0" w:color="auto"/>
      </w:divBdr>
    </w:div>
    <w:div w:id="1835073939">
      <w:bodyDiv w:val="1"/>
      <w:marLeft w:val="0"/>
      <w:marRight w:val="0"/>
      <w:marTop w:val="0"/>
      <w:marBottom w:val="0"/>
      <w:divBdr>
        <w:top w:val="none" w:sz="0" w:space="0" w:color="auto"/>
        <w:left w:val="none" w:sz="0" w:space="0" w:color="auto"/>
        <w:bottom w:val="none" w:sz="0" w:space="0" w:color="auto"/>
        <w:right w:val="none" w:sz="0" w:space="0" w:color="auto"/>
      </w:divBdr>
    </w:div>
    <w:div w:id="1855420535">
      <w:bodyDiv w:val="1"/>
      <w:marLeft w:val="0"/>
      <w:marRight w:val="0"/>
      <w:marTop w:val="0"/>
      <w:marBottom w:val="0"/>
      <w:divBdr>
        <w:top w:val="none" w:sz="0" w:space="0" w:color="auto"/>
        <w:left w:val="none" w:sz="0" w:space="0" w:color="auto"/>
        <w:bottom w:val="none" w:sz="0" w:space="0" w:color="auto"/>
        <w:right w:val="none" w:sz="0" w:space="0" w:color="auto"/>
      </w:divBdr>
    </w:div>
    <w:div w:id="1867676319">
      <w:bodyDiv w:val="1"/>
      <w:marLeft w:val="0"/>
      <w:marRight w:val="0"/>
      <w:marTop w:val="0"/>
      <w:marBottom w:val="0"/>
      <w:divBdr>
        <w:top w:val="none" w:sz="0" w:space="0" w:color="auto"/>
        <w:left w:val="none" w:sz="0" w:space="0" w:color="auto"/>
        <w:bottom w:val="none" w:sz="0" w:space="0" w:color="auto"/>
        <w:right w:val="none" w:sz="0" w:space="0" w:color="auto"/>
      </w:divBdr>
    </w:div>
    <w:div w:id="1870141628">
      <w:bodyDiv w:val="1"/>
      <w:marLeft w:val="0"/>
      <w:marRight w:val="0"/>
      <w:marTop w:val="0"/>
      <w:marBottom w:val="0"/>
      <w:divBdr>
        <w:top w:val="none" w:sz="0" w:space="0" w:color="auto"/>
        <w:left w:val="none" w:sz="0" w:space="0" w:color="auto"/>
        <w:bottom w:val="none" w:sz="0" w:space="0" w:color="auto"/>
        <w:right w:val="none" w:sz="0" w:space="0" w:color="auto"/>
      </w:divBdr>
      <w:divsChild>
        <w:div w:id="180045999">
          <w:marLeft w:val="0"/>
          <w:marRight w:val="0"/>
          <w:marTop w:val="0"/>
          <w:marBottom w:val="326"/>
          <w:divBdr>
            <w:top w:val="none" w:sz="0" w:space="0" w:color="auto"/>
            <w:left w:val="none" w:sz="0" w:space="0" w:color="auto"/>
            <w:bottom w:val="none" w:sz="0" w:space="0" w:color="auto"/>
            <w:right w:val="none" w:sz="0" w:space="0" w:color="auto"/>
          </w:divBdr>
        </w:div>
      </w:divsChild>
    </w:div>
    <w:div w:id="1877691735">
      <w:bodyDiv w:val="1"/>
      <w:marLeft w:val="0"/>
      <w:marRight w:val="0"/>
      <w:marTop w:val="0"/>
      <w:marBottom w:val="0"/>
      <w:divBdr>
        <w:top w:val="none" w:sz="0" w:space="0" w:color="auto"/>
        <w:left w:val="none" w:sz="0" w:space="0" w:color="auto"/>
        <w:bottom w:val="none" w:sz="0" w:space="0" w:color="auto"/>
        <w:right w:val="none" w:sz="0" w:space="0" w:color="auto"/>
      </w:divBdr>
    </w:div>
    <w:div w:id="1893152811">
      <w:bodyDiv w:val="1"/>
      <w:marLeft w:val="0"/>
      <w:marRight w:val="0"/>
      <w:marTop w:val="0"/>
      <w:marBottom w:val="0"/>
      <w:divBdr>
        <w:top w:val="none" w:sz="0" w:space="0" w:color="auto"/>
        <w:left w:val="none" w:sz="0" w:space="0" w:color="auto"/>
        <w:bottom w:val="none" w:sz="0" w:space="0" w:color="auto"/>
        <w:right w:val="none" w:sz="0" w:space="0" w:color="auto"/>
      </w:divBdr>
    </w:div>
    <w:div w:id="1898469043">
      <w:bodyDiv w:val="1"/>
      <w:marLeft w:val="0"/>
      <w:marRight w:val="0"/>
      <w:marTop w:val="0"/>
      <w:marBottom w:val="0"/>
      <w:divBdr>
        <w:top w:val="none" w:sz="0" w:space="0" w:color="auto"/>
        <w:left w:val="none" w:sz="0" w:space="0" w:color="auto"/>
        <w:bottom w:val="none" w:sz="0" w:space="0" w:color="auto"/>
        <w:right w:val="none" w:sz="0" w:space="0" w:color="auto"/>
      </w:divBdr>
    </w:div>
    <w:div w:id="1900045067">
      <w:bodyDiv w:val="1"/>
      <w:marLeft w:val="0"/>
      <w:marRight w:val="0"/>
      <w:marTop w:val="0"/>
      <w:marBottom w:val="0"/>
      <w:divBdr>
        <w:top w:val="none" w:sz="0" w:space="0" w:color="auto"/>
        <w:left w:val="none" w:sz="0" w:space="0" w:color="auto"/>
        <w:bottom w:val="none" w:sz="0" w:space="0" w:color="auto"/>
        <w:right w:val="none" w:sz="0" w:space="0" w:color="auto"/>
      </w:divBdr>
    </w:div>
    <w:div w:id="1913808346">
      <w:bodyDiv w:val="1"/>
      <w:marLeft w:val="0"/>
      <w:marRight w:val="0"/>
      <w:marTop w:val="0"/>
      <w:marBottom w:val="0"/>
      <w:divBdr>
        <w:top w:val="none" w:sz="0" w:space="0" w:color="auto"/>
        <w:left w:val="none" w:sz="0" w:space="0" w:color="auto"/>
        <w:bottom w:val="none" w:sz="0" w:space="0" w:color="auto"/>
        <w:right w:val="none" w:sz="0" w:space="0" w:color="auto"/>
      </w:divBdr>
    </w:div>
    <w:div w:id="1929270291">
      <w:bodyDiv w:val="1"/>
      <w:marLeft w:val="0"/>
      <w:marRight w:val="0"/>
      <w:marTop w:val="0"/>
      <w:marBottom w:val="0"/>
      <w:divBdr>
        <w:top w:val="none" w:sz="0" w:space="0" w:color="auto"/>
        <w:left w:val="none" w:sz="0" w:space="0" w:color="auto"/>
        <w:bottom w:val="none" w:sz="0" w:space="0" w:color="auto"/>
        <w:right w:val="none" w:sz="0" w:space="0" w:color="auto"/>
      </w:divBdr>
    </w:div>
    <w:div w:id="1941832196">
      <w:bodyDiv w:val="1"/>
      <w:marLeft w:val="0"/>
      <w:marRight w:val="0"/>
      <w:marTop w:val="0"/>
      <w:marBottom w:val="0"/>
      <w:divBdr>
        <w:top w:val="none" w:sz="0" w:space="0" w:color="auto"/>
        <w:left w:val="none" w:sz="0" w:space="0" w:color="auto"/>
        <w:bottom w:val="none" w:sz="0" w:space="0" w:color="auto"/>
        <w:right w:val="none" w:sz="0" w:space="0" w:color="auto"/>
      </w:divBdr>
    </w:div>
    <w:div w:id="1957365530">
      <w:bodyDiv w:val="1"/>
      <w:marLeft w:val="0"/>
      <w:marRight w:val="0"/>
      <w:marTop w:val="0"/>
      <w:marBottom w:val="0"/>
      <w:divBdr>
        <w:top w:val="none" w:sz="0" w:space="0" w:color="auto"/>
        <w:left w:val="none" w:sz="0" w:space="0" w:color="auto"/>
        <w:bottom w:val="none" w:sz="0" w:space="0" w:color="auto"/>
        <w:right w:val="none" w:sz="0" w:space="0" w:color="auto"/>
      </w:divBdr>
      <w:divsChild>
        <w:div w:id="1195653424">
          <w:marLeft w:val="446"/>
          <w:marRight w:val="0"/>
          <w:marTop w:val="60"/>
          <w:marBottom w:val="60"/>
          <w:divBdr>
            <w:top w:val="none" w:sz="0" w:space="0" w:color="auto"/>
            <w:left w:val="none" w:sz="0" w:space="0" w:color="auto"/>
            <w:bottom w:val="none" w:sz="0" w:space="0" w:color="auto"/>
            <w:right w:val="none" w:sz="0" w:space="0" w:color="auto"/>
          </w:divBdr>
        </w:div>
      </w:divsChild>
    </w:div>
    <w:div w:id="1957634333">
      <w:bodyDiv w:val="1"/>
      <w:marLeft w:val="0"/>
      <w:marRight w:val="0"/>
      <w:marTop w:val="0"/>
      <w:marBottom w:val="0"/>
      <w:divBdr>
        <w:top w:val="none" w:sz="0" w:space="0" w:color="auto"/>
        <w:left w:val="none" w:sz="0" w:space="0" w:color="auto"/>
        <w:bottom w:val="none" w:sz="0" w:space="0" w:color="auto"/>
        <w:right w:val="none" w:sz="0" w:space="0" w:color="auto"/>
      </w:divBdr>
    </w:div>
    <w:div w:id="1961036242">
      <w:bodyDiv w:val="1"/>
      <w:marLeft w:val="0"/>
      <w:marRight w:val="0"/>
      <w:marTop w:val="0"/>
      <w:marBottom w:val="0"/>
      <w:divBdr>
        <w:top w:val="none" w:sz="0" w:space="0" w:color="auto"/>
        <w:left w:val="none" w:sz="0" w:space="0" w:color="auto"/>
        <w:bottom w:val="none" w:sz="0" w:space="0" w:color="auto"/>
        <w:right w:val="none" w:sz="0" w:space="0" w:color="auto"/>
      </w:divBdr>
      <w:divsChild>
        <w:div w:id="1065178494">
          <w:marLeft w:val="0"/>
          <w:marRight w:val="0"/>
          <w:marTop w:val="0"/>
          <w:marBottom w:val="326"/>
          <w:divBdr>
            <w:top w:val="none" w:sz="0" w:space="0" w:color="auto"/>
            <w:left w:val="none" w:sz="0" w:space="0" w:color="auto"/>
            <w:bottom w:val="none" w:sz="0" w:space="0" w:color="auto"/>
            <w:right w:val="none" w:sz="0" w:space="0" w:color="auto"/>
          </w:divBdr>
        </w:div>
      </w:divsChild>
    </w:div>
    <w:div w:id="1962958257">
      <w:bodyDiv w:val="1"/>
      <w:marLeft w:val="0"/>
      <w:marRight w:val="0"/>
      <w:marTop w:val="0"/>
      <w:marBottom w:val="0"/>
      <w:divBdr>
        <w:top w:val="none" w:sz="0" w:space="0" w:color="auto"/>
        <w:left w:val="none" w:sz="0" w:space="0" w:color="auto"/>
        <w:bottom w:val="none" w:sz="0" w:space="0" w:color="auto"/>
        <w:right w:val="none" w:sz="0" w:space="0" w:color="auto"/>
      </w:divBdr>
    </w:div>
    <w:div w:id="2004115084">
      <w:bodyDiv w:val="1"/>
      <w:marLeft w:val="0"/>
      <w:marRight w:val="0"/>
      <w:marTop w:val="0"/>
      <w:marBottom w:val="0"/>
      <w:divBdr>
        <w:top w:val="none" w:sz="0" w:space="0" w:color="auto"/>
        <w:left w:val="none" w:sz="0" w:space="0" w:color="auto"/>
        <w:bottom w:val="none" w:sz="0" w:space="0" w:color="auto"/>
        <w:right w:val="none" w:sz="0" w:space="0" w:color="auto"/>
      </w:divBdr>
    </w:div>
    <w:div w:id="2027904812">
      <w:bodyDiv w:val="1"/>
      <w:marLeft w:val="0"/>
      <w:marRight w:val="0"/>
      <w:marTop w:val="0"/>
      <w:marBottom w:val="0"/>
      <w:divBdr>
        <w:top w:val="none" w:sz="0" w:space="0" w:color="auto"/>
        <w:left w:val="none" w:sz="0" w:space="0" w:color="auto"/>
        <w:bottom w:val="none" w:sz="0" w:space="0" w:color="auto"/>
        <w:right w:val="none" w:sz="0" w:space="0" w:color="auto"/>
      </w:divBdr>
    </w:div>
    <w:div w:id="2042124181">
      <w:bodyDiv w:val="1"/>
      <w:marLeft w:val="0"/>
      <w:marRight w:val="0"/>
      <w:marTop w:val="0"/>
      <w:marBottom w:val="0"/>
      <w:divBdr>
        <w:top w:val="none" w:sz="0" w:space="0" w:color="auto"/>
        <w:left w:val="none" w:sz="0" w:space="0" w:color="auto"/>
        <w:bottom w:val="none" w:sz="0" w:space="0" w:color="auto"/>
        <w:right w:val="none" w:sz="0" w:space="0" w:color="auto"/>
      </w:divBdr>
    </w:div>
    <w:div w:id="2047874823">
      <w:bodyDiv w:val="1"/>
      <w:marLeft w:val="0"/>
      <w:marRight w:val="0"/>
      <w:marTop w:val="0"/>
      <w:marBottom w:val="0"/>
      <w:divBdr>
        <w:top w:val="none" w:sz="0" w:space="0" w:color="auto"/>
        <w:left w:val="none" w:sz="0" w:space="0" w:color="auto"/>
        <w:bottom w:val="none" w:sz="0" w:space="0" w:color="auto"/>
        <w:right w:val="none" w:sz="0" w:space="0" w:color="auto"/>
      </w:divBdr>
    </w:div>
    <w:div w:id="2062365202">
      <w:bodyDiv w:val="1"/>
      <w:marLeft w:val="0"/>
      <w:marRight w:val="0"/>
      <w:marTop w:val="0"/>
      <w:marBottom w:val="0"/>
      <w:divBdr>
        <w:top w:val="none" w:sz="0" w:space="0" w:color="auto"/>
        <w:left w:val="none" w:sz="0" w:space="0" w:color="auto"/>
        <w:bottom w:val="none" w:sz="0" w:space="0" w:color="auto"/>
        <w:right w:val="none" w:sz="0" w:space="0" w:color="auto"/>
      </w:divBdr>
      <w:divsChild>
        <w:div w:id="1390032749">
          <w:marLeft w:val="0"/>
          <w:marRight w:val="0"/>
          <w:marTop w:val="0"/>
          <w:marBottom w:val="0"/>
          <w:divBdr>
            <w:top w:val="none" w:sz="0" w:space="0" w:color="auto"/>
            <w:left w:val="none" w:sz="0" w:space="0" w:color="auto"/>
            <w:bottom w:val="none" w:sz="0" w:space="0" w:color="auto"/>
            <w:right w:val="none" w:sz="0" w:space="0" w:color="auto"/>
          </w:divBdr>
          <w:divsChild>
            <w:div w:id="1283540849">
              <w:marLeft w:val="0"/>
              <w:marRight w:val="0"/>
              <w:marTop w:val="0"/>
              <w:marBottom w:val="0"/>
              <w:divBdr>
                <w:top w:val="none" w:sz="0" w:space="0" w:color="auto"/>
                <w:left w:val="none" w:sz="0" w:space="0" w:color="auto"/>
                <w:bottom w:val="none" w:sz="0" w:space="0" w:color="auto"/>
                <w:right w:val="none" w:sz="0" w:space="0" w:color="auto"/>
              </w:divBdr>
              <w:divsChild>
                <w:div w:id="504782336">
                  <w:marLeft w:val="0"/>
                  <w:marRight w:val="0"/>
                  <w:marTop w:val="0"/>
                  <w:marBottom w:val="0"/>
                  <w:divBdr>
                    <w:top w:val="none" w:sz="0" w:space="0" w:color="auto"/>
                    <w:left w:val="none" w:sz="0" w:space="0" w:color="auto"/>
                    <w:bottom w:val="none" w:sz="0" w:space="0" w:color="auto"/>
                    <w:right w:val="none" w:sz="0" w:space="0" w:color="auto"/>
                  </w:divBdr>
                  <w:divsChild>
                    <w:div w:id="1749379914">
                      <w:marLeft w:val="0"/>
                      <w:marRight w:val="0"/>
                      <w:marTop w:val="0"/>
                      <w:marBottom w:val="0"/>
                      <w:divBdr>
                        <w:top w:val="none" w:sz="0" w:space="0" w:color="auto"/>
                        <w:left w:val="none" w:sz="0" w:space="0" w:color="auto"/>
                        <w:bottom w:val="none" w:sz="0" w:space="0" w:color="auto"/>
                        <w:right w:val="none" w:sz="0" w:space="0" w:color="auto"/>
                      </w:divBdr>
                      <w:divsChild>
                        <w:div w:id="1587575669">
                          <w:marLeft w:val="0"/>
                          <w:marRight w:val="0"/>
                          <w:marTop w:val="0"/>
                          <w:marBottom w:val="0"/>
                          <w:divBdr>
                            <w:top w:val="none" w:sz="0" w:space="0" w:color="auto"/>
                            <w:left w:val="none" w:sz="0" w:space="0" w:color="auto"/>
                            <w:bottom w:val="none" w:sz="0" w:space="0" w:color="auto"/>
                            <w:right w:val="none" w:sz="0" w:space="0" w:color="auto"/>
                          </w:divBdr>
                          <w:divsChild>
                            <w:div w:id="294064575">
                              <w:marLeft w:val="0"/>
                              <w:marRight w:val="0"/>
                              <w:marTop w:val="0"/>
                              <w:marBottom w:val="225"/>
                              <w:divBdr>
                                <w:top w:val="none" w:sz="0" w:space="0" w:color="auto"/>
                                <w:left w:val="none" w:sz="0" w:space="0" w:color="auto"/>
                                <w:bottom w:val="none" w:sz="0" w:space="0" w:color="auto"/>
                                <w:right w:val="none" w:sz="0" w:space="0" w:color="auto"/>
                              </w:divBdr>
                              <w:divsChild>
                                <w:div w:id="1173640021">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4593473">
      <w:bodyDiv w:val="1"/>
      <w:marLeft w:val="0"/>
      <w:marRight w:val="0"/>
      <w:marTop w:val="0"/>
      <w:marBottom w:val="0"/>
      <w:divBdr>
        <w:top w:val="none" w:sz="0" w:space="0" w:color="auto"/>
        <w:left w:val="none" w:sz="0" w:space="0" w:color="auto"/>
        <w:bottom w:val="none" w:sz="0" w:space="0" w:color="auto"/>
        <w:right w:val="none" w:sz="0" w:space="0" w:color="auto"/>
      </w:divBdr>
    </w:div>
    <w:div w:id="2065178280">
      <w:bodyDiv w:val="1"/>
      <w:marLeft w:val="0"/>
      <w:marRight w:val="0"/>
      <w:marTop w:val="0"/>
      <w:marBottom w:val="0"/>
      <w:divBdr>
        <w:top w:val="none" w:sz="0" w:space="0" w:color="auto"/>
        <w:left w:val="none" w:sz="0" w:space="0" w:color="auto"/>
        <w:bottom w:val="none" w:sz="0" w:space="0" w:color="auto"/>
        <w:right w:val="none" w:sz="0" w:space="0" w:color="auto"/>
      </w:divBdr>
    </w:div>
    <w:div w:id="2068717890">
      <w:bodyDiv w:val="1"/>
      <w:marLeft w:val="0"/>
      <w:marRight w:val="0"/>
      <w:marTop w:val="0"/>
      <w:marBottom w:val="0"/>
      <w:divBdr>
        <w:top w:val="none" w:sz="0" w:space="0" w:color="auto"/>
        <w:left w:val="none" w:sz="0" w:space="0" w:color="auto"/>
        <w:bottom w:val="none" w:sz="0" w:space="0" w:color="auto"/>
        <w:right w:val="none" w:sz="0" w:space="0" w:color="auto"/>
      </w:divBdr>
    </w:div>
    <w:div w:id="2069303883">
      <w:bodyDiv w:val="1"/>
      <w:marLeft w:val="0"/>
      <w:marRight w:val="0"/>
      <w:marTop w:val="0"/>
      <w:marBottom w:val="0"/>
      <w:divBdr>
        <w:top w:val="none" w:sz="0" w:space="0" w:color="auto"/>
        <w:left w:val="none" w:sz="0" w:space="0" w:color="auto"/>
        <w:bottom w:val="none" w:sz="0" w:space="0" w:color="auto"/>
        <w:right w:val="none" w:sz="0" w:space="0" w:color="auto"/>
      </w:divBdr>
    </w:div>
    <w:div w:id="2070415791">
      <w:bodyDiv w:val="1"/>
      <w:marLeft w:val="0"/>
      <w:marRight w:val="0"/>
      <w:marTop w:val="0"/>
      <w:marBottom w:val="0"/>
      <w:divBdr>
        <w:top w:val="none" w:sz="0" w:space="0" w:color="auto"/>
        <w:left w:val="none" w:sz="0" w:space="0" w:color="auto"/>
        <w:bottom w:val="none" w:sz="0" w:space="0" w:color="auto"/>
        <w:right w:val="none" w:sz="0" w:space="0" w:color="auto"/>
      </w:divBdr>
    </w:div>
    <w:div w:id="2071417478">
      <w:bodyDiv w:val="1"/>
      <w:marLeft w:val="0"/>
      <w:marRight w:val="0"/>
      <w:marTop w:val="0"/>
      <w:marBottom w:val="0"/>
      <w:divBdr>
        <w:top w:val="none" w:sz="0" w:space="0" w:color="auto"/>
        <w:left w:val="none" w:sz="0" w:space="0" w:color="auto"/>
        <w:bottom w:val="none" w:sz="0" w:space="0" w:color="auto"/>
        <w:right w:val="none" w:sz="0" w:space="0" w:color="auto"/>
      </w:divBdr>
    </w:div>
    <w:div w:id="2074963172">
      <w:bodyDiv w:val="1"/>
      <w:marLeft w:val="0"/>
      <w:marRight w:val="0"/>
      <w:marTop w:val="0"/>
      <w:marBottom w:val="0"/>
      <w:divBdr>
        <w:top w:val="none" w:sz="0" w:space="0" w:color="auto"/>
        <w:left w:val="none" w:sz="0" w:space="0" w:color="auto"/>
        <w:bottom w:val="none" w:sz="0" w:space="0" w:color="auto"/>
        <w:right w:val="none" w:sz="0" w:space="0" w:color="auto"/>
      </w:divBdr>
    </w:div>
    <w:div w:id="2086103718">
      <w:bodyDiv w:val="1"/>
      <w:marLeft w:val="0"/>
      <w:marRight w:val="0"/>
      <w:marTop w:val="0"/>
      <w:marBottom w:val="0"/>
      <w:divBdr>
        <w:top w:val="none" w:sz="0" w:space="0" w:color="auto"/>
        <w:left w:val="none" w:sz="0" w:space="0" w:color="auto"/>
        <w:bottom w:val="none" w:sz="0" w:space="0" w:color="auto"/>
        <w:right w:val="none" w:sz="0" w:space="0" w:color="auto"/>
      </w:divBdr>
    </w:div>
    <w:div w:id="2119250741">
      <w:bodyDiv w:val="1"/>
      <w:marLeft w:val="0"/>
      <w:marRight w:val="0"/>
      <w:marTop w:val="0"/>
      <w:marBottom w:val="0"/>
      <w:divBdr>
        <w:top w:val="none" w:sz="0" w:space="0" w:color="auto"/>
        <w:left w:val="none" w:sz="0" w:space="0" w:color="auto"/>
        <w:bottom w:val="none" w:sz="0" w:space="0" w:color="auto"/>
        <w:right w:val="none" w:sz="0" w:space="0" w:color="auto"/>
      </w:divBdr>
    </w:div>
    <w:div w:id="2135361587">
      <w:bodyDiv w:val="1"/>
      <w:marLeft w:val="0"/>
      <w:marRight w:val="0"/>
      <w:marTop w:val="0"/>
      <w:marBottom w:val="0"/>
      <w:divBdr>
        <w:top w:val="none" w:sz="0" w:space="0" w:color="auto"/>
        <w:left w:val="none" w:sz="0" w:space="0" w:color="auto"/>
        <w:bottom w:val="none" w:sz="0" w:space="0" w:color="auto"/>
        <w:right w:val="none" w:sz="0" w:space="0" w:color="auto"/>
      </w:divBdr>
      <w:divsChild>
        <w:div w:id="2129083656">
          <w:marLeft w:val="0"/>
          <w:marRight w:val="0"/>
          <w:marTop w:val="0"/>
          <w:marBottom w:val="326"/>
          <w:divBdr>
            <w:top w:val="none" w:sz="0" w:space="0" w:color="auto"/>
            <w:left w:val="none" w:sz="0" w:space="0" w:color="auto"/>
            <w:bottom w:val="none" w:sz="0" w:space="0" w:color="auto"/>
            <w:right w:val="none" w:sz="0" w:space="0" w:color="auto"/>
          </w:divBdr>
        </w:div>
      </w:divsChild>
    </w:div>
    <w:div w:id="21408059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footer" Target="footer4.xml"/><Relationship Id="rId39" Type="http://schemas.openxmlformats.org/officeDocument/2006/relationships/theme" Target="theme/theme1.xml"/><Relationship Id="rId21" Type="http://schemas.openxmlformats.org/officeDocument/2006/relationships/footer" Target="footer3.xml"/><Relationship Id="rId34" Type="http://schemas.openxmlformats.org/officeDocument/2006/relationships/hyperlink" Target="https://popp.undp.org/_layouts/15/WopiFrame.aspx?sourcedoc=/UNDP_POPP_DOCUMENT_LIBRARY/Public/PPM_Manage%20Change_UNDP%20GEF%20Guidance%20Note%20on%20Project%20Amendments%20for%20GEF%20projects.docx&amp;action=default"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rare.org/about-us/" TargetMode="External"/><Relationship Id="rId29" Type="http://schemas.openxmlformats.org/officeDocument/2006/relationships/hyperlink" Target="https://popp.undp.org/_layouts/15/WopiFrame.aspx?sourcedoc=/UNDP_POPP_DOCUMENT_LIBRARY/Public/PPM_Implement_Provide%20Oversight.docx&amp;action=default" TargetMode="External"/><Relationship Id="rId41"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erc.undp.org/evaluation/documents/download/18857" TargetMode="External"/><Relationship Id="rId32" Type="http://schemas.openxmlformats.org/officeDocument/2006/relationships/hyperlink" Target="https://www.thegef.org/sites/default/files/documents/GEF_Guidelines_Project_Program_Cycle_Policy_20200731.pdf" TargetMode="External"/><Relationship Id="rId37" Type="http://schemas.openxmlformats.org/officeDocument/2006/relationships/header" Target="header2.xml"/><Relationship Id="rId40" Type="http://schemas.microsoft.com/office/2019/05/relationships/documenttasks" Target="documenttasks/documenttasks1.xml"/><Relationship Id="rId5" Type="http://schemas.openxmlformats.org/officeDocument/2006/relationships/customXml" Target="../customXml/item5.xml"/><Relationship Id="rId15" Type="http://schemas.openxmlformats.org/officeDocument/2006/relationships/hyperlink" Target="https://en.wikipedia.org/wiki/United_Nations_Declaration_on_the_Rights_of_Indigenous_Peoples" TargetMode="External"/><Relationship Id="rId23" Type="http://schemas.openxmlformats.org/officeDocument/2006/relationships/hyperlink" Target="https://www.thegef.org/sites/default/files/documents/2022-09/Results_Framework_Guidelines_2022_06_30.pdf" TargetMode="External"/><Relationship Id="rId28" Type="http://schemas.openxmlformats.org/officeDocument/2006/relationships/hyperlink" Target="https://www.thegef.org/sites/default/files/documents/gef_minimum_fiduciary_standards_partner_agencies_2019.pdf" TargetMode="External"/><Relationship Id="rId36" Type="http://schemas.openxmlformats.org/officeDocument/2006/relationships/hyperlink" Target="https://www.un.org/securitycouncil/content/un-sc-consolidated-list" TargetMode="External"/><Relationship Id="rId10" Type="http://schemas.openxmlformats.org/officeDocument/2006/relationships/footnotes" Target="footnotes.xml"/><Relationship Id="rId19" Type="http://schemas.openxmlformats.org/officeDocument/2006/relationships/hyperlink" Target="https://rare.org/about-us/" TargetMode="External"/><Relationship Id="rId31" Type="http://schemas.openxmlformats.org/officeDocument/2006/relationships/image" Target="media/image6.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erc.undp.org/evaluation/documents/download/18857" TargetMode="External"/><Relationship Id="rId27" Type="http://schemas.openxmlformats.org/officeDocument/2006/relationships/image" Target="media/image5.png"/><Relationship Id="rId30" Type="http://schemas.openxmlformats.org/officeDocument/2006/relationships/hyperlink" Target="https://popp.undp.org/_layouts/15/WopiFrame.aspx?sourcedoc=/UNDP_POPP_DOCUMENT_LIBRARY/Public/PPM_Implement_Manage%20Change.docx&amp;action=default" TargetMode="External"/><Relationship Id="rId35" Type="http://schemas.openxmlformats.org/officeDocument/2006/relationships/hyperlink" Target="https://intranet.undp.org/global/documents/ppm/Supplemental.pdf"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footer" Target="footer2.xml"/><Relationship Id="rId25" Type="http://schemas.openxmlformats.org/officeDocument/2006/relationships/header" Target="header1.xml"/><Relationship Id="rId33" Type="http://schemas.openxmlformats.org/officeDocument/2006/relationships/hyperlink" Target="https://popp.undp.org/UNDP_POPP_DOCUMENT_LIBRARY/Public/PPM_SOPs%20for%20management%20actions_escalated_GEF_GCF_AF.docx" TargetMode="External"/><Relationship Id="rId38"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thegef.org/sites/default/files/documents/2022-09/Results_Framework_Guidelines_2022_06_30.pdf" TargetMode="External"/><Relationship Id="rId2" Type="http://schemas.openxmlformats.org/officeDocument/2006/relationships/hyperlink" Target="https://www.undp.org/digital/transformations" TargetMode="External"/><Relationship Id="rId1" Type="http://schemas.openxmlformats.org/officeDocument/2006/relationships/hyperlink" Target="https://panorama.solutions/en" TargetMode="External"/><Relationship Id="rId5" Type="http://schemas.openxmlformats.org/officeDocument/2006/relationships/hyperlink" Target="https://popp.undp.org/_layouts/15/WopiFrame.aspx?sourcedoc=/UNDP_POPP_DOCUMENT_LIBRARY/Public/PPM_Project%20Management_Closing.docx&amp;action=default" TargetMode="External"/><Relationship Id="rId4" Type="http://schemas.openxmlformats.org/officeDocument/2006/relationships/hyperlink" Target="https://www.thegef.org/sites/default/files/documents/2022-09/Results_Framework_Guidelines_2022_06_30.pdf" TargetMode="External"/></Relationships>
</file>

<file path=word/documenttasks/documenttasks1.xml><?xml version="1.0" encoding="utf-8"?>
<t:Tasks xmlns:t="http://schemas.microsoft.com/office/tasks/2019/documenttasks" xmlns:oel="http://schemas.microsoft.com/office/2019/extlst">
  <t:Task id="{90403FB6-4843-41FF-A56E-5701C0889CA9}">
    <t:Anchor>
      <t:Comment id="1693622661"/>
    </t:Anchor>
    <t:History>
      <t:Event id="{2D05A864-1D93-4A24-82CD-1D65EB17B409}" time="2023-06-05T03:44:52.747Z">
        <t:Attribution userId="S::ugyen.dorji@undp.org::84be1d53-a4ce-440f-bf6d-c19582f399ce" userProvider="AD" userName="Ugyen Dorji"/>
        <t:Anchor>
          <t:Comment id="1396383059"/>
        </t:Anchor>
        <t:Create/>
      </t:Event>
      <t:Event id="{80C34768-74CE-48EB-BE30-C078FA28612B}" time="2023-06-05T03:44:52.747Z">
        <t:Attribution userId="S::ugyen.dorji@undp.org::84be1d53-a4ce-440f-bf6d-c19582f399ce" userProvider="AD" userName="Ugyen Dorji"/>
        <t:Anchor>
          <t:Comment id="1396383059"/>
        </t:Anchor>
        <t:Assign userId="S::tshering.choden@undp.org::3447f82c-5c9c-4a2c-bfb1-353761ed28e2" userProvider="AD" userName="Tshering Choden"/>
      </t:Event>
      <t:Event id="{F37EE8AE-EA61-4324-A746-F628FE0C88E0}" time="2023-06-05T03:44:52.747Z">
        <t:Attribution userId="S::ugyen.dorji@undp.org::84be1d53-a4ce-440f-bf6d-c19582f399ce" userProvider="AD" userName="Ugyen Dorji"/>
        <t:Anchor>
          <t:Comment id="1396383059"/>
        </t:Anchor>
        <t:SetTitle title="@Tshering Choden This output is from Thailand CPD. We are making a reference here to indicate the project's alignment to the CPD."/>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e91d5986-7c29-4ed1-8a54-b8fb378ed474" xsi:nil="true"/>
    <lcf76f155ced4ddcb4097134ff3c332f xmlns="d9cf0e28-81d2-4dc7-8b10-820d80ed680d">
      <Terms xmlns="http://schemas.microsoft.com/office/infopath/2007/PartnerControls"/>
    </lcf76f155ced4ddcb4097134ff3c332f>
    <OfficeCountry xmlns="d9cf0e28-81d2-4dc7-8b10-820d80ed680d">B0432 - Samoa - Apia</OfficeCountry>
    <DocumentStatus xmlns="d9cf0e28-81d2-4dc7-8b10-820d80ed680d">Final</DocumentStatus>
    <DocCoverageEndDate xmlns="d9cf0e28-81d2-4dc7-8b10-820d80ed680d">2025-06-30T04:00:00+00:00</DocCoverageEndDate>
    <FunctionalArea xmlns="d9cf0e28-81d2-4dc7-8b10-820d80ed680d" xsi:nil="true"/>
    <FileNameDescription xmlns="d9cf0e28-81d2-4dc7-8b10-820d80ed680d" xsi:nil="true"/>
    <ProjectNumber xmlns="d9cf0e28-81d2-4dc7-8b10-820d80ed680d">01004143</ProjectNumber>
    <DocumentType xmlns="d9cf0e28-81d2-4dc7-8b10-820d80ed680d">Project Document (Prodoc)</DocumentType>
    <Language xmlns="d9cf0e28-81d2-4dc7-8b10-820d80ed680d">English</Language>
    <AuthorName xmlns="d9cf0e28-81d2-4dc7-8b10-820d80ed680d">UNDP</AuthorName>
    <DocumentCategory xmlns="d9cf0e28-81d2-4dc7-8b10-820d80ed680d">Project</DocumentCategory>
    <OperatingUnit xmlns="d9cf0e28-81d2-4dc7-8b10-820d80ed680d">UNDP-WSM</OperatingUnit>
    <FocusArea xmlns="d9cf0e28-81d2-4dc7-8b10-820d80ed680d" xsi:nil="true"/>
    <DocCoverageStartDate xmlns="d9cf0e28-81d2-4dc7-8b10-820d80ed680d">2024-07-01T04:00:00+00:00</DocCoverageStartDate>
    <FileClassificationMode xmlns="d9cf0e28-81d2-4dc7-8b10-820d80ed680d">Public</FileClassificationMode>
    <OutputNumber xmlns="d9cf0e28-81d2-4dc7-8b10-820d80ed680d" xsi:nil="true"/>
  </documentManagement>
</p:properti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b:Source>
    <b:Tag>Hem02</b:Tag>
    <b:SourceType>Book</b:SourceType>
    <b:Guid>{21204056-AD4E-4634-9A40-D6150949B803}</b:Guid>
    <b:Author>
      <b:Author>
        <b:NameList>
          <b:Person>
            <b:Last>Hemmati</b:Last>
            <b:First>Mumi</b:First>
          </b:Person>
        </b:NameList>
      </b:Author>
    </b:Author>
    <b:Title>Multi-stakeholder Processes forGovernance and Sustainability - Beyond Deadlock and Conflict</b:Title>
    <b:Year>2002</b:Year>
    <b:City>UK</b:City>
    <b:Publisher>Earthscan Publications Ltd</b:Publisher>
    <b:RefOrder>4</b:RefOrder>
  </b:Source>
  <b:Source>
    <b:Tag>Ahm98</b:Tag>
    <b:SourceType>JournalArticle</b:SourceType>
    <b:Guid>{A5477DB4-622A-44F7-B4CC-913DA761B2FB}</b:Guid>
    <b:Author>
      <b:Author>
        <b:NameList>
          <b:Person>
            <b:Last>Ahmad</b:Last>
            <b:First>Aminah</b:First>
          </b:Person>
          <b:Person>
            <b:Last>Ismail</b:Last>
            <b:First>Narimah</b:First>
          </b:Person>
        </b:NameList>
      </b:Author>
    </b:Author>
    <b:Title>Gender Roles in Malaysia Agriculture : Implication for Extension Planning</b:Title>
    <b:JournalName>Journal of International Agriculture and Extension Education</b:JournalName>
    <b:Year>1998</b:Year>
    <b:RefOrder>5</b:RefOrder>
  </b:Source>
</b:Sources>
</file>

<file path=customXml/item4.xml><?xml version="1.0" encoding="utf-8"?>
<ct:contentTypeSchema xmlns:ct="http://schemas.microsoft.com/office/2006/metadata/contentType" xmlns:ma="http://schemas.microsoft.com/office/2006/metadata/properties/metaAttributes" ct:_="" ma:_="" ma:contentTypeName="Document" ma:contentTypeID="0x010100155F732436BD414ABE4F9007290F88BC" ma:contentTypeVersion="29" ma:contentTypeDescription="Create a new document." ma:contentTypeScope="" ma:versionID="7756ab31655b06bf8e0fcba8adbbff5c">
  <xsd:schema xmlns:xsd="http://www.w3.org/2001/XMLSchema" xmlns:xs="http://www.w3.org/2001/XMLSchema" xmlns:p="http://schemas.microsoft.com/office/2006/metadata/properties" xmlns:ns2="d9cf0e28-81d2-4dc7-8b10-820d80ed680d" xmlns:ns3="e91d5986-7c29-4ed1-8a54-b8fb378ed474" targetNamespace="http://schemas.microsoft.com/office/2006/metadata/properties" ma:root="true" ma:fieldsID="27b71a969902f2a26b14ce6b28c5feb5" ns2:_="" ns3:_="">
    <xsd:import namespace="d9cf0e28-81d2-4dc7-8b10-820d80ed680d"/>
    <xsd:import namespace="e91d5986-7c29-4ed1-8a54-b8fb378ed474"/>
    <xsd:element name="properties">
      <xsd:complexType>
        <xsd:sequence>
          <xsd:element name="documentManagement">
            <xsd:complexType>
              <xsd:all>
                <xsd:element ref="ns2:DocumentCategory" minOccurs="0"/>
                <xsd:element ref="ns2:DocumentType" minOccurs="0"/>
                <xsd:element ref="ns2:FileClassificationMode" minOccurs="0"/>
                <xsd:element ref="ns2:FileNameDescription" minOccurs="0"/>
                <xsd:element ref="ns2:ProjectNumber" minOccurs="0"/>
                <xsd:element ref="ns2:OperatingUnit" minOccurs="0"/>
                <xsd:element ref="ns2:Language" minOccurs="0"/>
                <xsd:element ref="ns2:FunctionalArea" minOccurs="0"/>
                <xsd:element ref="ns2:OutputNumber" minOccurs="0"/>
                <xsd:element ref="ns2:DocumentStatus" minOccurs="0"/>
                <xsd:element ref="ns2:DocCoverageStartDate" minOccurs="0"/>
                <xsd:element ref="ns2:DocCoverageEndDate" minOccurs="0"/>
                <xsd:element ref="ns2:FocusArea" minOccurs="0"/>
                <xsd:element ref="ns2:AuthorName" minOccurs="0"/>
                <xsd:element ref="ns2:OfficeCountry" minOccurs="0"/>
                <xsd:element ref="ns2:MediaServiceMetadata" minOccurs="0"/>
                <xsd:element ref="ns2:MediaServiceFastMetadata"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cf0e28-81d2-4dc7-8b10-820d80ed680d" elementFormDefault="qualified">
    <xsd:import namespace="http://schemas.microsoft.com/office/2006/documentManagement/types"/>
    <xsd:import namespace="http://schemas.microsoft.com/office/infopath/2007/PartnerControls"/>
    <xsd:element name="DocumentCategory" ma:index="8" nillable="true" ma:displayName="DocumentCategory" ma:format="Dropdown" ma:internalName="DocumentCategory">
      <xsd:simpleType>
        <xsd:restriction base="dms:Text">
          <xsd:maxLength value="255"/>
        </xsd:restriction>
      </xsd:simpleType>
    </xsd:element>
    <xsd:element name="DocumentType" ma:index="9" nillable="true" ma:displayName="DocumentType" ma:format="Dropdown" ma:indexed="true" ma:internalName="DocumentType">
      <xsd:simpleType>
        <xsd:restriction base="dms:Text">
          <xsd:maxLength value="255"/>
        </xsd:restriction>
      </xsd:simpleType>
    </xsd:element>
    <xsd:element name="FileClassificationMode" ma:index="10" nillable="true" ma:displayName="FileClassificationMode" ma:format="Dropdown" ma:indexed="true" ma:internalName="FileClassificationMode">
      <xsd:simpleType>
        <xsd:restriction base="dms:Text">
          <xsd:maxLength value="255"/>
        </xsd:restriction>
      </xsd:simpleType>
    </xsd:element>
    <xsd:element name="FileNameDescription" ma:index="11" nillable="true" ma:displayName="FileNameDescription" ma:format="Dropdown" ma:indexed="true" ma:internalName="FileNameDescription">
      <xsd:simpleType>
        <xsd:restriction base="dms:Text">
          <xsd:maxLength value="255"/>
        </xsd:restriction>
      </xsd:simpleType>
    </xsd:element>
    <xsd:element name="ProjectNumber" ma:index="12" nillable="true" ma:displayName="ProjectNumber" ma:format="Dropdown" ma:indexed="true" ma:internalName="ProjectNumber">
      <xsd:simpleType>
        <xsd:restriction base="dms:Text">
          <xsd:maxLength value="255"/>
        </xsd:restriction>
      </xsd:simpleType>
    </xsd:element>
    <xsd:element name="OperatingUnit" ma:index="13" nillable="true" ma:displayName="OperatingUnit" ma:format="Dropdown" ma:indexed="true" ma:internalName="OperatingUnit">
      <xsd:simpleType>
        <xsd:restriction base="dms:Text">
          <xsd:maxLength value="255"/>
        </xsd:restriction>
      </xsd:simpleType>
    </xsd:element>
    <xsd:element name="Language" ma:index="14" nillable="true" ma:displayName="Language" ma:format="Dropdown" ma:internalName="Language">
      <xsd:simpleType>
        <xsd:restriction base="dms:Text">
          <xsd:maxLength value="255"/>
        </xsd:restriction>
      </xsd:simpleType>
    </xsd:element>
    <xsd:element name="FunctionalArea" ma:index="15" nillable="true" ma:displayName="FunctionalArea" ma:format="Dropdown" ma:internalName="FunctionalArea">
      <xsd:simpleType>
        <xsd:restriction base="dms:Text">
          <xsd:maxLength value="255"/>
        </xsd:restriction>
      </xsd:simpleType>
    </xsd:element>
    <xsd:element name="OutputNumber" ma:index="16" nillable="true" ma:displayName="OutputNumber" ma:format="Dropdown" ma:indexed="true" ma:internalName="OutputNumber">
      <xsd:simpleType>
        <xsd:restriction base="dms:Text">
          <xsd:maxLength value="255"/>
        </xsd:restriction>
      </xsd:simpleType>
    </xsd:element>
    <xsd:element name="DocumentStatus" ma:index="17" nillable="true" ma:displayName="DocumentStatus" ma:format="Dropdown" ma:internalName="DocumentStatus">
      <xsd:simpleType>
        <xsd:restriction base="dms:Text">
          <xsd:maxLength value="255"/>
        </xsd:restriction>
      </xsd:simpleType>
    </xsd:element>
    <xsd:element name="DocCoverageStartDate" ma:index="18" nillable="true" ma:displayName="DocCoverageStartDate" ma:default="[today]" ma:format="DateOnly" ma:indexed="true" ma:internalName="DocCoverageStartDate">
      <xsd:simpleType>
        <xsd:restriction base="dms:DateTime"/>
      </xsd:simpleType>
    </xsd:element>
    <xsd:element name="DocCoverageEndDate" ma:index="19" nillable="true" ma:displayName="DocCoverageEndDate" ma:format="DateOnly" ma:internalName="DocCoverageEndDate">
      <xsd:simpleType>
        <xsd:restriction base="dms:DateTime"/>
      </xsd:simpleType>
    </xsd:element>
    <xsd:element name="FocusArea" ma:index="20" nillable="true" ma:displayName="FocusArea" ma:format="Dropdown" ma:internalName="FocusArea">
      <xsd:simpleType>
        <xsd:restriction base="dms:Text">
          <xsd:maxLength value="255"/>
        </xsd:restriction>
      </xsd:simpleType>
    </xsd:element>
    <xsd:element name="AuthorName" ma:index="21" nillable="true" ma:displayName="AuthorName" ma:format="Dropdown" ma:indexed="true" ma:internalName="AuthorName">
      <xsd:simpleType>
        <xsd:restriction base="dms:Text">
          <xsd:maxLength value="255"/>
        </xsd:restriction>
      </xsd:simpleType>
    </xsd:element>
    <xsd:element name="OfficeCountry" ma:index="22" nillable="true" ma:displayName="OfficeCountry" ma:format="Dropdown" ma:indexed="true" ma:internalName="OfficeCountry">
      <xsd:simpleType>
        <xsd:restriction base="dms:Text">
          <xsd:maxLength value="255"/>
        </xsd:restriction>
      </xsd:simpleType>
    </xsd:element>
    <xsd:element name="MediaServiceMetadata" ma:index="23" nillable="true" ma:displayName="MediaServiceMetadata" ma:hidden="true" ma:internalName="MediaServiceMetadata" ma:readOnly="true">
      <xsd:simpleType>
        <xsd:restriction base="dms:Note"/>
      </xsd:simpleType>
    </xsd:element>
    <xsd:element name="MediaServiceFastMetadata" ma:index="24" nillable="true" ma:displayName="MediaServiceFastMetadata" ma:hidden="true" ma:internalName="MediaServiceFastMetadata"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element name="lcf76f155ced4ddcb4097134ff3c332f" ma:index="27"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GenerationTime" ma:index="29" nillable="true" ma:displayName="MediaServiceGenerationTime" ma:hidden="true" ma:internalName="MediaServiceGenerationTime" ma:readOnly="true">
      <xsd:simpleType>
        <xsd:restriction base="dms:Text"/>
      </xsd:simpleType>
    </xsd:element>
    <xsd:element name="MediaServiceEventHashCode" ma:index="30" nillable="true" ma:displayName="MediaServiceEventHashCode" ma:hidden="true" ma:internalName="MediaServiceEventHashCode" ma:readOnly="true">
      <xsd:simpleType>
        <xsd:restriction base="dms:Text"/>
      </xsd:simpleType>
    </xsd:element>
    <xsd:element name="MediaServiceOCR" ma:index="31" nillable="true" ma:displayName="Extracted Text" ma:internalName="MediaServiceOCR" ma:readOnly="true">
      <xsd:simpleType>
        <xsd:restriction base="dms:Note">
          <xsd:maxLength value="255"/>
        </xsd:restriction>
      </xsd:simpleType>
    </xsd:element>
    <xsd:element name="MediaServiceDateTaken" ma:index="32" nillable="true" ma:displayName="MediaServiceDateTaken" ma:hidden="true" ma:indexed="true" ma:internalName="MediaServiceDateTaken" ma:readOnly="true">
      <xsd:simpleType>
        <xsd:restriction base="dms:Text"/>
      </xsd:simpleType>
    </xsd:element>
    <xsd:element name="MediaServiceObjectDetectorVersions" ma:index="33" nillable="true" ma:displayName="MediaServiceObjectDetectorVersions" ma:hidden="true" ma:indexed="true" ma:internalName="MediaServiceObjectDetectorVersions" ma:readOnly="true">
      <xsd:simpleType>
        <xsd:restriction base="dms:Text"/>
      </xsd:simpleType>
    </xsd:element>
    <xsd:element name="MediaServiceLocation" ma:index="34" nillable="true" ma:displayName="Location" ma:indexed="true" ma:internalName="MediaServiceLocation" ma:readOnly="true">
      <xsd:simpleType>
        <xsd:restriction base="dms:Text"/>
      </xsd:simpleType>
    </xsd:element>
    <xsd:element name="MediaServiceSearchProperties" ma:index="3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91d5986-7c29-4ed1-8a54-b8fb378ed474" elementFormDefault="qualified">
    <xsd:import namespace="http://schemas.microsoft.com/office/2006/documentManagement/types"/>
    <xsd:import namespace="http://schemas.microsoft.com/office/infopath/2007/PartnerControls"/>
    <xsd:element name="TaxCatchAll" ma:index="28" nillable="true" ma:displayName="Taxonomy Catch All Column" ma:hidden="true" ma:list="{89ecd518-8760-4857-902e-5583cb61199f}" ma:internalName="TaxCatchAll" ma:showField="CatchAllData" ma:web="e91d5986-7c29-4ed1-8a54-b8fb378ed4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A2A93A5-6807-45B9-8F63-DB321E1A99CF}">
  <ds:schemaRefs>
    <ds:schemaRef ds:uri="http://schemas.microsoft.com/office/2006/metadata/properties"/>
    <ds:schemaRef ds:uri="http://schemas.microsoft.com/office/infopath/2007/PartnerControls"/>
    <ds:schemaRef ds:uri="d112ebea-3429-4bfa-b443-eeb5d4bc34d2"/>
    <ds:schemaRef ds:uri="09e0a296-5a60-47aa-83c6-fa23c2b6cca1"/>
  </ds:schemaRefs>
</ds:datastoreItem>
</file>

<file path=customXml/itemProps2.xml><?xml version="1.0" encoding="utf-8"?>
<ds:datastoreItem xmlns:ds="http://schemas.openxmlformats.org/officeDocument/2006/customXml" ds:itemID="{E3064EF3-4CD3-4BF1-A9FF-63FFD01E1887}">
  <ds:schemaRefs>
    <ds:schemaRef ds:uri="http://schemas.microsoft.com/office/2006/metadata/longProperties"/>
  </ds:schemaRefs>
</ds:datastoreItem>
</file>

<file path=customXml/itemProps3.xml><?xml version="1.0" encoding="utf-8"?>
<ds:datastoreItem xmlns:ds="http://schemas.openxmlformats.org/officeDocument/2006/customXml" ds:itemID="{F1B1856D-81B8-463B-8607-DEF317D927D1}">
  <ds:schemaRefs>
    <ds:schemaRef ds:uri="http://schemas.openxmlformats.org/officeDocument/2006/bibliography"/>
  </ds:schemaRefs>
</ds:datastoreItem>
</file>

<file path=customXml/itemProps4.xml><?xml version="1.0" encoding="utf-8"?>
<ds:datastoreItem xmlns:ds="http://schemas.openxmlformats.org/officeDocument/2006/customXml" ds:itemID="{0DE5A9C8-FDEF-4535-867B-9826A3F71DF2}"/>
</file>

<file path=customXml/itemProps5.xml><?xml version="1.0" encoding="utf-8"?>
<ds:datastoreItem xmlns:ds="http://schemas.openxmlformats.org/officeDocument/2006/customXml" ds:itemID="{0E7CB953-4BBD-4B78-BD76-050C868AE8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78</Pages>
  <Words>36089</Words>
  <Characters>225557</Characters>
  <Application>Microsoft Office Word</Application>
  <DocSecurity>0</DocSecurity>
  <Lines>6835</Lines>
  <Paragraphs>2939</Paragraphs>
  <ScaleCrop>false</ScaleCrop>
  <HeadingPairs>
    <vt:vector size="2" baseType="variant">
      <vt:variant>
        <vt:lpstr>Title</vt:lpstr>
      </vt:variant>
      <vt:variant>
        <vt:i4>1</vt:i4>
      </vt:variant>
    </vt:vector>
  </HeadingPairs>
  <TitlesOfParts>
    <vt:vector size="1" baseType="lpstr">
      <vt:lpstr>Project Document</vt:lpstr>
    </vt:vector>
  </TitlesOfParts>
  <Company>Microsoft</Company>
  <LinksUpToDate>false</LinksUpToDate>
  <CharactersWithSpaces>258707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Document</dc:title>
  <dc:subject/>
  <dc:creator>nancy.bennet@undp.org;James Lenoci</dc:creator>
  <cp:keywords/>
  <dc:description/>
  <cp:lastModifiedBy>Zhanetta Babasheva</cp:lastModifiedBy>
  <cp:revision>3</cp:revision>
  <cp:lastPrinted>2023-07-06T11:29:00Z</cp:lastPrinted>
  <dcterms:created xsi:type="dcterms:W3CDTF">2025-06-17T03:38:00Z</dcterms:created>
  <dcterms:modified xsi:type="dcterms:W3CDTF">2025-10-19T20:44:00Z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0x010100155F732436BD414ABE4F9007290F88BC</vt:lpwstr>
  </property>
  <property fmtid="{D5CDD505-2E9C-101B-9397-08002B2CF9AE}" pid="3" name="_dlc_DocIdItemGuid">
    <vt:lpwstr>3c2f18a2-213f-4d77-9534-be52576a6393</vt:lpwstr>
  </property>
  <property fmtid="{D5CDD505-2E9C-101B-9397-08002B2CF9AE}" pid="4" name="_dlc_DocId">
    <vt:lpwstr>KKKATZMDSDUY-340-120</vt:lpwstr>
  </property>
  <property fmtid="{D5CDD505-2E9C-101B-9397-08002B2CF9AE}" pid="5" name="_dlc_DocIdUrl">
    <vt:lpwstr>https://intranet.undp.org/unit/bpps/sdev/gef/_layouts/15/DocIdRedir.aspx?ID=KKKATZMDSDUY-340-120, KKKATZMDSDUY-340-120</vt:lpwstr>
  </property>
  <property fmtid="{D5CDD505-2E9C-101B-9397-08002B2CF9AE}" pid="6" name="Description0">
    <vt:lpwstr/>
  </property>
  <property fmtid="{D5CDD505-2E9C-101B-9397-08002B2CF9AE}" pid="7" name="Category">
    <vt:lpwstr>Concept Design Phase</vt:lpwstr>
  </property>
  <property fmtid="{D5CDD505-2E9C-101B-9397-08002B2CF9AE}" pid="8" name="_DocHome">
    <vt:i4>-184443092</vt:i4>
  </property>
  <property fmtid="{D5CDD505-2E9C-101B-9397-08002B2CF9AE}" pid="9" name="MediaServiceImageTags">
    <vt:lpwstr/>
  </property>
  <property fmtid="{D5CDD505-2E9C-101B-9397-08002B2CF9AE}" pid="10" name="Base Target">
    <vt:lpwstr>_blank</vt:lpwstr>
  </property>
  <property fmtid="{D5CDD505-2E9C-101B-9397-08002B2CF9AE}" pid="11" name="GrammarlyDocumentId">
    <vt:lpwstr>6c03fd29139a59ece777b8a55090db03e9dffe97ed376b5a282a66df84384dcc</vt:lpwstr>
  </property>
</Properties>
</file>